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20"/>
        </w:tabs>
        <w:spacing w:line="360" w:lineRule="auto"/>
        <w:jc w:val="center"/>
        <w:rPr>
          <w:rFonts w:ascii="宋体" w:hAnsi="宋体"/>
          <w:b/>
          <w:bCs/>
          <w:color w:val="000000"/>
          <w:spacing w:val="36"/>
          <w:w w:val="66"/>
          <w:sz w:val="64"/>
          <w:szCs w:val="64"/>
        </w:rPr>
      </w:pPr>
      <w:r>
        <w:rPr>
          <w:rFonts w:hint="eastAsia" w:ascii="宋体" w:hAnsi="宋体"/>
          <w:b/>
          <w:bCs/>
          <w:color w:val="000000"/>
          <w:spacing w:val="36"/>
          <w:w w:val="66"/>
          <w:sz w:val="64"/>
          <w:szCs w:val="64"/>
        </w:rPr>
        <w:t>鄂尔多斯市准格尔旗公共资源交易中心</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21"/>
          <w:szCs w:val="21"/>
        </w:rPr>
      </w:pPr>
      <w:r>
        <w:rPr>
          <w:rFonts w:hint="eastAsia" w:ascii="宋体" w:hAnsi="宋体"/>
          <w:b/>
          <w:bCs/>
          <w:color w:val="000000"/>
          <w:sz w:val="72"/>
          <w:szCs w:val="72"/>
        </w:rPr>
        <w:t>招 标 文 件</w:t>
      </w:r>
    </w:p>
    <w:p>
      <w:pPr>
        <w:tabs>
          <w:tab w:val="left" w:pos="315"/>
          <w:tab w:val="left" w:pos="8820"/>
        </w:tabs>
        <w:spacing w:line="360" w:lineRule="auto"/>
        <w:ind w:right="356" w:rightChars="127"/>
        <w:rPr>
          <w:rFonts w:ascii="宋体" w:hAnsi="宋体"/>
          <w:color w:val="000000"/>
          <w:szCs w:val="28"/>
        </w:rPr>
      </w:pPr>
    </w:p>
    <w:p>
      <w:pPr>
        <w:tabs>
          <w:tab w:val="left" w:pos="315"/>
          <w:tab w:val="left" w:pos="8820"/>
        </w:tabs>
        <w:spacing w:beforeLines="100" w:afterLines="50" w:line="360" w:lineRule="auto"/>
        <w:ind w:right="356" w:rightChars="127"/>
        <w:jc w:val="center"/>
        <w:rPr>
          <w:rFonts w:ascii="宋体" w:hAnsi="宋体"/>
          <w:b/>
          <w:color w:val="000000"/>
          <w:szCs w:val="28"/>
        </w:rPr>
      </w:pPr>
    </w:p>
    <w:p>
      <w:pPr>
        <w:tabs>
          <w:tab w:val="left" w:pos="315"/>
          <w:tab w:val="left" w:pos="8820"/>
        </w:tabs>
        <w:spacing w:line="360" w:lineRule="auto"/>
        <w:ind w:right="356" w:rightChars="127"/>
        <w:jc w:val="center"/>
        <w:rPr>
          <w:rFonts w:hint="eastAsia" w:ascii="宋体" w:hAnsi="宋体" w:eastAsia="宋体"/>
          <w:color w:val="000000"/>
          <w:szCs w:val="28"/>
          <w:lang w:eastAsia="zh-CN"/>
        </w:rPr>
      </w:pPr>
      <w:r>
        <w:rPr>
          <w:rFonts w:hint="eastAsia" w:ascii="宋体" w:hAnsi="宋体"/>
          <w:b/>
          <w:color w:val="000000"/>
          <w:szCs w:val="28"/>
          <w:lang w:eastAsia="zh-CN"/>
        </w:rPr>
        <w:t>最低评标价法</w:t>
      </w:r>
    </w:p>
    <w:p>
      <w:pPr>
        <w:tabs>
          <w:tab w:val="left" w:pos="315"/>
          <w:tab w:val="left" w:pos="8820"/>
        </w:tabs>
        <w:spacing w:line="360" w:lineRule="auto"/>
        <w:ind w:right="356" w:rightChars="127"/>
        <w:rPr>
          <w:rFonts w:ascii="宋体" w:hAnsi="宋体"/>
          <w:color w:val="000000"/>
          <w:szCs w:val="28"/>
        </w:rPr>
      </w:pPr>
    </w:p>
    <w:p>
      <w:pPr>
        <w:pStyle w:val="17"/>
        <w:spacing w:line="360" w:lineRule="auto"/>
        <w:ind w:firstLine="562" w:firstLineChars="200"/>
        <w:rPr>
          <w:rFonts w:hint="eastAsia" w:ascii="宋体" w:hAnsi="宋体" w:eastAsia="宋体"/>
          <w:color w:val="000000"/>
          <w:szCs w:val="28"/>
          <w:lang w:eastAsia="zh-CN"/>
        </w:rPr>
      </w:pPr>
      <w:r>
        <w:rPr>
          <w:rFonts w:hint="eastAsia" w:ascii="宋体" w:hAnsi="宋体" w:eastAsia="宋体"/>
          <w:color w:val="000000"/>
          <w:szCs w:val="28"/>
        </w:rPr>
        <w:t>项目名称：</w:t>
      </w:r>
      <w:r>
        <w:rPr>
          <w:rFonts w:hint="eastAsia" w:ascii="宋体" w:hAnsi="宋体" w:eastAsia="宋体"/>
          <w:color w:val="000000"/>
          <w:szCs w:val="28"/>
          <w:lang w:eastAsia="zh-CN"/>
        </w:rPr>
        <w:t>准格尔旗教育体育局采购玻璃圪旦、五家尧、龙口小学和准八中、准四中室内外监控项目</w:t>
      </w:r>
    </w:p>
    <w:p>
      <w:pPr>
        <w:widowControl/>
        <w:wordWrap w:val="0"/>
        <w:ind w:firstLine="562" w:firstLineChars="200"/>
        <w:rPr>
          <w:rFonts w:hint="eastAsia" w:ascii="宋体" w:hAnsi="宋体" w:eastAsia="宋体"/>
          <w:b/>
          <w:color w:val="000000"/>
          <w:szCs w:val="28"/>
          <w:lang w:eastAsia="zh-CN"/>
        </w:rPr>
      </w:pPr>
      <w:r>
        <w:rPr>
          <w:rFonts w:hint="eastAsia" w:ascii="宋体" w:hAnsi="宋体"/>
          <w:b/>
          <w:color w:val="000000"/>
          <w:szCs w:val="28"/>
        </w:rPr>
        <w:t>项目编号：</w:t>
      </w:r>
      <w:r>
        <w:rPr>
          <w:rFonts w:hint="eastAsia" w:ascii="宋体" w:hAnsi="宋体"/>
          <w:b/>
          <w:color w:val="000000"/>
          <w:szCs w:val="28"/>
          <w:lang w:eastAsia="zh-CN"/>
        </w:rPr>
        <w:t>CG2019HGK2</w:t>
      </w:r>
      <w:r>
        <w:rPr>
          <w:rFonts w:hint="eastAsia" w:ascii="宋体" w:hAnsi="宋体"/>
          <w:b/>
          <w:color w:val="000000"/>
          <w:szCs w:val="28"/>
          <w:lang w:val="en-US" w:eastAsia="zh-CN"/>
        </w:rPr>
        <w:t>2</w:t>
      </w:r>
      <w:r>
        <w:rPr>
          <w:rFonts w:hint="eastAsia" w:ascii="宋体" w:hAnsi="宋体"/>
          <w:b/>
          <w:color w:val="000000"/>
          <w:szCs w:val="28"/>
          <w:lang w:eastAsia="zh-CN"/>
        </w:rPr>
        <w:t>66</w:t>
      </w:r>
    </w:p>
    <w:p>
      <w:pPr>
        <w:pStyle w:val="17"/>
        <w:spacing w:line="360" w:lineRule="auto"/>
        <w:rPr>
          <w:rFonts w:ascii="宋体" w:hAnsi="宋体" w:eastAsia="宋体"/>
          <w:color w:val="000000"/>
          <w:szCs w:val="28"/>
        </w:rPr>
      </w:pPr>
    </w:p>
    <w:p>
      <w:pPr>
        <w:pStyle w:val="17"/>
        <w:spacing w:line="360" w:lineRule="auto"/>
        <w:rPr>
          <w:rFonts w:ascii="宋体" w:hAnsi="宋体" w:eastAsia="宋体"/>
          <w:color w:val="000000"/>
          <w:szCs w:val="28"/>
        </w:rPr>
      </w:pPr>
    </w:p>
    <w:p>
      <w:pPr>
        <w:jc w:val="center"/>
        <w:rPr>
          <w:rFonts w:ascii="宋体" w:hAnsi="宋体"/>
          <w:color w:val="000000"/>
          <w:szCs w:val="28"/>
        </w:rPr>
      </w:pPr>
      <w:r>
        <w:rPr>
          <w:rFonts w:hint="eastAsia" w:ascii="宋体" w:hAnsi="宋体"/>
          <w:color w:val="000000"/>
          <w:szCs w:val="28"/>
        </w:rPr>
        <w:t>20</w:t>
      </w:r>
      <w:r>
        <w:rPr>
          <w:rFonts w:hint="eastAsia" w:ascii="宋体" w:hAnsi="宋体"/>
          <w:color w:val="000000"/>
          <w:szCs w:val="28"/>
          <w:lang w:val="en-US" w:eastAsia="zh-CN"/>
        </w:rPr>
        <w:t>20</w:t>
      </w:r>
      <w:r>
        <w:rPr>
          <w:rFonts w:hint="eastAsia" w:ascii="宋体" w:hAnsi="宋体"/>
          <w:color w:val="000000"/>
          <w:szCs w:val="28"/>
        </w:rPr>
        <w:t>年</w:t>
      </w:r>
      <w:r>
        <w:rPr>
          <w:rFonts w:hint="eastAsia" w:ascii="宋体" w:hAnsi="宋体"/>
          <w:color w:val="000000"/>
          <w:szCs w:val="28"/>
          <w:lang w:val="en-US" w:eastAsia="zh-CN"/>
        </w:rPr>
        <w:t>4</w:t>
      </w:r>
      <w:r>
        <w:rPr>
          <w:rFonts w:hint="eastAsia" w:ascii="宋体" w:hAnsi="宋体"/>
          <w:color w:val="000000"/>
          <w:szCs w:val="28"/>
        </w:rPr>
        <w:t>月</w:t>
      </w:r>
    </w:p>
    <w:p>
      <w:pPr>
        <w:jc w:val="center"/>
        <w:rPr>
          <w:rFonts w:ascii="宋体" w:hAnsi="宋体"/>
          <w:color w:val="000000"/>
          <w:szCs w:val="28"/>
        </w:rPr>
      </w:pPr>
    </w:p>
    <w:p>
      <w:pPr>
        <w:jc w:val="center"/>
        <w:rPr>
          <w:rFonts w:ascii="宋体" w:hAnsi="宋体"/>
          <w:color w:val="000000"/>
          <w:szCs w:val="28"/>
        </w:rPr>
      </w:pPr>
      <w:r>
        <w:rPr>
          <w:rFonts w:ascii="宋体" w:hAnsi="宋体"/>
          <w:color w:val="000000"/>
          <w:szCs w:val="28"/>
        </w:rPr>
        <w:br w:type="page"/>
      </w:r>
    </w:p>
    <w:p>
      <w:pPr>
        <w:pStyle w:val="41"/>
        <w:spacing w:before="0" w:line="360" w:lineRule="auto"/>
        <w:jc w:val="center"/>
        <w:rPr>
          <w:rFonts w:ascii="宋体" w:hAnsi="宋体"/>
          <w:color w:val="000000"/>
          <w:lang w:val="zh-CN"/>
        </w:rPr>
      </w:pPr>
      <w:r>
        <w:rPr>
          <w:rFonts w:hint="eastAsia" w:ascii="宋体" w:hAnsi="宋体"/>
          <w:color w:val="000000"/>
          <w:lang w:val="zh-CN"/>
        </w:rPr>
        <w:t>目   录</w:t>
      </w:r>
    </w:p>
    <w:p>
      <w:pPr>
        <w:pStyle w:val="29"/>
        <w:tabs>
          <w:tab w:val="right" w:leader="dot" w:pos="9402"/>
        </w:tabs>
        <w:rPr>
          <w:rFonts w:ascii="Calibri" w:hAnsi="Calibri" w:cs="黑体"/>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"_Toc497408657" </w:instrText>
      </w:r>
      <w:r>
        <w:fldChar w:fldCharType="separate"/>
      </w:r>
      <w:r>
        <w:rPr>
          <w:rStyle w:val="37"/>
          <w:rFonts w:hint="eastAsia" w:ascii="宋体" w:hAnsi="宋体"/>
        </w:rPr>
        <w:t>第一章招标公告</w:t>
      </w:r>
      <w:r>
        <w:tab/>
      </w:r>
      <w:r>
        <w:fldChar w:fldCharType="begin"/>
      </w:r>
      <w:r>
        <w:instrText xml:space="preserve"> PAGEREF _Toc497408657 \h </w:instrText>
      </w:r>
      <w:r>
        <w:fldChar w:fldCharType="separate"/>
      </w:r>
      <w:r>
        <w:t>2</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"_Toc497408658" </w:instrText>
      </w:r>
      <w:r>
        <w:fldChar w:fldCharType="separate"/>
      </w:r>
      <w:r>
        <w:rPr>
          <w:rStyle w:val="37"/>
          <w:rFonts w:hint="eastAsia" w:ascii="宋体" w:hAnsi="宋体"/>
        </w:rPr>
        <w:t>第二章投标人须知</w:t>
      </w:r>
      <w:r>
        <w:tab/>
      </w:r>
      <w:r>
        <w:fldChar w:fldCharType="begin"/>
      </w:r>
      <w:r>
        <w:instrText xml:space="preserve"> PAGEREF _Toc497408658 \h </w:instrText>
      </w:r>
      <w:r>
        <w:fldChar w:fldCharType="separate"/>
      </w:r>
      <w:r>
        <w:t>4</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"_Toc497408659" </w:instrText>
      </w:r>
      <w:r>
        <w:fldChar w:fldCharType="separate"/>
      </w:r>
      <w:r>
        <w:rPr>
          <w:rStyle w:val="37"/>
          <w:rFonts w:hint="eastAsia" w:ascii="宋体" w:hAnsi="宋体" w:cs="宋体"/>
        </w:rPr>
        <w:t>第三章合同与验收</w:t>
      </w:r>
      <w:r>
        <w:tab/>
      </w:r>
      <w:r>
        <w:fldChar w:fldCharType="begin"/>
      </w:r>
      <w:r>
        <w:instrText xml:space="preserve"> PAGEREF _Toc497408659 \h </w:instrText>
      </w:r>
      <w:r>
        <w:fldChar w:fldCharType="separate"/>
      </w:r>
      <w:r>
        <w:t>17</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"_Toc497408660" </w:instrText>
      </w:r>
      <w:r>
        <w:fldChar w:fldCharType="separate"/>
      </w:r>
      <w:r>
        <w:rPr>
          <w:rStyle w:val="37"/>
          <w:rFonts w:hint="eastAsia" w:ascii="宋体" w:hAnsi="宋体"/>
          <w:kern w:val="44"/>
        </w:rPr>
        <w:t>第四章招标内容与技术要求</w:t>
      </w:r>
      <w:r>
        <w:tab/>
      </w:r>
      <w:r>
        <w:fldChar w:fldCharType="begin"/>
      </w:r>
      <w:r>
        <w:instrText xml:space="preserve"> PAGEREF _Toc497408660 \h </w:instrText>
      </w:r>
      <w:r>
        <w:fldChar w:fldCharType="separate"/>
      </w:r>
      <w:r>
        <w:t>20</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"_Toc497408661" </w:instrText>
      </w:r>
      <w:r>
        <w:fldChar w:fldCharType="separate"/>
      </w:r>
      <w:r>
        <w:rPr>
          <w:rStyle w:val="37"/>
          <w:rFonts w:hint="eastAsia" w:ascii="宋体" w:hAnsi="宋体"/>
          <w:kern w:val="44"/>
        </w:rPr>
        <w:t>第五章投标人资格证明及相关文件要求</w:t>
      </w:r>
      <w:r>
        <w:tab/>
      </w:r>
      <w:r>
        <w:fldChar w:fldCharType="begin"/>
      </w:r>
      <w:r>
        <w:instrText xml:space="preserve"> PAGEREF _Toc497408661 \h </w:instrText>
      </w:r>
      <w:r>
        <w:fldChar w:fldCharType="separate"/>
      </w:r>
      <w:r>
        <w:t>20</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"_Toc497408662" </w:instrText>
      </w:r>
      <w:r>
        <w:fldChar w:fldCharType="separate"/>
      </w:r>
      <w:r>
        <w:rPr>
          <w:rStyle w:val="37"/>
          <w:rFonts w:hint="eastAsia" w:ascii="宋体" w:hAnsi="宋体"/>
          <w:kern w:val="44"/>
        </w:rPr>
        <w:t>第六章评标办法（</w:t>
      </w:r>
      <w:r>
        <w:rPr>
          <w:rStyle w:val="37"/>
          <w:rFonts w:hint="eastAsia" w:ascii="宋体" w:hAnsi="宋体"/>
          <w:kern w:val="44"/>
          <w:lang w:eastAsia="zh-CN"/>
        </w:rPr>
        <w:t>最低评标价法</w:t>
      </w:r>
      <w:r>
        <w:rPr>
          <w:rStyle w:val="37"/>
          <w:rFonts w:hint="eastAsia" w:ascii="宋体" w:hAnsi="宋体"/>
          <w:kern w:val="44"/>
        </w:rPr>
        <w:t>）</w:t>
      </w:r>
      <w:r>
        <w:tab/>
      </w:r>
      <w:r>
        <w:fldChar w:fldCharType="begin"/>
      </w:r>
      <w:r>
        <w:instrText xml:space="preserve"> PAGEREF _Toc497408662 \h </w:instrText>
      </w:r>
      <w:r>
        <w:fldChar w:fldCharType="separate"/>
      </w:r>
      <w:r>
        <w:t>23</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"_Toc497408663" </w:instrText>
      </w:r>
      <w:r>
        <w:fldChar w:fldCharType="separate"/>
      </w:r>
      <w:r>
        <w:rPr>
          <w:rStyle w:val="37"/>
          <w:rFonts w:hint="eastAsia" w:ascii="宋体" w:hAnsi="宋体"/>
        </w:rPr>
        <w:t>第七章投标文件格式与要求</w:t>
      </w:r>
      <w:r>
        <w:tab/>
      </w:r>
      <w:r>
        <w:fldChar w:fldCharType="begin"/>
      </w:r>
      <w:r>
        <w:instrText xml:space="preserve"> PAGEREF _Toc497408663 \h </w:instrText>
      </w:r>
      <w:r>
        <w:fldChar w:fldCharType="separate"/>
      </w:r>
      <w:r>
        <w:t>28</w:t>
      </w:r>
      <w:r>
        <w:fldChar w:fldCharType="end"/>
      </w:r>
      <w:r>
        <w:fldChar w:fldCharType="end"/>
      </w:r>
    </w:p>
    <w:p>
      <w:pPr>
        <w:pStyle w:val="29"/>
        <w:tabs>
          <w:tab w:val="right" w:leader="dot" w:pos="9402"/>
        </w:tabs>
        <w:rPr>
          <w:rFonts w:ascii="Calibri" w:hAnsi="Calibri" w:cs="黑体"/>
          <w:b w:val="0"/>
          <w:bCs w:val="0"/>
          <w:caps w:val="0"/>
          <w:sz w:val="21"/>
          <w:szCs w:val="22"/>
        </w:rPr>
      </w:pPr>
      <w:r>
        <w:fldChar w:fldCharType="begin"/>
      </w:r>
      <w:r>
        <w:instrText xml:space="preserve"> HYPERLINK \l "_Toc497408664" </w:instrText>
      </w:r>
      <w:r>
        <w:fldChar w:fldCharType="separate"/>
      </w:r>
      <w:r>
        <w:rPr>
          <w:rStyle w:val="37"/>
          <w:rFonts w:hint="eastAsia" w:ascii="宋体" w:hAnsi="宋体"/>
        </w:rPr>
        <w:t>温馨提示</w:t>
      </w:r>
      <w:r>
        <w:tab/>
      </w:r>
      <w:r>
        <w:fldChar w:fldCharType="begin"/>
      </w:r>
      <w:r>
        <w:instrText xml:space="preserve"> PAGEREF _Toc497408664 \h </w:instrText>
      </w:r>
      <w:r>
        <w:fldChar w:fldCharType="separate"/>
      </w:r>
      <w:r>
        <w:t>54</w:t>
      </w:r>
      <w:r>
        <w:fldChar w:fldCharType="end"/>
      </w:r>
      <w:r>
        <w:fldChar w:fldCharType="end"/>
      </w:r>
    </w:p>
    <w:p>
      <w:pPr>
        <w:outlineLvl w:val="0"/>
        <w:rPr>
          <w:rFonts w:ascii="宋体" w:hAnsi="宋体"/>
          <w:b/>
          <w:color w:val="000000"/>
          <w:szCs w:val="28"/>
        </w:rPr>
      </w:pPr>
      <w:r>
        <w:rPr>
          <w:rFonts w:ascii="宋体" w:hAnsi="宋体"/>
          <w:b/>
          <w:color w:val="000000"/>
          <w:szCs w:val="28"/>
        </w:rPr>
        <w:fldChar w:fldCharType="end"/>
      </w:r>
      <w:r>
        <w:rPr>
          <w:rFonts w:ascii="宋体" w:hAnsi="宋体"/>
          <w:b/>
          <w:color w:val="000000"/>
          <w:szCs w:val="28"/>
        </w:rPr>
        <w:br w:type="page"/>
      </w:r>
    </w:p>
    <w:p>
      <w:pPr>
        <w:jc w:val="center"/>
        <w:outlineLvl w:val="0"/>
        <w:rPr>
          <w:rFonts w:ascii="宋体" w:hAnsi="宋体"/>
          <w:b/>
          <w:sz w:val="24"/>
          <w:szCs w:val="24"/>
        </w:rPr>
      </w:pPr>
      <w:bookmarkStart w:id="0" w:name="_Toc497408657"/>
      <w:r>
        <w:rPr>
          <w:rFonts w:hint="eastAsia" w:ascii="宋体" w:hAnsi="宋体"/>
          <w:b/>
          <w:sz w:val="24"/>
          <w:szCs w:val="24"/>
        </w:rPr>
        <w:t>第一章 招标公告</w:t>
      </w:r>
      <w:bookmarkEnd w:id="0"/>
    </w:p>
    <w:p>
      <w:pPr>
        <w:spacing w:line="360" w:lineRule="auto"/>
        <w:jc w:val="center"/>
        <w:rPr>
          <w:rFonts w:ascii="宋体" w:hAnsi="宋体"/>
          <w:b/>
          <w:sz w:val="24"/>
          <w:szCs w:val="24"/>
        </w:rPr>
      </w:pPr>
      <w:r>
        <w:rPr>
          <w:rFonts w:hint="eastAsia" w:ascii="宋体" w:hAnsi="宋体"/>
          <w:b/>
          <w:sz w:val="24"/>
          <w:szCs w:val="24"/>
          <w:lang w:eastAsia="zh-CN"/>
        </w:rPr>
        <w:t>准格尔旗教育体育局采购玻璃圪旦、五家尧、龙口小学和准八中、准四中室内外监控项目</w:t>
      </w:r>
      <w:r>
        <w:rPr>
          <w:rFonts w:hint="eastAsia" w:ascii="宋体" w:hAnsi="宋体"/>
          <w:b/>
          <w:sz w:val="24"/>
          <w:szCs w:val="24"/>
        </w:rPr>
        <w:t>公开招标公告</w:t>
      </w:r>
    </w:p>
    <w:p>
      <w:pPr>
        <w:spacing w:line="360" w:lineRule="auto"/>
        <w:ind w:firstLine="600" w:firstLineChars="250"/>
        <w:rPr>
          <w:rFonts w:ascii="宋体" w:hAnsi="宋体"/>
          <w:color w:val="000000"/>
          <w:sz w:val="24"/>
          <w:szCs w:val="24"/>
        </w:rPr>
      </w:pPr>
      <w:r>
        <w:rPr>
          <w:rFonts w:hint="eastAsia" w:ascii="宋体" w:hAnsi="宋体"/>
          <w:sz w:val="24"/>
          <w:szCs w:val="24"/>
        </w:rPr>
        <w:t>鄂尔多斯市准格尔旗公共资源交易中心受</w:t>
      </w:r>
      <w:r>
        <w:rPr>
          <w:rFonts w:hint="eastAsia" w:ascii="宋体" w:hAnsi="宋体"/>
          <w:sz w:val="24"/>
          <w:szCs w:val="24"/>
          <w:lang w:eastAsia="zh-CN"/>
        </w:rPr>
        <w:t>准格尔旗教育体育局</w:t>
      </w:r>
      <w:r>
        <w:rPr>
          <w:rFonts w:hint="eastAsia" w:ascii="宋体" w:hAnsi="宋体"/>
          <w:sz w:val="24"/>
          <w:szCs w:val="24"/>
        </w:rPr>
        <w:t>委托，采用公开招标方式组织采购</w:t>
      </w:r>
      <w:r>
        <w:rPr>
          <w:rFonts w:hint="eastAsia" w:ascii="宋体" w:hAnsi="宋体"/>
          <w:sz w:val="24"/>
          <w:szCs w:val="24"/>
          <w:lang w:eastAsia="zh-CN"/>
        </w:rPr>
        <w:t>准格尔旗教育体育局采购玻璃圪旦、五家尧、龙口小学和准八中、准四中室内外监控项目</w:t>
      </w:r>
      <w:r>
        <w:rPr>
          <w:rFonts w:hint="eastAsia" w:ascii="宋体" w:hAnsi="宋体"/>
          <w:color w:val="000000"/>
          <w:sz w:val="24"/>
          <w:szCs w:val="24"/>
        </w:rPr>
        <w:t>。欢迎符合资格条件的投标人前来报名参加。</w:t>
      </w:r>
    </w:p>
    <w:p>
      <w:pPr>
        <w:spacing w:line="360" w:lineRule="auto"/>
        <w:rPr>
          <w:rFonts w:ascii="宋体" w:hAnsi="宋体"/>
          <w:b/>
          <w:color w:val="000000"/>
          <w:sz w:val="24"/>
          <w:szCs w:val="24"/>
        </w:rPr>
      </w:pPr>
      <w:r>
        <w:rPr>
          <w:rFonts w:hint="eastAsia" w:ascii="宋体" w:hAnsi="宋体"/>
          <w:b/>
          <w:color w:val="000000"/>
          <w:sz w:val="24"/>
          <w:szCs w:val="24"/>
        </w:rPr>
        <w:t>一.项目概述</w:t>
      </w:r>
    </w:p>
    <w:p>
      <w:pPr>
        <w:pStyle w:val="40"/>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left="476" w:leftChars="170" w:firstLine="0" w:firstLineChars="0"/>
        <w:jc w:val="left"/>
        <w:rPr>
          <w:rFonts w:hint="eastAsia" w:ascii="宋体" w:hAnsi="宋体"/>
          <w:sz w:val="24"/>
          <w:szCs w:val="24"/>
          <w:lang w:eastAsia="zh-CN"/>
        </w:rPr>
      </w:pPr>
      <w:r>
        <w:rPr>
          <w:rFonts w:hint="eastAsia" w:ascii="宋体" w:hAnsi="宋体"/>
          <w:sz w:val="24"/>
          <w:szCs w:val="24"/>
        </w:rPr>
        <w:t>项目名称：</w:t>
      </w:r>
      <w:r>
        <w:rPr>
          <w:rFonts w:hint="eastAsia" w:ascii="宋体" w:hAnsi="宋体"/>
          <w:sz w:val="24"/>
          <w:szCs w:val="24"/>
          <w:lang w:eastAsia="zh-CN"/>
        </w:rPr>
        <w:t>准格尔旗教育体育局采购玻璃圪旦、五家尧、龙口小学和准八中、准四中室内外监控项目</w:t>
      </w:r>
    </w:p>
    <w:p>
      <w:pPr>
        <w:spacing w:line="360" w:lineRule="auto"/>
        <w:ind w:left="476" w:leftChars="170" w:firstLine="0" w:firstLineChars="0"/>
        <w:jc w:val="left"/>
        <w:rPr>
          <w:rFonts w:hint="eastAsia" w:ascii="宋体" w:hAnsi="宋体" w:eastAsia="宋体"/>
          <w:sz w:val="24"/>
          <w:szCs w:val="24"/>
          <w:lang w:eastAsia="zh-CN"/>
        </w:rPr>
      </w:pPr>
      <w:r>
        <w:rPr>
          <w:rFonts w:hint="eastAsia" w:ascii="宋体" w:hAnsi="宋体"/>
          <w:sz w:val="24"/>
          <w:szCs w:val="24"/>
        </w:rPr>
        <w:t>采购文件编号：</w:t>
      </w:r>
      <w:r>
        <w:rPr>
          <w:rFonts w:hint="eastAsia" w:ascii="宋体" w:hAnsi="宋体"/>
          <w:sz w:val="24"/>
          <w:szCs w:val="24"/>
          <w:lang w:eastAsia="zh-CN"/>
        </w:rPr>
        <w:t>CG2019HGK2</w:t>
      </w:r>
      <w:r>
        <w:rPr>
          <w:rFonts w:hint="eastAsia" w:ascii="宋体" w:hAnsi="宋体"/>
          <w:sz w:val="24"/>
          <w:szCs w:val="24"/>
          <w:lang w:val="en-US" w:eastAsia="zh-CN"/>
        </w:rPr>
        <w:t>2</w:t>
      </w:r>
      <w:r>
        <w:rPr>
          <w:rFonts w:hint="eastAsia" w:ascii="宋体" w:hAnsi="宋体"/>
          <w:sz w:val="24"/>
          <w:szCs w:val="24"/>
          <w:lang w:eastAsia="zh-CN"/>
        </w:rPr>
        <w:t>66</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W w:w="9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83"/>
        <w:gridCol w:w="1525"/>
        <w:gridCol w:w="1466"/>
        <w:gridCol w:w="2742"/>
      </w:tblGrid>
      <w:tr>
        <w:tc>
          <w:tcPr>
            <w:tcW w:w="7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序号</w:t>
            </w:r>
          </w:p>
        </w:tc>
        <w:tc>
          <w:tcPr>
            <w:tcW w:w="2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货物服务名称</w:t>
            </w:r>
          </w:p>
        </w:tc>
        <w:tc>
          <w:tcPr>
            <w:tcW w:w="15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规模</w:t>
            </w:r>
          </w:p>
        </w:tc>
        <w:tc>
          <w:tcPr>
            <w:tcW w:w="146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采购需求</w:t>
            </w:r>
          </w:p>
        </w:tc>
        <w:tc>
          <w:tcPr>
            <w:tcW w:w="274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预算金额（万元）</w:t>
            </w:r>
          </w:p>
        </w:tc>
      </w:tr>
      <w:tr>
        <w:trPr>
          <w:trHeight w:val="575" w:hRule="atLeast"/>
        </w:trPr>
        <w:tc>
          <w:tcPr>
            <w:tcW w:w="776"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1</w:t>
            </w:r>
          </w:p>
        </w:tc>
        <w:tc>
          <w:tcPr>
            <w:tcW w:w="2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Calibri"/>
                <w:color w:val="auto"/>
                <w:sz w:val="24"/>
                <w:szCs w:val="24"/>
                <w:highlight w:val="none"/>
                <w:lang w:eastAsia="zh-CN"/>
              </w:rPr>
            </w:pPr>
            <w:r>
              <w:rPr>
                <w:rFonts w:hint="eastAsia" w:ascii="宋体" w:hAnsi="宋体" w:cs="Calibri"/>
                <w:color w:val="auto"/>
                <w:sz w:val="24"/>
                <w:szCs w:val="24"/>
                <w:highlight w:val="none"/>
                <w:lang w:eastAsia="zh-CN"/>
              </w:rPr>
              <w:t>玻璃圪旦、五家尧、龙口小学和准八中、准四中室内外监控</w:t>
            </w:r>
          </w:p>
        </w:tc>
        <w:tc>
          <w:tcPr>
            <w:tcW w:w="15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详见</w:t>
            </w:r>
          </w:p>
          <w:p>
            <w:pPr>
              <w:tabs>
                <w:tab w:val="left" w:pos="242"/>
                <w:tab w:val="center" w:pos="774"/>
              </w:tabs>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招标文件</w:t>
            </w:r>
          </w:p>
        </w:tc>
        <w:tc>
          <w:tcPr>
            <w:tcW w:w="1466"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详见</w:t>
            </w:r>
          </w:p>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招标文件</w:t>
            </w:r>
          </w:p>
        </w:tc>
        <w:tc>
          <w:tcPr>
            <w:tcW w:w="274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eastAsia="宋体" w:cs="Calibri"/>
                <w:sz w:val="24"/>
                <w:szCs w:val="24"/>
                <w:lang w:val="en-US" w:eastAsia="zh-CN"/>
              </w:rPr>
            </w:pPr>
            <w:r>
              <w:rPr>
                <w:rFonts w:hint="eastAsia" w:ascii="宋体" w:hAnsi="宋体" w:cs="宋体"/>
                <w:color w:val="auto"/>
                <w:kern w:val="0"/>
                <w:sz w:val="24"/>
                <w:szCs w:val="24"/>
                <w:highlight w:val="none"/>
              </w:rPr>
              <w:t>242</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3427</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投标人应符合《中华人民共和国政府采购法》第二十二条规定的条件。</w:t>
      </w:r>
    </w:p>
    <w:p>
      <w:pPr>
        <w:spacing w:line="360" w:lineRule="auto"/>
        <w:ind w:firstLine="480" w:firstLineChars="200"/>
        <w:rPr>
          <w:rFonts w:ascii="宋体" w:hAnsi="宋体"/>
          <w:sz w:val="24"/>
          <w:szCs w:val="24"/>
        </w:rPr>
      </w:pPr>
      <w:r>
        <w:rPr>
          <w:rFonts w:hint="eastAsia" w:ascii="宋体" w:hAnsi="宋体"/>
          <w:color w:val="000000"/>
          <w:sz w:val="24"/>
          <w:szCs w:val="24"/>
          <w:lang w:val="en-US" w:eastAsia="zh-CN"/>
        </w:rPr>
        <w:t>2、</w:t>
      </w:r>
      <w:r>
        <w:rPr>
          <w:rFonts w:hint="eastAsia" w:ascii="宋体" w:hAnsi="宋体"/>
          <w:sz w:val="24"/>
          <w:szCs w:val="24"/>
        </w:rPr>
        <w:t>投标人必须具有</w:t>
      </w:r>
      <w:r>
        <w:rPr>
          <w:rFonts w:hint="eastAsia" w:ascii="宋体" w:hAnsi="宋体"/>
          <w:sz w:val="24"/>
          <w:szCs w:val="24"/>
          <w:lang w:eastAsia="zh-CN"/>
        </w:rPr>
        <w:t>“</w:t>
      </w:r>
      <w:r>
        <w:rPr>
          <w:rFonts w:hint="eastAsia" w:ascii="宋体" w:hAnsi="宋体"/>
          <w:sz w:val="24"/>
          <w:szCs w:val="24"/>
        </w:rPr>
        <w:t>电子与智能化工程专业承包贰级</w:t>
      </w:r>
      <w:r>
        <w:rPr>
          <w:rFonts w:hint="eastAsia" w:ascii="宋体" w:hAnsi="宋体"/>
          <w:sz w:val="24"/>
          <w:szCs w:val="24"/>
          <w:lang w:eastAsia="zh-CN"/>
        </w:rPr>
        <w:t>及</w:t>
      </w:r>
      <w:r>
        <w:rPr>
          <w:rFonts w:hint="eastAsia" w:ascii="宋体" w:hAnsi="宋体"/>
          <w:sz w:val="24"/>
          <w:szCs w:val="24"/>
        </w:rPr>
        <w:t>以上（</w:t>
      </w:r>
      <w:r>
        <w:rPr>
          <w:rFonts w:hint="eastAsia" w:ascii="宋体" w:hAnsi="宋体"/>
          <w:sz w:val="24"/>
          <w:szCs w:val="24"/>
          <w:lang w:eastAsia="zh-CN"/>
        </w:rPr>
        <w:t>含</w:t>
      </w:r>
      <w:r>
        <w:rPr>
          <w:rFonts w:hint="eastAsia" w:ascii="宋体" w:hAnsi="宋体"/>
          <w:sz w:val="24"/>
          <w:szCs w:val="24"/>
        </w:rPr>
        <w:t>贰级）证书</w:t>
      </w:r>
      <w:r>
        <w:rPr>
          <w:rFonts w:hint="eastAsia" w:ascii="宋体" w:hAnsi="宋体"/>
          <w:sz w:val="24"/>
          <w:szCs w:val="24"/>
          <w:lang w:eastAsia="zh-CN"/>
        </w:rPr>
        <w:t>”</w:t>
      </w:r>
      <w:r>
        <w:rPr>
          <w:rFonts w:hint="eastAsia" w:ascii="宋体" w:hAnsi="宋体"/>
          <w:sz w:val="24"/>
          <w:szCs w:val="24"/>
        </w:rPr>
        <w:t>。（采购人负责供应商资质资格要求解释，潜在投标人如有咨询有义务告知资质资格不满足废标处理，以免在接下来的采购活动中产生不必要的人力、物力等资源的浪费。）</w:t>
      </w:r>
    </w:p>
    <w:p>
      <w:pPr>
        <w:spacing w:line="360" w:lineRule="auto"/>
        <w:rPr>
          <w:rFonts w:ascii="宋体" w:hAnsi="宋体"/>
          <w:sz w:val="24"/>
          <w:szCs w:val="24"/>
        </w:rPr>
      </w:pPr>
      <w:r>
        <w:rPr>
          <w:rFonts w:hint="eastAsia" w:ascii="宋体" w:hAnsi="宋体"/>
          <w:b/>
          <w:color w:val="000000"/>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符合上述条件的投标人可于20</w:t>
      </w:r>
      <w:r>
        <w:rPr>
          <w:rFonts w:hint="eastAsia" w:ascii="宋体" w:hAnsi="宋体"/>
          <w:sz w:val="24"/>
          <w:szCs w:val="24"/>
          <w:lang w:val="en-US" w:eastAsia="zh-CN"/>
        </w:rPr>
        <w:t>20</w:t>
      </w:r>
      <w:r>
        <w:rPr>
          <w:rFonts w:hint="eastAsia" w:ascii="宋体" w:hAnsi="宋体"/>
          <w:sz w:val="24"/>
          <w:szCs w:val="24"/>
        </w:rPr>
        <w:t xml:space="preserve">年 </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日起登录内蒙古自治区政府采购网、内蒙古自治区公共资源交易网、鄂尔多斯市政府采购网、鄂尔多斯市公共资源交易网或准格尔旗公共资源交易网站获取招标文件。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5.准格尔旗公共资源交易</w:t>
      </w:r>
      <w:r>
        <w:rPr>
          <w:rFonts w:hint="eastAsia" w:ascii="宋体" w:hAnsi="宋体"/>
          <w:sz w:val="24"/>
          <w:szCs w:val="24"/>
          <w:lang w:val="en-US" w:eastAsia="zh-CN"/>
        </w:rPr>
        <w:t>网</w:t>
      </w:r>
      <w:r>
        <w:rPr>
          <w:rFonts w:hint="eastAsia" w:ascii="宋体" w:hAnsi="宋体"/>
          <w:sz w:val="24"/>
          <w:szCs w:val="24"/>
        </w:rPr>
        <w:t>（http://www.ordosggzyjy.org.cn/TPFront_zgeq）登陆网站页面，点击“政府采购”中的“信息公告”栏，查询采购信息，点击信息公告页面左下角“附件”即可浏览、下载招标文件。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6.报名方式及报名时间详见招标文件第二章“报名须知”。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日10时00分</w:t>
      </w:r>
    </w:p>
    <w:p>
      <w:pPr>
        <w:spacing w:line="360" w:lineRule="auto"/>
        <w:ind w:firstLine="480" w:firstLineChars="200"/>
        <w:rPr>
          <w:rFonts w:ascii="宋体" w:hAnsi="宋体"/>
          <w:sz w:val="24"/>
          <w:szCs w:val="24"/>
        </w:rPr>
      </w:pPr>
      <w:r>
        <w:rPr>
          <w:rFonts w:hint="eastAsia" w:ascii="宋体" w:hAnsi="宋体"/>
          <w:sz w:val="24"/>
          <w:szCs w:val="24"/>
        </w:rPr>
        <w:t>投标地点：鄂尔多斯市准格尔旗公共资源交易中心二楼开标室（准格尔旗大路新区）</w:t>
      </w:r>
    </w:p>
    <w:p>
      <w:pPr>
        <w:spacing w:line="360" w:lineRule="auto"/>
        <w:ind w:firstLine="480" w:firstLineChars="200"/>
        <w:rPr>
          <w:rFonts w:ascii="宋体" w:hAnsi="宋体"/>
          <w:sz w:val="24"/>
          <w:szCs w:val="24"/>
        </w:rPr>
      </w:pPr>
      <w:r>
        <w:rPr>
          <w:rFonts w:hint="eastAsia" w:ascii="宋体" w:hAnsi="宋体"/>
          <w:sz w:val="24"/>
          <w:szCs w:val="24"/>
        </w:rPr>
        <w:t>开标时间：20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日10时00分整</w:t>
      </w:r>
    </w:p>
    <w:p>
      <w:pPr>
        <w:spacing w:line="360" w:lineRule="auto"/>
        <w:ind w:firstLine="480" w:firstLineChars="200"/>
        <w:rPr>
          <w:rFonts w:ascii="宋体" w:hAnsi="宋体"/>
          <w:sz w:val="24"/>
          <w:szCs w:val="24"/>
        </w:rPr>
      </w:pPr>
      <w:r>
        <w:rPr>
          <w:rFonts w:hint="eastAsia" w:ascii="宋体" w:hAnsi="宋体"/>
          <w:sz w:val="24"/>
          <w:szCs w:val="24"/>
        </w:rPr>
        <w:t>开标地点：鄂尔多斯市准格尔旗公共资源交易中心二楼开标室（准格尔旗大路新区）</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采购代理机构名称：鄂尔多斯市准格尔旗公共资源交易中心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    址：准格尔旗大路新区图书馆南侧</w:t>
      </w:r>
    </w:p>
    <w:p>
      <w:pPr>
        <w:spacing w:line="360" w:lineRule="auto"/>
        <w:ind w:firstLine="480" w:firstLineChars="200"/>
        <w:rPr>
          <w:rFonts w:ascii="宋体" w:hAnsi="宋体"/>
          <w:sz w:val="24"/>
          <w:szCs w:val="24"/>
        </w:rPr>
      </w:pPr>
      <w:r>
        <w:rPr>
          <w:rFonts w:hint="eastAsia" w:ascii="宋体" w:hAnsi="宋体"/>
          <w:sz w:val="24"/>
          <w:szCs w:val="24"/>
        </w:rPr>
        <w:t>邮政编码：010321</w:t>
      </w:r>
    </w:p>
    <w:p>
      <w:pPr>
        <w:spacing w:line="360" w:lineRule="auto"/>
        <w:ind w:firstLine="480" w:firstLineChars="200"/>
        <w:rPr>
          <w:rFonts w:ascii="宋体" w:hAnsi="宋体"/>
          <w:color w:val="000000"/>
          <w:sz w:val="24"/>
          <w:szCs w:val="24"/>
        </w:rPr>
      </w:pPr>
      <w:r>
        <w:rPr>
          <w:rFonts w:hint="eastAsia" w:ascii="宋体" w:hAnsi="宋体"/>
          <w:sz w:val="24"/>
          <w:szCs w:val="24"/>
        </w:rPr>
        <w:t>联系电话：0477-3864232</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准格尔旗教育体育局</w:t>
      </w:r>
    </w:p>
    <w:p>
      <w:pPr>
        <w:spacing w:line="360" w:lineRule="auto"/>
        <w:ind w:firstLine="480" w:firstLineChars="200"/>
        <w:rPr>
          <w:rFonts w:ascii="宋体" w:hAnsi="宋体"/>
          <w:sz w:val="24"/>
          <w:szCs w:val="24"/>
        </w:rPr>
      </w:pPr>
      <w:r>
        <w:rPr>
          <w:rFonts w:hint="eastAsia" w:ascii="宋体" w:hAnsi="宋体"/>
          <w:sz w:val="24"/>
          <w:szCs w:val="24"/>
        </w:rPr>
        <w:t>地    址：准格尔旗薛家湾镇</w:t>
      </w:r>
    </w:p>
    <w:p>
      <w:pPr>
        <w:spacing w:line="360" w:lineRule="auto"/>
        <w:ind w:firstLine="480" w:firstLineChars="200"/>
        <w:rPr>
          <w:rFonts w:ascii="宋体" w:hAnsi="宋体"/>
          <w:sz w:val="24"/>
          <w:szCs w:val="24"/>
        </w:rPr>
      </w:pPr>
      <w:r>
        <w:rPr>
          <w:rFonts w:hint="eastAsia" w:ascii="宋体" w:hAnsi="宋体"/>
          <w:sz w:val="24"/>
          <w:szCs w:val="24"/>
        </w:rPr>
        <w:t>邮政编码：010329</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联 系 人：</w:t>
      </w:r>
      <w:r>
        <w:rPr>
          <w:rFonts w:hint="eastAsia" w:ascii="宋体" w:hAnsi="宋体"/>
          <w:sz w:val="24"/>
          <w:szCs w:val="24"/>
          <w:lang w:val="en-US" w:eastAsia="zh-CN"/>
        </w:rPr>
        <w:t>祁永</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0477-3973288</w:t>
      </w:r>
    </w:p>
    <w:p>
      <w:pPr>
        <w:spacing w:line="360" w:lineRule="auto"/>
        <w:ind w:firstLine="480" w:firstLineChars="200"/>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rPr>
        <w:t xml:space="preserve">                              鄂尔多斯市准格尔旗公共资源交易中心</w:t>
      </w:r>
    </w:p>
    <w:p>
      <w:pPr>
        <w:ind w:firstLine="5280" w:firstLineChars="2200"/>
        <w:rPr>
          <w:rFonts w:ascii="宋体" w:hAnsi="宋体"/>
          <w:sz w:val="24"/>
          <w:szCs w:val="24"/>
          <w:highlight w:val="none"/>
        </w:rPr>
      </w:pPr>
      <w:r>
        <w:rPr>
          <w:rFonts w:hint="eastAsia" w:ascii="宋体" w:hAnsi="宋体"/>
          <w:sz w:val="24"/>
          <w:szCs w:val="24"/>
          <w:highlight w:val="none"/>
        </w:rPr>
        <w:t>20</w:t>
      </w:r>
      <w:r>
        <w:rPr>
          <w:rFonts w:hint="eastAsia" w:ascii="宋体" w:hAnsi="宋体"/>
          <w:sz w:val="24"/>
          <w:szCs w:val="24"/>
          <w:highlight w:val="none"/>
          <w:lang w:val="en-US" w:eastAsia="zh-CN"/>
        </w:rPr>
        <w:t>20</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58"/>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内容及要求</w:t>
            </w:r>
          </w:p>
        </w:tc>
      </w:tr>
      <w:tr>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840" w:firstLineChars="350"/>
              <w:rPr>
                <w:rFonts w:hint="default" w:ascii="宋体" w:hAnsi="宋体" w:cs="Calibri"/>
                <w:color w:val="000000"/>
                <w:sz w:val="24"/>
                <w:szCs w:val="24"/>
              </w:rPr>
            </w:pPr>
            <w:r>
              <w:rPr>
                <w:rFonts w:hint="eastAsia" w:ascii="宋体" w:hAnsi="宋体" w:cs="Calibri"/>
                <w:color w:val="000000"/>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Calibri"/>
                <w:color w:val="000000"/>
                <w:sz w:val="24"/>
                <w:szCs w:val="24"/>
                <w:lang w:eastAsia="zh-CN"/>
              </w:rPr>
            </w:pPr>
            <w:r>
              <w:rPr>
                <w:rFonts w:hint="eastAsia" w:ascii="宋体" w:hAnsi="宋体" w:cs="Calibri"/>
                <w:color w:val="000000"/>
                <w:sz w:val="24"/>
                <w:szCs w:val="24"/>
                <w:lang w:eastAsia="zh-CN"/>
              </w:rPr>
              <w:t>准格尔旗教育体育局</w:t>
            </w:r>
          </w:p>
          <w:p>
            <w:pPr>
              <w:spacing w:before="0" w:beforeAutospacing="0" w:after="0" w:afterAutospacing="0" w:line="360" w:lineRule="auto"/>
              <w:ind w:left="0" w:right="-140" w:rightChars="-50"/>
              <w:rPr>
                <w:rFonts w:hint="default" w:ascii="宋体" w:hAnsi="宋体" w:cs="Calibri"/>
                <w:color w:val="000000"/>
                <w:sz w:val="24"/>
                <w:szCs w:val="24"/>
                <w:lang w:val="en-US"/>
              </w:rPr>
            </w:pPr>
            <w:r>
              <w:rPr>
                <w:rFonts w:hint="eastAsia" w:ascii="宋体" w:hAnsi="宋体" w:cs="Calibri"/>
                <w:color w:val="000000"/>
                <w:sz w:val="24"/>
                <w:szCs w:val="24"/>
              </w:rPr>
              <w:t>联系人：</w:t>
            </w:r>
            <w:r>
              <w:rPr>
                <w:rFonts w:hint="eastAsia" w:ascii="宋体" w:hAnsi="宋体" w:cs="Calibri"/>
                <w:sz w:val="24"/>
                <w:szCs w:val="24"/>
                <w:lang w:val="en-US" w:eastAsia="zh-CN"/>
              </w:rPr>
              <w:t>祁永</w:t>
            </w:r>
            <w:r>
              <w:rPr>
                <w:rFonts w:hint="eastAsia" w:ascii="宋体" w:hAnsi="宋体" w:cs="Calibri"/>
                <w:color w:val="000000"/>
                <w:sz w:val="24"/>
                <w:szCs w:val="24"/>
              </w:rPr>
              <w:t xml:space="preserve">              联系电话：</w:t>
            </w:r>
            <w:r>
              <w:rPr>
                <w:rFonts w:hint="eastAsia" w:ascii="宋体" w:hAnsi="宋体" w:cs="Calibri"/>
                <w:sz w:val="24"/>
                <w:szCs w:val="24"/>
                <w:lang w:val="en-US" w:eastAsia="zh-CN"/>
              </w:rPr>
              <w:t>0477-3973288</w:t>
            </w:r>
          </w:p>
          <w:p>
            <w:pPr>
              <w:spacing w:before="0" w:beforeAutospacing="0" w:after="0" w:afterAutospacing="0" w:line="360" w:lineRule="auto"/>
              <w:ind w:left="0" w:right="-140" w:rightChars="-50"/>
              <w:rPr>
                <w:rFonts w:hint="default" w:ascii="宋体" w:hAnsi="宋体" w:cs="Calibri"/>
                <w:color w:val="000000"/>
                <w:sz w:val="24"/>
                <w:szCs w:val="24"/>
              </w:rPr>
            </w:pPr>
            <w:r>
              <w:rPr>
                <w:rFonts w:hint="eastAsia" w:ascii="宋体" w:hAnsi="宋体" w:cs="Calibri"/>
                <w:color w:val="000000"/>
                <w:sz w:val="24"/>
                <w:szCs w:val="24"/>
              </w:rPr>
              <w:t>地址：准格尔旗薛家湾镇</w:t>
            </w:r>
          </w:p>
        </w:tc>
      </w:tr>
      <w:tr>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宋体" w:cs="Calibri"/>
                <w:color w:val="000000"/>
                <w:sz w:val="24"/>
                <w:szCs w:val="24"/>
              </w:rPr>
            </w:pPr>
            <w:r>
              <w:rPr>
                <w:rFonts w:hint="eastAsia" w:ascii="宋体" w:hAnsi="宋体" w:cs="Calibri"/>
                <w:color w:val="000000"/>
                <w:sz w:val="24"/>
                <w:szCs w:val="24"/>
              </w:rPr>
              <w:t xml:space="preserve">鄂尔多斯市准格尔旗公共资源交易中心 </w:t>
            </w:r>
          </w:p>
          <w:p>
            <w:pPr>
              <w:spacing w:before="0" w:beforeAutospacing="0" w:after="0" w:afterAutospacing="0" w:line="360" w:lineRule="auto"/>
              <w:ind w:left="0" w:right="-140" w:rightChars="-50"/>
              <w:rPr>
                <w:rFonts w:hint="default" w:ascii="宋体" w:hAnsi="宋体" w:cs="Calibri"/>
                <w:color w:val="000000"/>
                <w:sz w:val="24"/>
                <w:szCs w:val="24"/>
              </w:rPr>
            </w:pPr>
            <w:r>
              <w:rPr>
                <w:rFonts w:hint="eastAsia" w:ascii="宋体" w:hAnsi="宋体" w:cs="Calibri"/>
                <w:color w:val="000000"/>
                <w:sz w:val="24"/>
                <w:szCs w:val="24"/>
              </w:rPr>
              <w:t>联系电话：0477-3864232</w:t>
            </w:r>
          </w:p>
          <w:p>
            <w:pPr>
              <w:spacing w:before="0" w:beforeAutospacing="0" w:after="0" w:afterAutospacing="0" w:line="360" w:lineRule="auto"/>
              <w:ind w:left="0" w:right="-140" w:rightChars="-50"/>
              <w:rPr>
                <w:rFonts w:hint="default" w:ascii="宋体" w:hAnsi="宋体" w:cs="Calibri"/>
                <w:color w:val="000000"/>
                <w:sz w:val="24"/>
                <w:szCs w:val="24"/>
              </w:rPr>
            </w:pPr>
            <w:r>
              <w:rPr>
                <w:rFonts w:hint="eastAsia" w:ascii="宋体" w:hAnsi="宋体" w:cs="Calibri"/>
                <w:color w:val="000000"/>
                <w:sz w:val="24"/>
                <w:szCs w:val="24"/>
              </w:rPr>
              <w:t>地址：准格尔旗大路新区图书馆南侧</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Lines="50" w:beforeAutospacing="0" w:after="0" w:afterAutospacing="0" w:line="360" w:lineRule="auto"/>
              <w:ind w:left="0" w:right="0"/>
              <w:textAlignment w:val="baseline"/>
              <w:rPr>
                <w:rFonts w:hint="default" w:ascii="宋体" w:hAnsi="宋体" w:cs="Calibri"/>
                <w:color w:val="000000"/>
                <w:sz w:val="24"/>
                <w:szCs w:val="24"/>
              </w:rPr>
            </w:pPr>
            <w:r>
              <w:rPr>
                <w:rFonts w:hint="eastAsia" w:ascii="宋体" w:hAnsi="宋体" w:cs="Calibri"/>
                <w:color w:val="000000"/>
                <w:sz w:val="24"/>
                <w:szCs w:val="24"/>
              </w:rPr>
              <w:t>详见招标文件第四章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宋体"/>
                <w:color w:val="auto"/>
                <w:kern w:val="0"/>
                <w:sz w:val="24"/>
                <w:szCs w:val="24"/>
                <w:highlight w:val="none"/>
                <w:u w:val="single" w:color="auto"/>
              </w:rPr>
              <w:t>2423427</w:t>
            </w:r>
            <w:r>
              <w:rPr>
                <w:rFonts w:hint="eastAsia" w:ascii="宋体" w:hAnsi="宋体" w:cs="宋体"/>
                <w:color w:val="auto"/>
                <w:kern w:val="0"/>
                <w:sz w:val="24"/>
                <w:szCs w:val="24"/>
                <w:highlight w:val="none"/>
                <w:u w:val="single" w:color="auto"/>
                <w:lang w:val="en-US" w:eastAsia="zh-CN"/>
              </w:rPr>
              <w:t>.00</w:t>
            </w:r>
            <w:r>
              <w:rPr>
                <w:rFonts w:hint="eastAsia" w:ascii="宋体" w:hAnsi="宋体" w:cs="Calibri"/>
                <w:color w:val="000000"/>
                <w:sz w:val="24"/>
                <w:szCs w:val="24"/>
              </w:rPr>
              <w:t xml:space="preserve"> 元</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√一整包、□共包</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lang w:eastAsia="zh-CN"/>
              </w:rPr>
              <w:t>☑</w:t>
            </w:r>
            <w:r>
              <w:rPr>
                <w:rFonts w:hint="eastAsia" w:ascii="宋体" w:hAnsi="宋体" w:cs="Calibri"/>
                <w:color w:val="000000"/>
                <w:sz w:val="24"/>
                <w:szCs w:val="24"/>
              </w:rPr>
              <w:t>国库集中支付、</w:t>
            </w:r>
            <w:r>
              <w:rPr>
                <w:rFonts w:hint="eastAsia" w:ascii="宋体" w:hAnsi="宋体" w:cs="Calibri"/>
                <w:color w:val="000000"/>
                <w:sz w:val="24"/>
                <w:szCs w:val="24"/>
                <w:lang w:eastAsia="zh-CN"/>
              </w:rPr>
              <w:t>□</w:t>
            </w:r>
            <w:r>
              <w:rPr>
                <w:rFonts w:hint="eastAsia" w:ascii="宋体" w:hAnsi="宋体" w:cs="Calibri"/>
                <w:color w:val="000000"/>
                <w:sz w:val="24"/>
                <w:szCs w:val="24"/>
              </w:rPr>
              <w:t>单位自行支付、□其他</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公开招标</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firstLine="120" w:firstLineChars="50"/>
              <w:rPr>
                <w:rFonts w:hint="default" w:ascii="宋体" w:hAnsi="宋体" w:cs="Calibri"/>
                <w:color w:val="000000"/>
                <w:sz w:val="24"/>
                <w:szCs w:val="24"/>
              </w:rPr>
            </w:pPr>
            <w:r>
              <w:rPr>
                <w:rFonts w:hint="eastAsia" w:ascii="宋体" w:hAnsi="宋体" w:cs="Calibri"/>
                <w:color w:val="000000"/>
                <w:sz w:val="24"/>
                <w:szCs w:val="24"/>
                <w:lang w:eastAsia="zh-CN"/>
              </w:rPr>
              <w:t>最低评标价法</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rPr>
                <w:rFonts w:hint="default" w:ascii="宋体" w:hAnsi="宋体" w:cs="Calibri"/>
                <w:color w:val="000000"/>
                <w:sz w:val="24"/>
                <w:szCs w:val="24"/>
              </w:rPr>
            </w:pPr>
            <w:r>
              <w:rPr>
                <w:rFonts w:hint="eastAsia" w:ascii="宋体" w:hAnsi="宋体" w:cs="Calibri"/>
                <w:color w:val="000000"/>
                <w:sz w:val="24"/>
                <w:szCs w:val="24"/>
              </w:rPr>
              <w:t>评标委员会依法组建，由采购人代表和评审专家组成共</w:t>
            </w:r>
            <w:r>
              <w:rPr>
                <w:rFonts w:hint="eastAsia" w:ascii="宋体" w:hAnsi="宋体" w:cs="Calibri"/>
                <w:color w:val="000000"/>
                <w:sz w:val="24"/>
                <w:szCs w:val="24"/>
                <w:u w:val="single"/>
              </w:rPr>
              <w:t xml:space="preserve"> 五 </w:t>
            </w:r>
            <w:r>
              <w:rPr>
                <w:rFonts w:hint="eastAsia" w:ascii="宋体" w:hAnsi="宋体" w:cs="Calibri"/>
                <w:color w:val="000000"/>
                <w:sz w:val="24"/>
                <w:szCs w:val="24"/>
              </w:rPr>
              <w:t>人及以上单数</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firstLine="120" w:firstLineChars="50"/>
              <w:rPr>
                <w:rFonts w:hint="default" w:ascii="宋体" w:hAnsi="宋体" w:cs="Calibri"/>
                <w:color w:val="000000"/>
                <w:sz w:val="24"/>
                <w:szCs w:val="24"/>
              </w:rPr>
            </w:pPr>
            <w:r>
              <w:rPr>
                <w:rFonts w:hint="eastAsia" w:ascii="宋体" w:hAnsi="宋体" w:cs="Calibri"/>
                <w:color w:val="000000"/>
                <w:sz w:val="24"/>
                <w:szCs w:val="24"/>
              </w:rPr>
              <w:t>采购人授权评标委员会按照评审原则直接确定中标人。</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firstLine="175" w:firstLineChars="73"/>
              <w:rPr>
                <w:rFonts w:hint="default" w:ascii="宋体" w:hAnsi="宋体" w:cs="Calibri"/>
                <w:color w:val="000000"/>
                <w:sz w:val="24"/>
                <w:szCs w:val="24"/>
              </w:rPr>
            </w:pPr>
            <w:r>
              <w:rPr>
                <w:rFonts w:hint="eastAsia" w:ascii="宋体" w:hAnsi="宋体" w:cs="Calibri"/>
                <w:color w:val="000000"/>
                <w:sz w:val="24"/>
                <w:szCs w:val="24"/>
              </w:rPr>
              <w:t>详见招标公告</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firstLine="175" w:firstLineChars="73"/>
              <w:rPr>
                <w:rFonts w:hint="default" w:ascii="宋体" w:hAnsi="宋体" w:cs="Calibri"/>
                <w:color w:val="000000"/>
                <w:sz w:val="24"/>
                <w:szCs w:val="24"/>
              </w:rPr>
            </w:pPr>
            <w:r>
              <w:rPr>
                <w:rFonts w:hint="eastAsia" w:ascii="宋体" w:hAnsi="宋体" w:cs="Calibri"/>
                <w:color w:val="000000"/>
                <w:sz w:val="24"/>
                <w:szCs w:val="24"/>
              </w:rPr>
              <w:t>从提交投标文件的截止之日起90日历天</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firstLine="175" w:firstLineChars="73"/>
              <w:rPr>
                <w:rFonts w:hint="default" w:ascii="宋体" w:hAnsi="宋体" w:cs="Calibri"/>
                <w:color w:val="000000"/>
                <w:sz w:val="24"/>
                <w:szCs w:val="24"/>
                <w:highlight w:val="none"/>
              </w:rPr>
            </w:pPr>
            <w:r>
              <w:rPr>
                <w:rFonts w:hint="eastAsia" w:ascii="宋体" w:hAnsi="宋体" w:cs="Calibri"/>
                <w:color w:val="000000"/>
                <w:sz w:val="24"/>
                <w:szCs w:val="24"/>
                <w:highlight w:val="none"/>
              </w:rPr>
              <w:t>20</w:t>
            </w:r>
            <w:r>
              <w:rPr>
                <w:rFonts w:hint="eastAsia" w:ascii="宋体" w:hAnsi="宋体" w:cs="Calibri"/>
                <w:color w:val="000000"/>
                <w:sz w:val="24"/>
                <w:szCs w:val="24"/>
                <w:highlight w:val="none"/>
                <w:lang w:val="en-US" w:eastAsia="zh-CN"/>
              </w:rPr>
              <w:t>20</w:t>
            </w:r>
            <w:r>
              <w:rPr>
                <w:rFonts w:hint="eastAsia" w:ascii="宋体" w:hAnsi="宋体" w:cs="Calibri"/>
                <w:color w:val="000000"/>
                <w:sz w:val="24"/>
                <w:szCs w:val="24"/>
                <w:highlight w:val="none"/>
              </w:rPr>
              <w:t>年</w:t>
            </w:r>
            <w:r>
              <w:rPr>
                <w:rFonts w:hint="eastAsia" w:ascii="宋体" w:hAnsi="宋体" w:cs="Calibri"/>
                <w:color w:val="000000"/>
                <w:sz w:val="24"/>
                <w:szCs w:val="24"/>
                <w:highlight w:val="none"/>
                <w:lang w:val="en-US" w:eastAsia="zh-CN"/>
              </w:rPr>
              <w:t>4</w:t>
            </w:r>
            <w:r>
              <w:rPr>
                <w:rFonts w:hint="eastAsia" w:ascii="宋体" w:hAnsi="宋体" w:cs="Calibri"/>
                <w:color w:val="000000"/>
                <w:sz w:val="24"/>
                <w:szCs w:val="24"/>
                <w:highlight w:val="none"/>
              </w:rPr>
              <w:t>月</w:t>
            </w:r>
            <w:r>
              <w:rPr>
                <w:rFonts w:hint="eastAsia" w:ascii="宋体" w:hAnsi="宋体" w:cs="Calibri"/>
                <w:color w:val="000000"/>
                <w:sz w:val="24"/>
                <w:szCs w:val="24"/>
                <w:highlight w:val="none"/>
                <w:lang w:val="en-US" w:eastAsia="zh-CN"/>
              </w:rPr>
              <w:t>24</w:t>
            </w:r>
            <w:r>
              <w:rPr>
                <w:rFonts w:hint="eastAsia" w:ascii="宋体" w:hAnsi="宋体" w:cs="Calibri"/>
                <w:color w:val="000000"/>
                <w:sz w:val="24"/>
                <w:szCs w:val="24"/>
                <w:highlight w:val="none"/>
              </w:rPr>
              <w:t xml:space="preserve">日09时30分--10时00分 </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firstLine="175" w:firstLineChars="73"/>
              <w:rPr>
                <w:rFonts w:hint="default" w:ascii="宋体" w:hAnsi="宋体" w:cs="Calibri"/>
                <w:color w:val="000000"/>
                <w:sz w:val="24"/>
                <w:szCs w:val="24"/>
                <w:highlight w:val="none"/>
              </w:rPr>
            </w:pPr>
            <w:r>
              <w:rPr>
                <w:rFonts w:hint="eastAsia" w:ascii="宋体" w:hAnsi="宋体" w:cs="Calibri"/>
                <w:color w:val="000000"/>
                <w:sz w:val="24"/>
                <w:szCs w:val="24"/>
                <w:highlight w:val="none"/>
              </w:rPr>
              <w:t>20</w:t>
            </w:r>
            <w:r>
              <w:rPr>
                <w:rFonts w:hint="eastAsia" w:ascii="宋体" w:hAnsi="宋体" w:cs="Calibri"/>
                <w:color w:val="000000"/>
                <w:sz w:val="24"/>
                <w:szCs w:val="24"/>
                <w:highlight w:val="none"/>
                <w:lang w:val="en-US" w:eastAsia="zh-CN"/>
              </w:rPr>
              <w:t>20</w:t>
            </w:r>
            <w:r>
              <w:rPr>
                <w:rFonts w:hint="eastAsia" w:ascii="宋体" w:hAnsi="宋体" w:cs="Calibri"/>
                <w:color w:val="000000"/>
                <w:sz w:val="24"/>
                <w:szCs w:val="24"/>
                <w:highlight w:val="none"/>
              </w:rPr>
              <w:t>年</w:t>
            </w:r>
            <w:r>
              <w:rPr>
                <w:rFonts w:hint="eastAsia" w:ascii="宋体" w:hAnsi="宋体" w:cs="Calibri"/>
                <w:color w:val="000000"/>
                <w:sz w:val="24"/>
                <w:szCs w:val="24"/>
                <w:highlight w:val="none"/>
                <w:lang w:val="en-US" w:eastAsia="zh-CN"/>
              </w:rPr>
              <w:t>4</w:t>
            </w:r>
            <w:r>
              <w:rPr>
                <w:rFonts w:hint="eastAsia" w:ascii="宋体" w:hAnsi="宋体" w:cs="Calibri"/>
                <w:color w:val="000000"/>
                <w:sz w:val="24"/>
                <w:szCs w:val="24"/>
                <w:highlight w:val="none"/>
              </w:rPr>
              <w:t>月</w:t>
            </w:r>
            <w:r>
              <w:rPr>
                <w:rFonts w:hint="eastAsia" w:ascii="宋体" w:hAnsi="宋体" w:cs="Calibri"/>
                <w:color w:val="000000"/>
                <w:sz w:val="24"/>
                <w:szCs w:val="24"/>
                <w:highlight w:val="none"/>
                <w:lang w:val="en-US" w:eastAsia="zh-CN"/>
              </w:rPr>
              <w:t>24</w:t>
            </w:r>
            <w:r>
              <w:rPr>
                <w:rFonts w:hint="eastAsia" w:ascii="宋体" w:hAnsi="宋体" w:cs="Calibri"/>
                <w:color w:val="000000"/>
                <w:sz w:val="24"/>
                <w:szCs w:val="24"/>
                <w:highlight w:val="none"/>
              </w:rPr>
              <w:t>日10时00分整</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rPr>
                <w:rFonts w:hint="default" w:ascii="宋体" w:hAnsi="宋体" w:cs="Calibri"/>
                <w:color w:val="000000"/>
                <w:sz w:val="24"/>
                <w:szCs w:val="24"/>
              </w:rPr>
            </w:pPr>
            <w:r>
              <w:rPr>
                <w:rFonts w:hint="eastAsia" w:ascii="宋体" w:hAnsi="宋体" w:cs="Calibri"/>
                <w:color w:val="000000"/>
                <w:sz w:val="24"/>
                <w:szCs w:val="24"/>
              </w:rPr>
              <w:t>鄂尔多斯市准格尔旗公共资源交易中心二楼开标室（准格尔旗大路新区）</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57"/>
              <w:jc w:val="center"/>
              <w:rPr>
                <w:rFonts w:hint="default" w:ascii="宋体" w:hAnsi="宋体" w:cs="Calibri"/>
                <w:color w:val="000000"/>
                <w:sz w:val="24"/>
                <w:szCs w:val="24"/>
              </w:rPr>
            </w:pPr>
            <w:r>
              <w:rPr>
                <w:rFonts w:hint="eastAsia" w:ascii="宋体" w:hAnsi="宋体" w:cs="Calibri"/>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140" w:leftChars="-50" w:right="-140" w:rightChars="-50"/>
              <w:rPr>
                <w:rFonts w:hint="default" w:ascii="宋体" w:hAnsi="宋体" w:cs="Calibri"/>
                <w:color w:val="000000"/>
                <w:sz w:val="24"/>
                <w:szCs w:val="24"/>
              </w:rPr>
            </w:pPr>
            <w:r>
              <w:rPr>
                <w:rFonts w:hint="eastAsia" w:ascii="宋体" w:hAnsi="宋体" w:cs="Calibri"/>
                <w:color w:val="000000"/>
                <w:sz w:val="24"/>
                <w:szCs w:val="24"/>
              </w:rPr>
              <w:t>正本1份、副本4份，电子光盘1份（标明投标人名称）</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Calibri" w:cs="Calibri"/>
                <w:sz w:val="24"/>
                <w:szCs w:val="24"/>
              </w:rPr>
            </w:pPr>
            <w:r>
              <w:rPr>
                <w:rFonts w:hint="eastAsia" w:ascii="宋体" w:hAnsi="宋体" w:cs="宋体"/>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Calibri" w:cs="Calibri"/>
                <w:sz w:val="24"/>
                <w:szCs w:val="24"/>
              </w:rPr>
            </w:pPr>
            <w:r>
              <w:rPr>
                <w:rFonts w:hint="eastAsia" w:ascii="宋体" w:hAnsi="宋体" w:cs="宋体"/>
                <w:sz w:val="24"/>
                <w:szCs w:val="24"/>
              </w:rPr>
              <w:t>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宋体" w:cs="宋体"/>
                <w:sz w:val="24"/>
                <w:szCs w:val="24"/>
                <w:u w:val="single"/>
              </w:rPr>
            </w:pPr>
            <w:r>
              <w:rPr>
                <w:rFonts w:hint="eastAsia" w:ascii="宋体" w:hAnsi="宋体" w:cs="宋体"/>
                <w:sz w:val="24"/>
                <w:szCs w:val="20"/>
              </w:rPr>
              <w:t>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宋体" w:cs="Calibri"/>
                <w:color w:val="000000"/>
                <w:sz w:val="24"/>
                <w:szCs w:val="24"/>
              </w:rPr>
            </w:pPr>
            <w:r>
              <w:rPr>
                <w:rFonts w:hint="eastAsia" w:ascii="宋体" w:hAnsi="宋体" w:cs="Calibri"/>
                <w:color w:val="000000"/>
                <w:sz w:val="24"/>
                <w:szCs w:val="24"/>
              </w:rPr>
              <w:t>不允许</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宋体" w:cs="Calibri"/>
                <w:color w:val="000000"/>
                <w:sz w:val="24"/>
                <w:szCs w:val="24"/>
              </w:rPr>
            </w:pPr>
            <w:r>
              <w:rPr>
                <w:rFonts w:hint="eastAsia" w:ascii="宋体" w:hAnsi="宋体" w:cs="Calibri"/>
                <w:color w:val="000000"/>
                <w:sz w:val="24"/>
                <w:szCs w:val="24"/>
              </w:rPr>
              <w:t>□接受、√不接受</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宋体" w:cs="Calibri"/>
                <w:sz w:val="24"/>
                <w:szCs w:val="24"/>
              </w:rPr>
            </w:pPr>
            <w:r>
              <w:rPr>
                <w:rFonts w:hint="eastAsia" w:ascii="宋体" w:hAnsi="宋体" w:cs="Calibri"/>
                <w:sz w:val="24"/>
                <w:szCs w:val="24"/>
              </w:rPr>
              <w:t>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140" w:rightChars="-50"/>
              <w:rPr>
                <w:rFonts w:hint="default" w:ascii="宋体" w:hAnsi="宋体" w:cs="Calibri"/>
                <w:sz w:val="24"/>
                <w:szCs w:val="24"/>
              </w:rPr>
            </w:pPr>
            <w:r>
              <w:rPr>
                <w:rFonts w:hint="eastAsia" w:ascii="宋体" w:hAnsi="宋体" w:cs="Calibri"/>
                <w:sz w:val="24"/>
                <w:szCs w:val="24"/>
              </w:rPr>
              <w:t>不收取</w:t>
            </w:r>
          </w:p>
        </w:tc>
      </w:tr>
      <w:tr>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本招标项目采用“虚拟子账户”形式及法律法规规定的其它缴纳方式收退投标保证金。请各投标人特别关注并严格遵照招标文件中有关投标保证金缴纳的规定。</w:t>
            </w:r>
          </w:p>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保证金人民币：</w:t>
            </w:r>
            <w:r>
              <w:rPr>
                <w:rFonts w:hint="eastAsia" w:ascii="宋体" w:hAnsi="宋体" w:cs="Calibri"/>
                <w:b/>
                <w:bCs/>
                <w:color w:val="000000"/>
                <w:sz w:val="24"/>
                <w:szCs w:val="24"/>
                <w:u w:val="single" w:color="auto"/>
                <w:lang w:eastAsia="zh-CN"/>
              </w:rPr>
              <w:t>贰</w:t>
            </w:r>
            <w:r>
              <w:rPr>
                <w:rFonts w:hint="eastAsia" w:ascii="宋体" w:hAnsi="宋体" w:cs="Calibri"/>
                <w:b/>
                <w:bCs/>
                <w:color w:val="000000"/>
                <w:sz w:val="24"/>
                <w:szCs w:val="24"/>
                <w:u w:val="single"/>
              </w:rPr>
              <w:t>万元整</w:t>
            </w:r>
            <w:r>
              <w:rPr>
                <w:rFonts w:hint="eastAsia" w:ascii="宋体" w:hAnsi="宋体" w:cs="Calibri"/>
                <w:color w:val="000000"/>
                <w:sz w:val="24"/>
                <w:szCs w:val="24"/>
              </w:rPr>
              <w:t>。</w:t>
            </w:r>
          </w:p>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开户银行：</w:t>
            </w:r>
            <w:r>
              <w:rPr>
                <w:rFonts w:hint="eastAsia" w:ascii="宋体" w:hAnsi="宋体" w:cs="Calibri"/>
                <w:b/>
                <w:color w:val="000000"/>
                <w:sz w:val="24"/>
                <w:szCs w:val="24"/>
                <w:u w:val="single"/>
              </w:rPr>
              <w:t>准格尔煤田信用合作联社中山分社</w:t>
            </w:r>
            <w:r>
              <w:rPr>
                <w:rFonts w:hint="eastAsia" w:ascii="宋体" w:hAnsi="宋体" w:cs="Calibri"/>
                <w:color w:val="000000"/>
                <w:sz w:val="24"/>
                <w:szCs w:val="24"/>
              </w:rPr>
              <w:t>。</w:t>
            </w:r>
          </w:p>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行    号：</w:t>
            </w:r>
            <w:r>
              <w:rPr>
                <w:rFonts w:hint="eastAsia" w:ascii="宋体" w:hAnsi="宋体" w:cs="Calibri"/>
                <w:b/>
                <w:color w:val="000000"/>
                <w:sz w:val="24"/>
                <w:szCs w:val="24"/>
                <w:u w:val="single"/>
              </w:rPr>
              <w:t>402205300010</w:t>
            </w:r>
            <w:r>
              <w:rPr>
                <w:rFonts w:hint="eastAsia" w:ascii="宋体" w:hAnsi="宋体" w:cs="Calibri"/>
                <w:color w:val="000000"/>
                <w:sz w:val="24"/>
                <w:szCs w:val="24"/>
              </w:rPr>
              <w:t>。</w:t>
            </w:r>
          </w:p>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开户单位：</w:t>
            </w:r>
            <w:r>
              <w:rPr>
                <w:rFonts w:hint="eastAsia" w:ascii="宋体" w:hAnsi="宋体" w:cs="Calibri"/>
                <w:b/>
                <w:color w:val="000000"/>
                <w:sz w:val="24"/>
                <w:szCs w:val="24"/>
                <w:u w:val="single"/>
              </w:rPr>
              <w:t>鄂尔多斯市准格尔旗公共资源交易中心</w:t>
            </w:r>
            <w:r>
              <w:rPr>
                <w:rFonts w:hint="eastAsia" w:ascii="宋体" w:hAnsi="宋体" w:cs="Calibri"/>
                <w:color w:val="000000"/>
                <w:sz w:val="24"/>
                <w:szCs w:val="24"/>
              </w:rPr>
              <w:t>。</w:t>
            </w:r>
          </w:p>
          <w:p>
            <w:pPr>
              <w:spacing w:before="0" w:beforeAutospacing="0" w:after="0" w:afterAutospacing="0" w:line="360" w:lineRule="auto"/>
              <w:ind w:left="0" w:right="0"/>
              <w:rPr>
                <w:rFonts w:hint="default" w:ascii="宋体" w:hAnsi="宋体" w:cs="Calibri"/>
                <w:color w:val="FF0000"/>
                <w:sz w:val="24"/>
                <w:szCs w:val="24"/>
              </w:rPr>
            </w:pPr>
            <w:r>
              <w:rPr>
                <w:rFonts w:hint="eastAsia" w:ascii="宋体" w:hAnsi="宋体" w:cs="Calibri"/>
                <w:color w:val="000000"/>
                <w:sz w:val="24"/>
                <w:szCs w:val="24"/>
              </w:rPr>
              <w:t>账    号：</w:t>
            </w:r>
            <w:r>
              <w:rPr>
                <w:rFonts w:hint="eastAsia" w:ascii="宋体" w:hAnsi="宋体" w:cs="Calibri"/>
                <w:b/>
                <w:color w:val="000000"/>
                <w:sz w:val="24"/>
                <w:szCs w:val="24"/>
                <w:u w:val="single"/>
              </w:rPr>
              <w:t>详见“政府采购投标信息回执函”下方所附“保证金缴纳信息”中载明的账号</w:t>
            </w:r>
            <w:r>
              <w:rPr>
                <w:rFonts w:hint="eastAsia" w:ascii="宋体" w:hAnsi="宋体" w:cs="Calibri"/>
                <w:color w:val="000000"/>
                <w:sz w:val="24"/>
                <w:szCs w:val="24"/>
              </w:rPr>
              <w:t>。</w:t>
            </w:r>
          </w:p>
          <w:p>
            <w:pPr>
              <w:spacing w:before="0" w:beforeAutospacing="0" w:after="0" w:afterAutospacing="0" w:line="360" w:lineRule="auto"/>
              <w:ind w:left="0" w:right="0"/>
              <w:jc w:val="left"/>
              <w:rPr>
                <w:rFonts w:hint="default" w:ascii="宋体" w:hAnsi="宋体" w:cs="Calibri"/>
                <w:color w:val="000000"/>
                <w:sz w:val="24"/>
                <w:szCs w:val="24"/>
              </w:rPr>
            </w:pPr>
            <w:r>
              <w:rPr>
                <w:rFonts w:hint="eastAsia" w:ascii="宋体" w:hAnsi="宋体" w:cs="Calibri"/>
                <w:color w:val="000000"/>
                <w:sz w:val="24"/>
                <w:szCs w:val="24"/>
              </w:rPr>
              <w:t>投标保证金缴纳、退还联系电话（交易中心）：0477-3864230</w:t>
            </w:r>
          </w:p>
          <w:p>
            <w:pPr>
              <w:spacing w:before="0" w:beforeAutospacing="0" w:after="0" w:afterAutospacing="0" w:line="360" w:lineRule="auto"/>
              <w:ind w:left="0" w:right="0"/>
              <w:rPr>
                <w:rFonts w:hint="default" w:ascii="宋体" w:hAnsi="宋体" w:cs="Calibri"/>
                <w:color w:val="000000"/>
                <w:sz w:val="24"/>
                <w:szCs w:val="24"/>
              </w:rPr>
            </w:pPr>
            <w:r>
              <w:rPr>
                <w:rFonts w:hint="eastAsia" w:ascii="宋体" w:hAnsi="宋体" w:cs="Calibri"/>
                <w:color w:val="000000"/>
                <w:sz w:val="24"/>
                <w:szCs w:val="24"/>
              </w:rPr>
              <w:t>咨询电话（信用社中山分社）：0477-3864221</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w:t>
      </w:r>
      <w:r>
        <w:rPr>
          <w:rFonts w:hint="eastAsia" w:ascii="宋体" w:hAnsi="宋体" w:cs="宋体"/>
          <w:kern w:val="0"/>
          <w:sz w:val="24"/>
          <w:szCs w:val="24"/>
        </w:rPr>
        <w:fldChar w:fldCharType="end"/>
      </w:r>
      <w:r>
        <w:rPr>
          <w:rFonts w:hint="eastAsia" w:ascii="宋体" w:hAnsi="宋体" w:cs="宋体"/>
          <w:kern w:val="0"/>
          <w:sz w:val="24"/>
          <w:szCs w:val="24"/>
        </w:rPr>
        <w:t>rg.cn）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本招标项目采用“虚拟子账号”形式收退投标保证金，每一个投标人在所投的每一项目或标包会自动生成一个账号，称为“虚拟子账号”。投标人在进行投标信息确认后，应查看“保证金缴纳信息”下方所载明的账</w:t>
      </w:r>
      <w:r>
        <w:rPr>
          <w:rFonts w:hint="eastAsia" w:ascii="宋体" w:hAnsi="宋体"/>
          <w:sz w:val="24"/>
          <w:szCs w:val="24"/>
        </w:rPr>
        <w:t>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textAlignment w:val="baseline"/>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2.1报名时间（招标文件提供期限）：20</w:t>
      </w:r>
      <w:r>
        <w:rPr>
          <w:rFonts w:hint="eastAsia" w:ascii="宋体" w:hAnsi="宋体" w:cs="宋体"/>
          <w:kern w:val="0"/>
          <w:sz w:val="24"/>
          <w:szCs w:val="24"/>
          <w:highlight w:val="none"/>
          <w:lang w:val="en-US" w:eastAsia="zh-CN"/>
        </w:rPr>
        <w:t>20</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日至20</w:t>
      </w:r>
      <w:r>
        <w:rPr>
          <w:rFonts w:hint="eastAsia" w:ascii="宋体" w:hAnsi="宋体" w:cs="宋体"/>
          <w:kern w:val="0"/>
          <w:sz w:val="24"/>
          <w:szCs w:val="24"/>
          <w:highlight w:val="none"/>
          <w:lang w:val="en-US" w:eastAsia="zh-CN"/>
        </w:rPr>
        <w:t>20</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日 17时整</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2.2保证金缴纳截止时间（同提交投标文件截止时间）：20</w:t>
      </w:r>
      <w:r>
        <w:rPr>
          <w:rFonts w:hint="eastAsia" w:ascii="宋体" w:hAnsi="宋体" w:cs="宋体"/>
          <w:kern w:val="0"/>
          <w:sz w:val="24"/>
          <w:szCs w:val="24"/>
          <w:highlight w:val="none"/>
          <w:lang w:val="en-US" w:eastAsia="zh-CN"/>
        </w:rPr>
        <w:t>20</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日10时整</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w:t>
      </w:r>
      <w:r>
        <w:rPr>
          <w:rFonts w:hint="eastAsia" w:ascii="宋体" w:hAnsi="宋体"/>
          <w:color w:val="000000"/>
          <w:sz w:val="24"/>
          <w:szCs w:val="24"/>
        </w:rPr>
        <w:t>准格尔煤田信用联社中山分社</w:t>
      </w:r>
      <w:r>
        <w:rPr>
          <w:rFonts w:hint="eastAsia" w:ascii="宋体" w:hAnsi="宋体"/>
          <w:sz w:val="24"/>
          <w:szCs w:val="24"/>
        </w:rPr>
        <w:t>进行咨询，以确保投标保证金缴纳情况符合招标文件规定。投标人未按照招标文件要求缴纳投标保证金导致的一切后果由投标人自行承担。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b/>
          <w:bCs/>
          <w:sz w:val="24"/>
          <w:szCs w:val="24"/>
        </w:rPr>
      </w:pPr>
      <w:r>
        <w:rPr>
          <w:rFonts w:hint="eastAsia" w:ascii="宋体" w:hAnsi="宋体"/>
          <w:sz w:val="24"/>
          <w:szCs w:val="24"/>
        </w:rPr>
        <w:t>3.4</w:t>
      </w:r>
      <w:r>
        <w:rPr>
          <w:rFonts w:hint="eastAsia" w:ascii="宋体" w:hAnsi="宋体"/>
          <w:b/>
          <w:bCs/>
          <w:sz w:val="24"/>
          <w:szCs w:val="24"/>
        </w:rPr>
        <w:t>网上报名成功而放弃参加投标的投标人，请在提交投标文件前3个工作日以书面形式并加盖单位公章（扫描件发送至</w:t>
      </w:r>
      <w:r>
        <w:fldChar w:fldCharType="begin"/>
      </w:r>
      <w:r>
        <w:instrText xml:space="preserve"> HYPERLINK "javascript:;" </w:instrText>
      </w:r>
      <w:r>
        <w:fldChar w:fldCharType="separate"/>
      </w:r>
      <w:r>
        <w:rPr>
          <w:rStyle w:val="37"/>
          <w:rFonts w:hint="eastAsia" w:ascii="宋体" w:hAnsi="宋体" w:cs="宋体"/>
          <w:b/>
          <w:bCs/>
          <w:kern w:val="0"/>
          <w:sz w:val="24"/>
          <w:szCs w:val="24"/>
        </w:rPr>
        <w:t>54493864</w:t>
      </w:r>
      <w:r>
        <w:rPr>
          <w:rStyle w:val="37"/>
          <w:rFonts w:ascii="宋体" w:hAnsi="宋体" w:cs="宋体"/>
          <w:b/>
          <w:bCs/>
          <w:kern w:val="0"/>
          <w:sz w:val="24"/>
          <w:szCs w:val="24"/>
        </w:rPr>
        <w:t>@</w:t>
      </w:r>
      <w:r>
        <w:rPr>
          <w:rStyle w:val="37"/>
          <w:rFonts w:hint="eastAsia" w:ascii="宋体" w:hAnsi="宋体" w:cs="宋体"/>
          <w:b/>
          <w:bCs/>
          <w:kern w:val="0"/>
          <w:sz w:val="24"/>
          <w:szCs w:val="24"/>
        </w:rPr>
        <w:t>qq</w:t>
      </w:r>
      <w:r>
        <w:rPr>
          <w:rStyle w:val="37"/>
          <w:rFonts w:ascii="宋体" w:hAnsi="宋体" w:cs="宋体"/>
          <w:b/>
          <w:bCs/>
          <w:kern w:val="0"/>
          <w:sz w:val="24"/>
          <w:szCs w:val="24"/>
        </w:rPr>
        <w:t>.com</w:t>
      </w:r>
      <w:r>
        <w:rPr>
          <w:rFonts w:ascii="宋体" w:hAnsi="宋体" w:cs="宋体"/>
          <w:b/>
          <w:bCs/>
          <w:kern w:val="0"/>
          <w:sz w:val="24"/>
          <w:szCs w:val="24"/>
        </w:rPr>
        <w:fldChar w:fldCharType="end"/>
      </w:r>
      <w:r>
        <w:rPr>
          <w:rFonts w:hint="eastAsia" w:ascii="宋体" w:hAnsi="宋体"/>
          <w:b/>
          <w:bCs/>
          <w:sz w:val="24"/>
          <w:szCs w:val="24"/>
        </w:rPr>
        <w:t>或书面送达）通知鄂尔多斯市准格尔旗公共资源交易中心，</w:t>
      </w:r>
      <w:r>
        <w:rPr>
          <w:rFonts w:hint="eastAsia" w:ascii="宋体" w:hAnsi="宋体"/>
          <w:b/>
          <w:bCs/>
          <w:sz w:val="24"/>
          <w:szCs w:val="24"/>
          <w:u w:val="single"/>
        </w:rPr>
        <w:t>并在网上报名页面中撤销报名</w:t>
      </w:r>
      <w:r>
        <w:rPr>
          <w:rFonts w:hint="eastAsia" w:ascii="宋体" w:hAnsi="宋体"/>
          <w:b/>
          <w:bCs/>
          <w:sz w:val="24"/>
          <w:szCs w:val="24"/>
        </w:rPr>
        <w:t>。放弃投标未予告知的，鄂尔多斯市准格尔旗公共资源交易中心将给予不诚信行为记录并在鄂尔多斯市公共资源交易网上公开通报。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24"/>
        <w:adjustRightInd w:val="0"/>
        <w:snapToGrid w:val="0"/>
        <w:spacing w:line="360" w:lineRule="auto"/>
        <w:rPr>
          <w:rFonts w:hAnsi="宋体"/>
          <w:b/>
          <w:sz w:val="24"/>
          <w:szCs w:val="24"/>
        </w:rPr>
      </w:pPr>
      <w:r>
        <w:rPr>
          <w:rFonts w:hint="eastAsia" w:hAnsi="宋体"/>
          <w:b/>
          <w:sz w:val="24"/>
          <w:szCs w:val="24"/>
        </w:rPr>
        <w:t>2.适用范围</w:t>
      </w:r>
    </w:p>
    <w:p>
      <w:pPr>
        <w:pStyle w:val="24"/>
        <w:adjustRightInd w:val="0"/>
        <w:snapToGrid w:val="0"/>
        <w:spacing w:line="360" w:lineRule="auto"/>
        <w:ind w:firstLine="480" w:firstLineChars="200"/>
        <w:rPr>
          <w:rFonts w:hAnsi="宋体"/>
          <w:b/>
          <w:sz w:val="24"/>
          <w:szCs w:val="24"/>
        </w:rPr>
      </w:pPr>
      <w:r>
        <w:rPr>
          <w:rFonts w:hint="eastAsia" w:hAnsi="宋体" w:cs="宋体"/>
          <w:sz w:val="24"/>
          <w:szCs w:val="24"/>
        </w:rPr>
        <w:t>本招标文件仅适用于本次招标公告中所涉及的项目和内容。</w:t>
      </w:r>
    </w:p>
    <w:p>
      <w:pPr>
        <w:pStyle w:val="24"/>
        <w:adjustRightInd w:val="0"/>
        <w:snapToGrid w:val="0"/>
        <w:spacing w:line="360" w:lineRule="auto"/>
        <w:rPr>
          <w:rFonts w:hAnsi="宋体"/>
          <w:b/>
          <w:sz w:val="24"/>
          <w:szCs w:val="24"/>
        </w:rPr>
      </w:pPr>
      <w:r>
        <w:rPr>
          <w:rFonts w:hint="eastAsia" w:hAnsi="宋体"/>
          <w:b/>
          <w:sz w:val="24"/>
          <w:szCs w:val="24"/>
        </w:rPr>
        <w:t>3.投标费用</w:t>
      </w:r>
    </w:p>
    <w:p>
      <w:pPr>
        <w:pStyle w:val="24"/>
        <w:adjustRightInd w:val="0"/>
        <w:snapToGrid w:val="0"/>
        <w:spacing w:line="360" w:lineRule="auto"/>
        <w:ind w:firstLine="480" w:firstLineChars="200"/>
        <w:rPr>
          <w:rFonts w:hAnsi="宋体" w:cs="Arial"/>
          <w:color w:val="000000"/>
          <w:sz w:val="24"/>
          <w:szCs w:val="24"/>
        </w:rPr>
      </w:pPr>
      <w:r>
        <w:rPr>
          <w:rFonts w:hint="eastAsia" w:hAnsi="宋体"/>
          <w:sz w:val="24"/>
          <w:szCs w:val="24"/>
        </w:rPr>
        <w:t>投标人应承担所有与准备和参加投标有关的费用。不论投标结果如何，交易中心</w:t>
      </w:r>
      <w:r>
        <w:rPr>
          <w:rFonts w:hint="eastAsia" w:hAnsi="宋体" w:cs="Arial"/>
          <w:color w:val="000000"/>
          <w:sz w:val="24"/>
          <w:szCs w:val="24"/>
        </w:rPr>
        <w:t>和采购人均无义务和责任承担相关费用。</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依法进行政府采购的国家机关、事业单位、团体组织。本招标文件的采购人特指（</w:t>
      </w:r>
      <w:r>
        <w:rPr>
          <w:rFonts w:hint="eastAsia" w:ascii="宋体" w:hAnsi="宋体" w:cs="Arial"/>
          <w:b/>
          <w:bCs/>
          <w:color w:val="000000"/>
          <w:sz w:val="24"/>
          <w:szCs w:val="24"/>
          <w:lang w:eastAsia="zh-CN"/>
        </w:rPr>
        <w:t>准格尔旗教育体育局</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4.2“集中采购机构”是指人民政府依法设立的代理集中采购项目的执行机构。本招标文件的集中采购机构特指鄂尔多斯市准格尔旗公共资源交易中心（以下简称交易中心）。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4.3“投标人”是指向采购人提供货物、工程或者服务的法人、其他组织或者自然人。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4.5“中标人”是指经评标委员会评审确定的对招标文件做出实质性响应，取得与采购人签订合同资格的投标人。</w:t>
      </w:r>
    </w:p>
    <w:p>
      <w:pPr>
        <w:spacing w:line="360" w:lineRule="auto"/>
        <w:rPr>
          <w:rFonts w:ascii="宋体" w:hAnsi="宋体"/>
          <w:b/>
          <w:color w:val="000000"/>
          <w:sz w:val="24"/>
          <w:szCs w:val="24"/>
        </w:rPr>
      </w:pPr>
      <w:r>
        <w:rPr>
          <w:rFonts w:hint="eastAsia" w:ascii="宋体" w:hAnsi="宋体"/>
          <w:b/>
          <w:color w:val="000000"/>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采购人或交易中心对已发出的招标文件进行必要的澄清或修改的，澄清或者修改的内容可能影响投标文件编制的，采购人或者交易中心应当在投标截止时间15日前，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鄂尔多斯市公共资源交易网”和“准格尔旗公共资源交易网”上发布澄清或者变更公告进行通知。澄清或者变更公告的内容为招标文件的组成部分，投标人应自行上网查询，采购人或交易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投标文件应按照招标文件第七章“投标文件格式”进行编写（可以增加附页），作为投标文件的组成部分。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3.2电子版响应文件编制要求：提供PDF格式和word格式电子文档一份，内容必须一致，在电子文档上标明投标人全称。（电子文档使用光盘）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4</w:t>
      </w:r>
      <w:r>
        <w:rPr>
          <w:rFonts w:hint="eastAsia" w:ascii="宋体" w:hAnsi="宋体"/>
          <w:sz w:val="24"/>
          <w:szCs w:val="24"/>
        </w:rPr>
        <w:t>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，电子文档可密封至投标文件中也可单独密封。密封封面上需注明“项目名称”、“项目编号”、“分包号”、“投标人全称”和《招标文件》或《电子版》字样，并在密封包装上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投标人按上述规定进行密封和标记后，将投标文件按照招标文件的要求送达指定地点。如果未按上述规定进行密封和标记，交易中心对误投或提前启封概不负责。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（2）中标后，无正当理由不与招标人签订合同；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（3）在签订合同时，向招标人提出附加条件；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（4）不按照招标文件要求提交履约保证金；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（5）要求修改、补充和撤销投标文件的实质性内容；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（6）要求更改招标文件和中标结果公告的实质性内容；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（7）法律法规和招标文件规定的其他情形。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交易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color w:val="000000"/>
          <w:kern w:val="0"/>
          <w:sz w:val="24"/>
          <w:szCs w:val="24"/>
        </w:rPr>
        <w:t>，</w:t>
      </w:r>
      <w:r>
        <w:rPr>
          <w:rFonts w:hint="eastAsia" w:ascii="宋体" w:hAnsi="宋体"/>
          <w:sz w:val="24"/>
          <w:szCs w:val="24"/>
        </w:rPr>
        <w:t>为无效投标文件，采购单位或交易中心拒收。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采购人、交易中心对误投或未按规定时间、地点进行投标的概不负责。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360" w:firstLineChars="15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8.1中标人确定后，交易中心将在内蒙古自治区政府采购网、内蒙古自治区公共资源交易网、鄂尔多斯市政府采购网</w:t>
      </w:r>
      <w:r>
        <w:rPr>
          <w:rFonts w:hint="eastAsia" w:ascii="宋体" w:hAnsi="宋体"/>
          <w:sz w:val="24"/>
          <w:szCs w:val="24"/>
          <w:lang w:eastAsia="zh-CN"/>
        </w:rPr>
        <w:t>、</w:t>
      </w:r>
      <w:r>
        <w:rPr>
          <w:rFonts w:hint="eastAsia" w:ascii="宋体" w:hAnsi="宋体"/>
          <w:sz w:val="24"/>
          <w:szCs w:val="24"/>
        </w:rPr>
        <w:t>鄂尔多斯市公共资源交易网</w:t>
      </w:r>
      <w:r>
        <w:rPr>
          <w:rFonts w:hint="eastAsia" w:ascii="宋体" w:hAnsi="宋体"/>
          <w:sz w:val="24"/>
          <w:szCs w:val="24"/>
          <w:lang w:val="en-US" w:eastAsia="zh-CN"/>
        </w:rPr>
        <w:t>和准格尔旗公共资源交易网</w:t>
      </w:r>
      <w:r>
        <w:rPr>
          <w:rFonts w:hint="eastAsia" w:ascii="宋体" w:hAnsi="宋体"/>
          <w:sz w:val="24"/>
          <w:szCs w:val="24"/>
        </w:rPr>
        <w:t>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8.2中标人须将中标货物报价明细表（WORD格式电子版，格式下载地址：鄂尔多斯市公共资源交易网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政府采购相关范本）（包括主要中标标的的名称、规格型号、数量、单价、服务要求）于评标结束后当天发送在交易中心工作人员邮箱内（</w:t>
      </w:r>
      <w:r>
        <w:rPr>
          <w:rFonts w:hint="eastAsia" w:ascii="宋体" w:hAnsi="宋体" w:cs="Times New Roman"/>
          <w:sz w:val="24"/>
          <w:szCs w:val="24"/>
        </w:rPr>
        <w:fldChar w:fldCharType="begin"/>
      </w:r>
      <w:r>
        <w:rPr>
          <w:rFonts w:hint="eastAsia" w:ascii="宋体" w:hAnsi="宋体" w:cs="Times New Roman"/>
          <w:sz w:val="24"/>
          <w:szCs w:val="24"/>
        </w:rPr>
        <w:instrText xml:space="preserve"> HYPERLINK "mailto:youj_0722@163.com" </w:instrText>
      </w:r>
      <w:r>
        <w:rPr>
          <w:rFonts w:hint="eastAsia" w:ascii="宋体" w:hAnsi="宋体" w:cs="Times New Roman"/>
          <w:sz w:val="24"/>
          <w:szCs w:val="24"/>
        </w:rPr>
        <w:fldChar w:fldCharType="separate"/>
      </w:r>
      <w:r>
        <w:rPr>
          <w:rFonts w:hint="eastAsia" w:ascii="宋体" w:hAnsi="宋体" w:cs="Times New Roman"/>
          <w:sz w:val="24"/>
          <w:szCs w:val="24"/>
        </w:rPr>
        <w:t>54493864@qq.com</w:t>
      </w:r>
      <w:r>
        <w:rPr>
          <w:rFonts w:hint="eastAsia" w:ascii="宋体" w:hAnsi="宋体" w:cs="Times New Roman"/>
          <w:sz w:val="24"/>
          <w:szCs w:val="24"/>
        </w:rPr>
        <w:fldChar w:fldCharType="end"/>
      </w:r>
      <w:r>
        <w:rPr>
          <w:rFonts w:hint="eastAsia" w:ascii="宋体" w:hAnsi="宋体" w:cs="Times New Roman"/>
          <w:sz w:val="24"/>
          <w:szCs w:val="24"/>
        </w:rPr>
        <w:t>，</w:t>
      </w:r>
      <w:r>
        <w:rPr>
          <w:rFonts w:hint="eastAsia" w:ascii="宋体" w:hAnsi="宋体"/>
          <w:sz w:val="24"/>
          <w:szCs w:val="24"/>
        </w:rPr>
        <w:t>联系电话0477-3864232），并在邮件标题注明项目名称及中标单位名称，否则不予发布中标结果公告。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交易中心以书面形式向中标人发出中标通知书，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w:t>
      </w:r>
      <w:r>
        <w:rPr>
          <w:rFonts w:hint="eastAsia" w:ascii="宋体" w:hAnsi="宋体"/>
          <w:color w:val="000000"/>
          <w:sz w:val="24"/>
          <w:szCs w:val="24"/>
        </w:rPr>
        <w:t>鄂尔多斯市准格尔旗公共资源交易中心305室</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投标人对政府采购活动事项有疑问的，可以向采购人或交易中心提出询问，采购人或交易中心应当在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投标人提出的询问超出采购人对交易中心委托授权范围的，交易中心应当告知其向采购人提出。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询问内容以书面材料的形式亲自递交到交易中心，正式受理后方可生效，否则，为无效询问。</w:t>
      </w:r>
    </w:p>
    <w:p>
      <w:pPr>
        <w:spacing w:line="360" w:lineRule="auto"/>
        <w:rPr>
          <w:rFonts w:ascii="宋体" w:hAnsi="宋体" w:cs="宋体"/>
          <w:b/>
          <w:kern w:val="0"/>
          <w:sz w:val="24"/>
          <w:szCs w:val="24"/>
        </w:rPr>
      </w:pPr>
      <w:r>
        <w:rPr>
          <w:rFonts w:hint="eastAsia" w:ascii="宋体" w:hAnsi="宋体" w:cs="宋体"/>
          <w:b/>
          <w:kern w:val="0"/>
          <w:sz w:val="24"/>
          <w:szCs w:val="24"/>
        </w:rPr>
        <w:t>2.质疑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2.1投标人认为采购文件、采购过程和中标、成交结果使自己的权益受到损害的，可以在知道或者应知其权益受到损害之日起</w:t>
      </w:r>
      <w:r>
        <w:rPr>
          <w:rFonts w:hint="eastAsia" w:ascii="宋体" w:hAnsi="宋体" w:cs="宋体"/>
          <w:kern w:val="0"/>
          <w:sz w:val="24"/>
          <w:szCs w:val="24"/>
          <w:lang w:val="en-US" w:eastAsia="zh-CN"/>
        </w:rPr>
        <w:t>7</w:t>
      </w:r>
      <w:r>
        <w:rPr>
          <w:rFonts w:hint="eastAsia" w:ascii="宋体" w:hAnsi="宋体" w:cs="宋体"/>
          <w:kern w:val="0"/>
          <w:sz w:val="24"/>
          <w:szCs w:val="24"/>
        </w:rPr>
        <w:t>个工作日内，以书面形式向采购人提出质疑。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出质疑的投标人应当是参与所质疑项目采购活动的投标人。</w:t>
      </w:r>
    </w:p>
    <w:p>
      <w:pPr>
        <w:spacing w:line="360" w:lineRule="auto"/>
        <w:ind w:firstLine="480" w:firstLineChars="20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2.2采购人应当在收到投标人的书面质疑后</w:t>
      </w:r>
      <w:r>
        <w:rPr>
          <w:rFonts w:hint="eastAsia" w:ascii="宋体" w:hAnsi="宋体" w:cs="宋体"/>
          <w:kern w:val="0"/>
          <w:sz w:val="24"/>
          <w:szCs w:val="24"/>
          <w:lang w:val="en-US" w:eastAsia="zh-CN"/>
        </w:rPr>
        <w:t>7</w:t>
      </w:r>
      <w:r>
        <w:rPr>
          <w:rFonts w:hint="eastAsia" w:ascii="宋体" w:hAnsi="宋体" w:cs="宋体"/>
          <w:kern w:val="0"/>
          <w:sz w:val="24"/>
          <w:szCs w:val="24"/>
        </w:rPr>
        <w:t>个工作日内作出答复，并以书面形式通知质疑投标人和其他有关投标人，但答复的内容不得涉及商业秘密。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ascii="宋体" w:hAnsi="宋体" w:cs="宋体"/>
          <w:kern w:val="0"/>
          <w:sz w:val="24"/>
          <w:szCs w:val="24"/>
        </w:rPr>
        <w:t>投标人提出质疑应当提交质疑函和必要的证明材料。质疑函应当包括下列内容：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（一）投标人的姓名或者名称、地址、邮编、联系人及联系电话；</w:t>
      </w:r>
    </w:p>
    <w:p>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pPr>
        <w:spacing w:line="360" w:lineRule="auto"/>
        <w:ind w:firstLine="480" w:firstLineChars="20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kern w:val="0"/>
          <w:sz w:val="24"/>
          <w:szCs w:val="24"/>
        </w:rPr>
      </w:pPr>
      <w:r>
        <w:rPr>
          <w:rFonts w:ascii="Arial" w:hAnsi="Arial" w:cs="Arial"/>
          <w:kern w:val="0"/>
          <w:sz w:val="24"/>
          <w:szCs w:val="24"/>
        </w:rPr>
        <w:t>投标人可以委托代理人进行质疑</w:t>
      </w:r>
      <w:r>
        <w:rPr>
          <w:rFonts w:hint="eastAsia" w:ascii="Arial" w:hAnsi="Arial" w:cs="Arial"/>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pPr>
        <w:pStyle w:val="32"/>
        <w:spacing w:before="0" w:beforeAutospacing="0" w:after="0" w:afterAutospacing="0" w:line="360" w:lineRule="auto"/>
        <w:ind w:firstLine="480"/>
        <w:jc w:val="both"/>
        <w:rPr>
          <w:rFonts w:ascii="Arial" w:hAnsi="Arial" w:cs="Arial"/>
        </w:rPr>
      </w:pPr>
      <w:r>
        <w:rPr>
          <w:rFonts w:hint="eastAsia"/>
        </w:rPr>
        <w:t>2.5</w:t>
      </w:r>
      <w:r>
        <w:rPr>
          <w:rFonts w:hint="eastAsia" w:ascii="Arial" w:hAnsi="Arial" w:cs="Arial"/>
        </w:rPr>
        <w:t xml:space="preserve"> 投标人在提出质疑时，请严格按照相关法律法规及质疑函范本要求提出和制作，否则，自行承担相关不利后果。</w:t>
      </w:r>
    </w:p>
    <w:p>
      <w:pPr>
        <w:pStyle w:val="32"/>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接收质疑函的方式：为了使提出的质疑事项在规定时间内得到有效答复、处理，质疑采用实名制，且由法定代表人或委托代理人亲自递交到交易中心，正式受理后方可生效。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pPr>
        <w:spacing w:line="360" w:lineRule="auto"/>
        <w:ind w:firstLine="480" w:firstLineChars="200"/>
        <w:rPr>
          <w:rFonts w:ascii="宋体" w:hAnsi="宋体"/>
          <w:sz w:val="24"/>
          <w:szCs w:val="24"/>
        </w:rPr>
      </w:pPr>
      <w:r>
        <w:rPr>
          <w:rFonts w:hint="eastAsia" w:ascii="宋体" w:hAnsi="宋体" w:cs="宋体"/>
          <w:kern w:val="0"/>
          <w:sz w:val="24"/>
          <w:szCs w:val="24"/>
        </w:rPr>
        <w:t>通讯地址：采购人、采购代理机构（详见前附表）。</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质疑人对采购人、交易中心的答复不满意或者采购人、交易中心未在规定的时间内做出书面答复的，可以在答复期满后十五个工作日内向监督部门进行投诉。投诉程序按《政府采购法》及相关规定执行。</w:t>
      </w:r>
    </w:p>
    <w:p>
      <w:pPr>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447030613"/>
      <w:bookmarkStart w:id="3" w:name="_Toc266431157"/>
    </w:p>
    <w:p>
      <w:pPr>
        <w:pStyle w:val="33"/>
        <w:spacing w:line="360" w:lineRule="auto"/>
        <w:jc w:val="both"/>
        <w:rPr>
          <w:rFonts w:ascii="宋体" w:hAnsi="宋体" w:eastAsia="宋体" w:cs="宋体"/>
          <w:bCs w:val="0"/>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pStyle w:val="33"/>
        <w:spacing w:line="360" w:lineRule="auto"/>
        <w:rPr>
          <w:rFonts w:ascii="宋体" w:hAnsi="宋体" w:eastAsia="宋体" w:cs="宋体"/>
          <w:bCs w:val="0"/>
          <w:color w:val="000000"/>
          <w:sz w:val="24"/>
          <w:szCs w:val="24"/>
        </w:rPr>
      </w:pPr>
      <w:bookmarkStart w:id="4" w:name="_Toc497408659"/>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2" w:firstLineChars="200"/>
        <w:rPr>
          <w:rFonts w:ascii="宋体" w:hAnsi="宋体"/>
          <w:b/>
          <w:bCs/>
          <w:sz w:val="24"/>
          <w:szCs w:val="24"/>
        </w:rPr>
      </w:pPr>
      <w:r>
        <w:rPr>
          <w:rFonts w:hint="eastAsia" w:ascii="宋体" w:hAnsi="宋体"/>
          <w:b/>
          <w:bCs/>
          <w:sz w:val="24"/>
          <w:szCs w:val="24"/>
        </w:rPr>
        <w:t>自合同签订之日起2个工作日内，中标人应将政府采购合同送达至鄂尔多斯市准格尔旗公共资源交易中心305室（联系电话：0477-3864232）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w:t>
      </w:r>
      <w:r>
        <w:rPr>
          <w:rFonts w:hint="eastAsia" w:ascii="宋体" w:hAnsi="宋体"/>
          <w:b/>
          <w:bCs/>
          <w:sz w:val="24"/>
          <w:szCs w:val="24"/>
        </w:rPr>
        <w:t>验收合格后2个工作日内，中标人应将政府采购项目验收单送达至鄂尔多斯市准格尔旗公共资源交易中心305室（联系电话：0477-3864232）存档。逾期未验收或未按时交回验收单，将按照相关法律法规做出相应处罚。</w:t>
      </w:r>
    </w:p>
    <w:p>
      <w:pPr>
        <w:rPr>
          <w:rFonts w:hAnsi="宋体"/>
          <w:sz w:val="24"/>
          <w:szCs w:val="24"/>
        </w:rPr>
      </w:pPr>
    </w:p>
    <w:p>
      <w:pPr>
        <w:jc w:val="center"/>
        <w:rPr>
          <w:rFonts w:ascii="宋体" w:hAnsi="宋体"/>
          <w:b/>
          <w:bCs/>
          <w:color w:val="000000"/>
          <w:kern w:val="44"/>
          <w:sz w:val="24"/>
          <w:szCs w:val="24"/>
        </w:rPr>
      </w:pPr>
      <w:r>
        <w:rPr>
          <w:rFonts w:ascii="宋体" w:hAnsi="宋体"/>
          <w:b/>
          <w:bCs/>
          <w:color w:val="000000"/>
          <w:kern w:val="44"/>
          <w:sz w:val="24"/>
          <w:szCs w:val="24"/>
        </w:rPr>
        <w:br w:type="page"/>
      </w:r>
    </w:p>
    <w:p>
      <w:pPr>
        <w:jc w:val="center"/>
        <w:rPr>
          <w:rFonts w:ascii="宋体" w:hAnsi="宋体"/>
          <w:b/>
          <w:color w:val="000000"/>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宋体" w:hAnsi="宋体" w:eastAsia="宋体"/>
          <w:b/>
          <w:sz w:val="24"/>
          <w:szCs w:val="24"/>
        </w:rPr>
      </w:pPr>
      <w:r>
        <w:rPr>
          <w:rFonts w:hint="eastAsia" w:ascii="宋体" w:hAnsi="宋体" w:eastAsia="宋体"/>
          <w:b/>
          <w:sz w:val="24"/>
          <w:szCs w:val="24"/>
        </w:rPr>
        <w:t>甲方：***（填写采购单位）</w:t>
      </w:r>
    </w:p>
    <w:p>
      <w:pPr>
        <w:rPr>
          <w:rFonts w:ascii="宋体" w:hAnsi="宋体" w:eastAsia="宋体"/>
          <w:b/>
          <w:sz w:val="24"/>
          <w:szCs w:val="24"/>
        </w:rPr>
      </w:pPr>
      <w:r>
        <w:rPr>
          <w:rFonts w:hint="eastAsia" w:ascii="宋体" w:hAnsi="宋体" w:eastAsia="宋体"/>
          <w:b/>
          <w:sz w:val="24"/>
          <w:szCs w:val="24"/>
        </w:rPr>
        <w:t>地址（详细地址）：</w:t>
      </w:r>
    </w:p>
    <w:p>
      <w:pPr>
        <w:rPr>
          <w:rFonts w:ascii="宋体" w:hAnsi="宋体" w:eastAsia="宋体"/>
          <w:b/>
          <w:sz w:val="24"/>
          <w:szCs w:val="24"/>
        </w:rPr>
      </w:pPr>
      <w:r>
        <w:rPr>
          <w:rFonts w:hint="eastAsia" w:ascii="宋体" w:hAnsi="宋体" w:eastAsia="宋体"/>
          <w:b/>
          <w:sz w:val="24"/>
          <w:szCs w:val="24"/>
        </w:rPr>
        <w:t>乙方：***（填写中标投标人）</w:t>
      </w:r>
    </w:p>
    <w:p>
      <w:pPr>
        <w:rPr>
          <w:rFonts w:ascii="宋体" w:hAnsi="宋体"/>
          <w:b/>
          <w:sz w:val="24"/>
          <w:szCs w:val="24"/>
        </w:rPr>
      </w:pPr>
      <w:r>
        <w:rPr>
          <w:rFonts w:hint="eastAsia" w:ascii="宋体" w:hAnsi="宋体"/>
          <w:b/>
          <w:sz w:val="24"/>
          <w:szCs w:val="24"/>
        </w:rPr>
        <w:t>地址（详细地址）：</w:t>
      </w:r>
    </w:p>
    <w:p>
      <w:pPr>
        <w:jc w:val="left"/>
        <w:rPr>
          <w:rFonts w:ascii="宋体" w:hAnsi="宋体"/>
          <w:sz w:val="24"/>
          <w:szCs w:val="24"/>
          <w:u w:val="single"/>
        </w:rPr>
      </w:pPr>
      <w:r>
        <w:rPr>
          <w:rFonts w:hint="eastAsia" w:ascii="宋体" w:hAnsi="宋体"/>
          <w:b/>
          <w:sz w:val="24"/>
          <w:szCs w:val="24"/>
        </w:rPr>
        <w:t>合同号：</w:t>
      </w:r>
      <w:r>
        <w:rPr>
          <w:rFonts w:hint="eastAsia" w:ascii="宋体" w:hAnsi="宋体"/>
          <w:sz w:val="24"/>
          <w:szCs w:val="24"/>
          <w:u w:val="single"/>
        </w:rPr>
        <w:t xml:space="preserve"> （填写签订合同一次性告知书中合同号 ） </w:t>
      </w:r>
    </w:p>
    <w:p>
      <w:pPr>
        <w:spacing w:line="15" w:lineRule="atLeast"/>
        <w:ind w:firstLine="646"/>
        <w:jc w:val="left"/>
        <w:rPr>
          <w:rFonts w:ascii="宋体" w:hAnsi="宋体"/>
          <w:sz w:val="24"/>
          <w:szCs w:val="24"/>
        </w:rPr>
      </w:pPr>
      <w:r>
        <w:rPr>
          <w:rFonts w:hint="eastAsia" w:ascii="宋体" w:hAnsi="宋体"/>
          <w:sz w:val="24"/>
          <w:szCs w:val="24"/>
        </w:rPr>
        <w:t>根据《中华人民共和国政府采购法》、《中华人民共和国合同法》等相关法律法规，甲、乙双方就</w:t>
      </w:r>
      <w:r>
        <w:rPr>
          <w:rFonts w:hint="eastAsia" w:ascii="宋体" w:hAnsi="宋体"/>
          <w:sz w:val="24"/>
          <w:szCs w:val="24"/>
          <w:u w:val="single"/>
        </w:rPr>
        <w:t xml:space="preserve">      （填写项目名称）               </w:t>
      </w:r>
      <w:r>
        <w:rPr>
          <w:rFonts w:hint="eastAsia" w:ascii="宋体" w:hAnsi="宋体"/>
          <w:sz w:val="24"/>
          <w:szCs w:val="24"/>
        </w:rPr>
        <w:t>（政府采购项目批准书编号：</w:t>
      </w:r>
      <w:r>
        <w:rPr>
          <w:rFonts w:hint="eastAsia" w:ascii="宋体" w:hAnsi="宋体"/>
          <w:sz w:val="24"/>
          <w:szCs w:val="24"/>
          <w:u w:val="single"/>
        </w:rPr>
        <w:t xml:space="preserve">          ）</w:t>
      </w:r>
      <w:r>
        <w:rPr>
          <w:rFonts w:hint="eastAsia" w:ascii="宋体" w:hAnsi="宋体"/>
          <w:sz w:val="24"/>
          <w:szCs w:val="24"/>
        </w:rPr>
        <w:t>，经平等自愿协商一致达成合同如下：</w:t>
      </w:r>
    </w:p>
    <w:p>
      <w:pPr>
        <w:spacing w:line="15" w:lineRule="atLeast"/>
        <w:ind w:firstLine="645"/>
        <w:jc w:val="left"/>
        <w:rPr>
          <w:rFonts w:ascii="宋体" w:hAnsi="宋体"/>
          <w:sz w:val="24"/>
          <w:szCs w:val="24"/>
        </w:rPr>
      </w:pPr>
      <w:r>
        <w:rPr>
          <w:rFonts w:hint="eastAsia" w:ascii="宋体" w:hAnsi="宋体"/>
          <w:sz w:val="24"/>
          <w:szCs w:val="24"/>
        </w:rPr>
        <w:t>一、合同文件</w:t>
      </w:r>
    </w:p>
    <w:p>
      <w:pPr>
        <w:spacing w:line="15" w:lineRule="atLeast"/>
        <w:ind w:firstLine="645"/>
        <w:jc w:val="left"/>
        <w:rPr>
          <w:rFonts w:ascii="宋体" w:hAnsi="宋体"/>
          <w:sz w:val="24"/>
          <w:szCs w:val="24"/>
        </w:rPr>
      </w:pPr>
      <w:r>
        <w:rPr>
          <w:rFonts w:hint="eastAsia" w:ascii="宋体" w:hAnsi="宋体"/>
          <w:sz w:val="24"/>
          <w:szCs w:val="24"/>
        </w:rPr>
        <w:t>本合同所附下列文件是构成本合同不可分割的部分：</w:t>
      </w:r>
    </w:p>
    <w:p>
      <w:pPr>
        <w:spacing w:line="15" w:lineRule="atLeast"/>
        <w:ind w:firstLine="645"/>
        <w:jc w:val="left"/>
        <w:rPr>
          <w:rFonts w:ascii="宋体" w:hAnsi="宋体"/>
          <w:sz w:val="24"/>
          <w:szCs w:val="24"/>
        </w:rPr>
      </w:pPr>
      <w:r>
        <w:rPr>
          <w:rFonts w:hint="eastAsia" w:ascii="宋体" w:hAnsi="宋体"/>
          <w:sz w:val="24"/>
          <w:szCs w:val="24"/>
        </w:rPr>
        <w:t>1.合同格式以及合同条款</w:t>
      </w:r>
    </w:p>
    <w:p>
      <w:pPr>
        <w:spacing w:line="15" w:lineRule="atLeast"/>
        <w:ind w:firstLine="645"/>
        <w:jc w:val="left"/>
        <w:rPr>
          <w:rFonts w:ascii="宋体" w:hAnsi="宋体"/>
          <w:sz w:val="24"/>
          <w:szCs w:val="24"/>
        </w:rPr>
      </w:pPr>
      <w:r>
        <w:rPr>
          <w:rFonts w:hint="eastAsia" w:ascii="宋体" w:hAnsi="宋体"/>
          <w:sz w:val="24"/>
          <w:szCs w:val="24"/>
        </w:rPr>
        <w:t>2.中标结果公告及中标通知书</w:t>
      </w:r>
    </w:p>
    <w:p>
      <w:pPr>
        <w:spacing w:line="15" w:lineRule="atLeast"/>
        <w:ind w:firstLine="645"/>
        <w:jc w:val="left"/>
        <w:rPr>
          <w:rFonts w:ascii="宋体" w:hAnsi="宋体"/>
          <w:sz w:val="24"/>
          <w:szCs w:val="24"/>
        </w:rPr>
      </w:pPr>
      <w:r>
        <w:rPr>
          <w:rFonts w:hint="eastAsia" w:ascii="宋体" w:hAnsi="宋体"/>
          <w:sz w:val="24"/>
          <w:szCs w:val="24"/>
        </w:rPr>
        <w:t>3.招标文件</w:t>
      </w:r>
    </w:p>
    <w:p>
      <w:pPr>
        <w:spacing w:line="15" w:lineRule="atLeast"/>
        <w:ind w:firstLine="645"/>
        <w:jc w:val="left"/>
        <w:rPr>
          <w:rFonts w:ascii="宋体" w:hAnsi="宋体"/>
          <w:sz w:val="24"/>
          <w:szCs w:val="24"/>
        </w:rPr>
      </w:pPr>
      <w:r>
        <w:rPr>
          <w:rFonts w:hint="eastAsia" w:ascii="宋体" w:hAnsi="宋体"/>
          <w:sz w:val="24"/>
          <w:szCs w:val="24"/>
        </w:rPr>
        <w:t>4.投标文件</w:t>
      </w:r>
    </w:p>
    <w:p>
      <w:pPr>
        <w:spacing w:line="15" w:lineRule="atLeast"/>
        <w:ind w:firstLine="645"/>
        <w:jc w:val="left"/>
        <w:rPr>
          <w:rFonts w:ascii="宋体" w:hAnsi="宋体"/>
          <w:sz w:val="24"/>
          <w:szCs w:val="24"/>
        </w:rPr>
      </w:pPr>
      <w:r>
        <w:rPr>
          <w:rFonts w:hint="eastAsia" w:ascii="宋体" w:hAnsi="宋体"/>
          <w:sz w:val="24"/>
          <w:szCs w:val="24"/>
        </w:rPr>
        <w:t>5.变更合同</w:t>
      </w:r>
    </w:p>
    <w:p>
      <w:pPr>
        <w:spacing w:line="15" w:lineRule="atLeast"/>
        <w:ind w:firstLine="645"/>
        <w:jc w:val="left"/>
        <w:rPr>
          <w:rFonts w:ascii="宋体" w:hAnsi="宋体"/>
          <w:sz w:val="24"/>
          <w:szCs w:val="24"/>
        </w:rPr>
      </w:pPr>
      <w:r>
        <w:rPr>
          <w:rFonts w:hint="eastAsia" w:ascii="宋体" w:hAnsi="宋体"/>
          <w:sz w:val="24"/>
          <w:szCs w:val="24"/>
        </w:rPr>
        <w:t>二、本合同所提供的标的物、数量及规格等详见中标结果公告及后附清单。</w:t>
      </w:r>
    </w:p>
    <w:p>
      <w:pPr>
        <w:spacing w:line="15" w:lineRule="atLeast"/>
        <w:ind w:firstLine="645"/>
        <w:jc w:val="left"/>
        <w:rPr>
          <w:rFonts w:ascii="宋体" w:hAnsi="宋体"/>
          <w:sz w:val="24"/>
          <w:szCs w:val="24"/>
        </w:rPr>
      </w:pPr>
      <w:r>
        <w:rPr>
          <w:rFonts w:hint="eastAsia" w:ascii="宋体" w:hAnsi="宋体"/>
          <w:sz w:val="24"/>
          <w:szCs w:val="24"/>
        </w:rPr>
        <w:t>三、合同金额</w:t>
      </w:r>
    </w:p>
    <w:p>
      <w:pPr>
        <w:spacing w:line="15" w:lineRule="atLeast"/>
        <w:ind w:firstLine="645"/>
        <w:jc w:val="left"/>
        <w:rPr>
          <w:rFonts w:ascii="宋体" w:hAnsi="宋体"/>
          <w:sz w:val="24"/>
          <w:szCs w:val="24"/>
          <w:u w:val="single"/>
        </w:rPr>
      </w:pPr>
      <w:r>
        <w:rPr>
          <w:rFonts w:hint="eastAsia" w:ascii="宋体" w:hAnsi="宋体"/>
          <w:sz w:val="24"/>
          <w:szCs w:val="24"/>
        </w:rPr>
        <w:t>合同金额为人民币万元，大写：</w:t>
      </w:r>
    </w:p>
    <w:p>
      <w:pPr>
        <w:spacing w:line="15" w:lineRule="atLeast"/>
        <w:ind w:firstLine="645"/>
        <w:jc w:val="left"/>
        <w:rPr>
          <w:rFonts w:ascii="宋体" w:hAnsi="宋体"/>
          <w:sz w:val="24"/>
          <w:szCs w:val="24"/>
        </w:rPr>
      </w:pPr>
      <w:r>
        <w:rPr>
          <w:rFonts w:hint="eastAsia" w:ascii="宋体" w:hAnsi="宋体"/>
          <w:sz w:val="24"/>
          <w:szCs w:val="24"/>
        </w:rPr>
        <w:t>四、付款方式及时间</w:t>
      </w:r>
    </w:p>
    <w:p>
      <w:pPr>
        <w:spacing w:line="15" w:lineRule="atLeast"/>
        <w:ind w:firstLine="600" w:firstLineChars="250"/>
        <w:jc w:val="left"/>
        <w:rPr>
          <w:rFonts w:ascii="宋体" w:hAnsi="宋体"/>
          <w:sz w:val="24"/>
          <w:szCs w:val="24"/>
        </w:rPr>
      </w:pPr>
      <w:r>
        <w:rPr>
          <w:rFonts w:hint="eastAsia" w:ascii="宋体" w:hAnsi="宋体" w:cs="宋体"/>
          <w:color w:val="FF6600"/>
          <w:sz w:val="24"/>
          <w:szCs w:val="24"/>
        </w:rPr>
        <w:t>***（见招标文件第四章）</w:t>
      </w:r>
    </w:p>
    <w:p>
      <w:pPr>
        <w:spacing w:line="15" w:lineRule="atLeast"/>
        <w:ind w:firstLine="645"/>
        <w:jc w:val="left"/>
        <w:rPr>
          <w:rFonts w:ascii="宋体" w:hAnsi="宋体"/>
          <w:sz w:val="24"/>
          <w:szCs w:val="24"/>
        </w:rPr>
      </w:pPr>
      <w:r>
        <w:rPr>
          <w:rFonts w:hint="eastAsia" w:ascii="宋体" w:hAnsi="宋体"/>
          <w:sz w:val="24"/>
          <w:szCs w:val="24"/>
        </w:rPr>
        <w:t>五、交货安装</w:t>
      </w:r>
    </w:p>
    <w:p>
      <w:pPr>
        <w:spacing w:line="15" w:lineRule="atLeast"/>
        <w:ind w:firstLine="645"/>
        <w:jc w:val="left"/>
        <w:rPr>
          <w:rFonts w:ascii="宋体" w:hAnsi="宋体"/>
          <w:sz w:val="24"/>
          <w:szCs w:val="24"/>
          <w:u w:val="single"/>
        </w:rPr>
      </w:pPr>
      <w:r>
        <w:rPr>
          <w:rFonts w:hint="eastAsia" w:ascii="宋体" w:hAnsi="宋体"/>
          <w:sz w:val="24"/>
          <w:szCs w:val="24"/>
        </w:rPr>
        <w:t>交货时间：</w:t>
      </w:r>
    </w:p>
    <w:p>
      <w:pPr>
        <w:spacing w:line="15" w:lineRule="atLeast"/>
        <w:ind w:firstLine="645"/>
        <w:jc w:val="left"/>
        <w:rPr>
          <w:rFonts w:ascii="宋体" w:hAnsi="宋体"/>
          <w:sz w:val="24"/>
          <w:szCs w:val="24"/>
          <w:u w:val="single"/>
        </w:rPr>
      </w:pPr>
      <w:r>
        <w:rPr>
          <w:rFonts w:hint="eastAsia" w:ascii="宋体" w:hAnsi="宋体"/>
          <w:sz w:val="24"/>
          <w:szCs w:val="24"/>
        </w:rPr>
        <w:t>交货地点：</w:t>
      </w:r>
    </w:p>
    <w:p>
      <w:pPr>
        <w:spacing w:line="15" w:lineRule="atLeast"/>
        <w:ind w:firstLine="645"/>
        <w:jc w:val="left"/>
        <w:rPr>
          <w:rFonts w:ascii="宋体" w:hAnsi="宋体"/>
          <w:sz w:val="24"/>
          <w:szCs w:val="24"/>
        </w:rPr>
      </w:pPr>
      <w:r>
        <w:rPr>
          <w:rFonts w:hint="eastAsia" w:ascii="宋体" w:hAnsi="宋体"/>
          <w:sz w:val="24"/>
          <w:szCs w:val="24"/>
        </w:rPr>
        <w:t>六、质量</w:t>
      </w:r>
    </w:p>
    <w:p>
      <w:pPr>
        <w:spacing w:line="15" w:lineRule="atLeast"/>
        <w:ind w:firstLine="645"/>
        <w:jc w:val="left"/>
        <w:rPr>
          <w:rFonts w:ascii="宋体" w:hAnsi="宋体"/>
          <w:sz w:val="24"/>
          <w:szCs w:val="24"/>
        </w:rPr>
      </w:pPr>
      <w:r>
        <w:rPr>
          <w:rFonts w:hint="eastAsia" w:ascii="宋体" w:hAnsi="宋体"/>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宋体" w:hAnsi="宋体"/>
          <w:sz w:val="24"/>
          <w:szCs w:val="24"/>
        </w:rPr>
      </w:pPr>
      <w:r>
        <w:rPr>
          <w:rFonts w:hint="eastAsia" w:ascii="宋体" w:hAnsi="宋体"/>
          <w:sz w:val="24"/>
          <w:szCs w:val="24"/>
        </w:rPr>
        <w:t>七、包装</w:t>
      </w:r>
    </w:p>
    <w:p>
      <w:pPr>
        <w:spacing w:line="15" w:lineRule="atLeast"/>
        <w:ind w:firstLine="645"/>
        <w:jc w:val="left"/>
        <w:rPr>
          <w:rFonts w:ascii="宋体" w:hAnsi="宋体"/>
          <w:sz w:val="24"/>
          <w:szCs w:val="24"/>
        </w:rPr>
      </w:pPr>
      <w:r>
        <w:rPr>
          <w:rFonts w:hint="eastAsia" w:ascii="宋体" w:hAnsi="宋体"/>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宋体" w:hAnsi="宋体"/>
          <w:sz w:val="24"/>
          <w:szCs w:val="24"/>
        </w:rPr>
      </w:pPr>
      <w:r>
        <w:rPr>
          <w:rFonts w:hint="eastAsia" w:ascii="宋体" w:hAnsi="宋体"/>
          <w:sz w:val="24"/>
          <w:szCs w:val="24"/>
        </w:rPr>
        <w:t>八、运输要求</w:t>
      </w:r>
    </w:p>
    <w:p>
      <w:pPr>
        <w:spacing w:line="15" w:lineRule="atLeast"/>
        <w:ind w:firstLine="645"/>
        <w:jc w:val="left"/>
        <w:rPr>
          <w:rFonts w:ascii="宋体" w:hAnsi="宋体"/>
          <w:sz w:val="24"/>
          <w:szCs w:val="24"/>
          <w:u w:val="single"/>
        </w:rPr>
      </w:pPr>
      <w:r>
        <w:rPr>
          <w:rFonts w:hint="eastAsia" w:ascii="宋体" w:hAnsi="宋体"/>
          <w:sz w:val="24"/>
          <w:szCs w:val="24"/>
        </w:rPr>
        <w:t>（一）运输方式及线路：</w:t>
      </w:r>
    </w:p>
    <w:p>
      <w:pPr>
        <w:spacing w:line="15" w:lineRule="atLeast"/>
        <w:ind w:firstLine="645"/>
        <w:jc w:val="left"/>
        <w:rPr>
          <w:rFonts w:ascii="宋体" w:hAnsi="宋体"/>
          <w:sz w:val="24"/>
          <w:szCs w:val="24"/>
        </w:rPr>
      </w:pPr>
      <w:r>
        <w:rPr>
          <w:rFonts w:hint="eastAsia" w:ascii="宋体" w:hAnsi="宋体"/>
          <w:sz w:val="24"/>
          <w:szCs w:val="24"/>
        </w:rPr>
        <w:t>（二）运输及相关费用由乙方承担。</w:t>
      </w:r>
    </w:p>
    <w:p>
      <w:pPr>
        <w:spacing w:line="15" w:lineRule="atLeast"/>
        <w:ind w:firstLine="645"/>
        <w:jc w:val="left"/>
        <w:rPr>
          <w:rFonts w:ascii="宋体" w:hAnsi="宋体"/>
          <w:sz w:val="24"/>
          <w:szCs w:val="24"/>
        </w:rPr>
      </w:pPr>
      <w:r>
        <w:rPr>
          <w:rFonts w:hint="eastAsia" w:ascii="宋体" w:hAnsi="宋体"/>
          <w:sz w:val="24"/>
          <w:szCs w:val="24"/>
        </w:rPr>
        <w:t>九、知识产权</w:t>
      </w:r>
    </w:p>
    <w:p>
      <w:pPr>
        <w:spacing w:line="15" w:lineRule="atLeast"/>
        <w:ind w:firstLine="645"/>
        <w:jc w:val="left"/>
        <w:rPr>
          <w:rFonts w:ascii="宋体" w:hAnsi="宋体"/>
          <w:sz w:val="24"/>
          <w:szCs w:val="24"/>
        </w:rPr>
      </w:pPr>
      <w:r>
        <w:rPr>
          <w:rFonts w:hint="eastAsia" w:ascii="宋体" w:hAnsi="宋体"/>
          <w:sz w:val="24"/>
          <w:szCs w:val="24"/>
        </w:rPr>
        <w:t>乙方应保证甲方在中国境内使用标的物或标的物的任何一部分时，免受第三方提出的侵犯其知识产权的诉讼。</w:t>
      </w:r>
    </w:p>
    <w:p>
      <w:pPr>
        <w:spacing w:line="15" w:lineRule="atLeast"/>
        <w:ind w:firstLine="645"/>
        <w:jc w:val="left"/>
        <w:rPr>
          <w:rFonts w:ascii="宋体" w:hAnsi="宋体"/>
          <w:sz w:val="24"/>
          <w:szCs w:val="24"/>
        </w:rPr>
      </w:pPr>
      <w:r>
        <w:rPr>
          <w:rFonts w:hint="eastAsia" w:ascii="宋体" w:hAnsi="宋体"/>
          <w:sz w:val="24"/>
          <w:szCs w:val="24"/>
        </w:rPr>
        <w:t>十、验收</w:t>
      </w:r>
    </w:p>
    <w:p>
      <w:pPr>
        <w:spacing w:line="15" w:lineRule="atLeast"/>
        <w:ind w:firstLine="645"/>
        <w:jc w:val="left"/>
        <w:rPr>
          <w:rFonts w:ascii="宋体" w:hAnsi="宋体"/>
          <w:sz w:val="24"/>
          <w:szCs w:val="24"/>
        </w:rPr>
      </w:pPr>
      <w:r>
        <w:rPr>
          <w:rFonts w:hint="eastAsia" w:ascii="宋体" w:hAnsi="宋体"/>
          <w:sz w:val="24"/>
          <w:szCs w:val="24"/>
        </w:rPr>
        <w:t>（一）乙方将标的物送达至甲方指定的地点后，由甲乙双方及第三方（如有）一同验收并签字确认。</w:t>
      </w:r>
    </w:p>
    <w:p>
      <w:pPr>
        <w:spacing w:line="15" w:lineRule="atLeast"/>
        <w:ind w:firstLine="645"/>
        <w:jc w:val="left"/>
        <w:rPr>
          <w:rFonts w:ascii="宋体" w:hAnsi="宋体"/>
          <w:sz w:val="24"/>
          <w:szCs w:val="24"/>
        </w:rPr>
      </w:pPr>
      <w:r>
        <w:rPr>
          <w:rFonts w:hint="eastAsia" w:ascii="宋体" w:hAnsi="宋体"/>
          <w:sz w:val="24"/>
          <w:szCs w:val="24"/>
        </w:rPr>
        <w:t>（二）对标的物的质量问题，甲方应在发现后向乙方提出书面异议，乙方在接到书面异议后，应当在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宋体" w:hAnsi="宋体"/>
          <w:sz w:val="24"/>
          <w:szCs w:val="24"/>
        </w:rPr>
      </w:pPr>
      <w:r>
        <w:rPr>
          <w:rFonts w:hint="eastAsia" w:ascii="宋体" w:hAnsi="宋体"/>
          <w:sz w:val="24"/>
          <w:szCs w:val="24"/>
        </w:rPr>
        <w:t>（三）经双方共同验收，标的物达不到质量或规格要求的，甲方可以拒收，并可解除合同且不承担任何法律责任，</w:t>
      </w:r>
    </w:p>
    <w:p>
      <w:pPr>
        <w:spacing w:line="15" w:lineRule="atLeast"/>
        <w:ind w:firstLine="645"/>
        <w:jc w:val="left"/>
        <w:rPr>
          <w:rFonts w:ascii="宋体" w:hAnsi="宋体"/>
          <w:sz w:val="24"/>
          <w:szCs w:val="24"/>
        </w:rPr>
      </w:pPr>
      <w:r>
        <w:rPr>
          <w:rFonts w:hint="eastAsia" w:ascii="宋体" w:hAnsi="宋体"/>
          <w:sz w:val="24"/>
          <w:szCs w:val="24"/>
        </w:rPr>
        <w:t>十一、售后服务</w:t>
      </w:r>
    </w:p>
    <w:p>
      <w:pPr>
        <w:spacing w:line="15" w:lineRule="atLeast"/>
        <w:ind w:firstLine="645"/>
        <w:jc w:val="left"/>
        <w:rPr>
          <w:rFonts w:ascii="宋体" w:hAnsi="宋体"/>
          <w:sz w:val="24"/>
          <w:szCs w:val="24"/>
        </w:rPr>
      </w:pPr>
      <w:r>
        <w:rPr>
          <w:rFonts w:hint="eastAsia" w:ascii="宋体" w:hAnsi="宋体"/>
          <w:sz w:val="24"/>
          <w:szCs w:val="24"/>
        </w:rPr>
        <w:t>（一）乙方应按招标文件、投标文件及乙方在谈判过程中做出的书面说明或承诺提供及时、快速、优质的售后服务。</w:t>
      </w:r>
    </w:p>
    <w:p>
      <w:pPr>
        <w:spacing w:line="15" w:lineRule="atLeast"/>
        <w:ind w:firstLine="645"/>
        <w:jc w:val="left"/>
        <w:rPr>
          <w:rFonts w:ascii="宋体" w:hAnsi="宋体"/>
          <w:sz w:val="24"/>
          <w:szCs w:val="24"/>
          <w:u w:val="single"/>
        </w:rPr>
      </w:pPr>
      <w:r>
        <w:rPr>
          <w:rFonts w:hint="eastAsia" w:ascii="宋体" w:hAnsi="宋体"/>
          <w:sz w:val="24"/>
          <w:szCs w:val="24"/>
        </w:rPr>
        <w:t>（二）其他售后服务内容：</w:t>
      </w:r>
      <w:r>
        <w:rPr>
          <w:rFonts w:hint="eastAsia" w:ascii="宋体" w:hAnsi="宋体"/>
          <w:color w:val="E36C0A"/>
          <w:sz w:val="24"/>
          <w:szCs w:val="24"/>
          <w:u w:val="single"/>
        </w:rPr>
        <w:t xml:space="preserve">（投标文件售后承诺等） </w:t>
      </w:r>
    </w:p>
    <w:p>
      <w:pPr>
        <w:spacing w:line="15" w:lineRule="atLeast"/>
        <w:ind w:firstLine="645"/>
        <w:jc w:val="left"/>
        <w:rPr>
          <w:rFonts w:ascii="宋体" w:hAnsi="宋体"/>
          <w:sz w:val="24"/>
          <w:szCs w:val="24"/>
        </w:rPr>
      </w:pPr>
      <w:r>
        <w:rPr>
          <w:rFonts w:hint="eastAsia" w:ascii="宋体" w:hAnsi="宋体"/>
          <w:sz w:val="24"/>
          <w:szCs w:val="24"/>
        </w:rPr>
        <w:t>十二、违约条款</w:t>
      </w:r>
    </w:p>
    <w:p>
      <w:pPr>
        <w:spacing w:line="15" w:lineRule="atLeast"/>
        <w:ind w:firstLine="645"/>
        <w:jc w:val="left"/>
        <w:rPr>
          <w:rFonts w:ascii="宋体" w:hAnsi="宋体"/>
          <w:sz w:val="24"/>
          <w:szCs w:val="24"/>
        </w:rPr>
      </w:pPr>
      <w:r>
        <w:rPr>
          <w:rFonts w:hint="eastAsia" w:ascii="宋体" w:hAnsi="宋体"/>
          <w:sz w:val="24"/>
          <w:szCs w:val="24"/>
        </w:rPr>
        <w:t>（一）乙方逾期交付标的物、甲方逾期付款，按日承担违约部分合同金额的违约金。</w:t>
      </w:r>
    </w:p>
    <w:p>
      <w:pPr>
        <w:spacing w:line="15" w:lineRule="atLeast"/>
        <w:ind w:firstLine="645"/>
        <w:jc w:val="left"/>
        <w:rPr>
          <w:rFonts w:ascii="宋体" w:hAnsi="宋体"/>
          <w:sz w:val="24"/>
          <w:szCs w:val="24"/>
        </w:rPr>
      </w:pPr>
      <w:r>
        <w:rPr>
          <w:rFonts w:hint="eastAsia" w:ascii="宋体" w:hAnsi="宋体"/>
          <w:sz w:val="24"/>
          <w:szCs w:val="24"/>
        </w:rPr>
        <w:t>（二）其他违约责任以相关法律法规规定为准，无相关规定的，双方协商解决。</w:t>
      </w:r>
    </w:p>
    <w:p>
      <w:pPr>
        <w:spacing w:line="15" w:lineRule="atLeast"/>
        <w:ind w:firstLine="645"/>
        <w:jc w:val="left"/>
        <w:rPr>
          <w:rFonts w:ascii="宋体" w:hAnsi="宋体"/>
          <w:sz w:val="24"/>
          <w:szCs w:val="24"/>
        </w:rPr>
      </w:pPr>
      <w:r>
        <w:rPr>
          <w:rFonts w:hint="eastAsia" w:ascii="宋体" w:hAnsi="宋体"/>
          <w:sz w:val="24"/>
          <w:szCs w:val="24"/>
        </w:rPr>
        <w:t>十三、不可抗力条款</w:t>
      </w:r>
    </w:p>
    <w:p>
      <w:pPr>
        <w:spacing w:line="15" w:lineRule="atLeast"/>
        <w:ind w:firstLine="645"/>
        <w:jc w:val="left"/>
        <w:rPr>
          <w:rFonts w:ascii="宋体" w:hAnsi="宋体"/>
          <w:sz w:val="24"/>
          <w:szCs w:val="24"/>
        </w:rPr>
      </w:pPr>
      <w:r>
        <w:rPr>
          <w:rFonts w:hint="eastAsia" w:ascii="宋体" w:hAnsi="宋体"/>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宋体" w:hAnsi="宋体"/>
          <w:sz w:val="24"/>
          <w:szCs w:val="24"/>
        </w:rPr>
      </w:pPr>
      <w:r>
        <w:rPr>
          <w:rFonts w:hint="eastAsia" w:ascii="宋体" w:hAnsi="宋体"/>
          <w:sz w:val="24"/>
          <w:szCs w:val="24"/>
        </w:rPr>
        <w:t>十四、争议的解决方式</w:t>
      </w:r>
    </w:p>
    <w:p>
      <w:pPr>
        <w:spacing w:line="15" w:lineRule="atLeast"/>
        <w:ind w:firstLine="645"/>
        <w:jc w:val="left"/>
        <w:rPr>
          <w:rFonts w:ascii="宋体" w:hAnsi="宋体"/>
          <w:sz w:val="24"/>
          <w:szCs w:val="24"/>
        </w:rPr>
      </w:pPr>
      <w:r>
        <w:rPr>
          <w:rFonts w:hint="eastAsia" w:ascii="宋体" w:hAnsi="宋体"/>
          <w:sz w:val="24"/>
          <w:szCs w:val="24"/>
        </w:rPr>
        <w:t>合同发生纠纷时，双方应协商解决，协商不成可以采用下列方式解决：</w:t>
      </w:r>
    </w:p>
    <w:p>
      <w:pPr>
        <w:spacing w:line="15" w:lineRule="atLeast"/>
        <w:ind w:firstLine="645"/>
        <w:jc w:val="left"/>
        <w:rPr>
          <w:rFonts w:ascii="宋体" w:hAnsi="宋体"/>
          <w:sz w:val="24"/>
          <w:szCs w:val="24"/>
          <w:u w:val="single"/>
        </w:rPr>
      </w:pPr>
      <w:r>
        <w:rPr>
          <w:rFonts w:hint="eastAsia" w:ascii="宋体" w:hAnsi="宋体"/>
          <w:sz w:val="24"/>
          <w:szCs w:val="24"/>
        </w:rPr>
        <w:t>（一）提交仲裁委员会仲裁。</w:t>
      </w:r>
    </w:p>
    <w:p>
      <w:pPr>
        <w:spacing w:line="15" w:lineRule="atLeast"/>
        <w:ind w:firstLine="645"/>
        <w:jc w:val="left"/>
        <w:rPr>
          <w:rFonts w:ascii="宋体" w:hAnsi="宋体"/>
          <w:sz w:val="24"/>
          <w:szCs w:val="24"/>
        </w:rPr>
      </w:pPr>
      <w:r>
        <w:rPr>
          <w:rFonts w:hint="eastAsia" w:ascii="宋体" w:hAnsi="宋体"/>
          <w:sz w:val="24"/>
          <w:szCs w:val="24"/>
        </w:rPr>
        <w:t xml:space="preserve">（二）向人民法院起诉。            </w:t>
      </w:r>
    </w:p>
    <w:p>
      <w:pPr>
        <w:spacing w:line="15" w:lineRule="atLeast"/>
        <w:ind w:firstLine="645"/>
        <w:jc w:val="left"/>
        <w:rPr>
          <w:rFonts w:ascii="宋体" w:hAnsi="宋体"/>
          <w:sz w:val="24"/>
          <w:szCs w:val="24"/>
        </w:rPr>
      </w:pPr>
      <w:r>
        <w:rPr>
          <w:rFonts w:hint="eastAsia" w:ascii="宋体" w:hAnsi="宋体"/>
          <w:sz w:val="24"/>
          <w:szCs w:val="24"/>
        </w:rPr>
        <w:t>十五、合同保存</w:t>
      </w:r>
    </w:p>
    <w:p>
      <w:pPr>
        <w:spacing w:line="15" w:lineRule="atLeast"/>
        <w:ind w:firstLine="645"/>
        <w:jc w:val="left"/>
        <w:rPr>
          <w:rFonts w:ascii="宋体" w:hAnsi="宋体"/>
          <w:sz w:val="24"/>
          <w:szCs w:val="24"/>
        </w:rPr>
      </w:pPr>
      <w:r>
        <w:rPr>
          <w:rFonts w:hint="eastAsia" w:ascii="宋体" w:hAnsi="宋体"/>
          <w:sz w:val="24"/>
          <w:szCs w:val="24"/>
        </w:rPr>
        <w:t>合同文本一式五份，采购单位、投标人、政府采购监管部门、市交易中心、国库支付执行机构各一份，自双方签订之日起生效。</w:t>
      </w:r>
    </w:p>
    <w:p>
      <w:pPr>
        <w:spacing w:line="15" w:lineRule="atLeast"/>
        <w:ind w:firstLine="645"/>
        <w:jc w:val="left"/>
        <w:rPr>
          <w:rFonts w:ascii="宋体" w:hAnsi="宋体"/>
          <w:sz w:val="24"/>
          <w:szCs w:val="24"/>
        </w:rPr>
      </w:pPr>
      <w:r>
        <w:rPr>
          <w:rFonts w:hint="eastAsia" w:ascii="宋体" w:hAnsi="宋体"/>
          <w:sz w:val="24"/>
          <w:szCs w:val="24"/>
        </w:rPr>
        <w:t>十六、</w:t>
      </w:r>
      <w:r>
        <w:rPr>
          <w:rFonts w:ascii="宋体" w:hAnsi="宋体"/>
          <w:sz w:val="24"/>
          <w:szCs w:val="24"/>
        </w:rPr>
        <w:t>合同未尽事宜，双方另行签订补充协议，补充协议是合同的组成部分。</w:t>
      </w:r>
    </w:p>
    <w:p>
      <w:pPr>
        <w:spacing w:line="15" w:lineRule="atLeast"/>
        <w:ind w:firstLine="645"/>
        <w:jc w:val="left"/>
        <w:rPr>
          <w:rFonts w:ascii="宋体" w:hAnsi="宋体"/>
          <w:sz w:val="24"/>
          <w:szCs w:val="24"/>
        </w:rPr>
      </w:pPr>
      <w:r>
        <w:rPr>
          <w:rFonts w:hint="eastAsia" w:ascii="宋体" w:hAnsi="宋体"/>
          <w:sz w:val="24"/>
          <w:szCs w:val="24"/>
        </w:rPr>
        <w:t>甲方： （章）                              乙 方： （章）</w:t>
      </w:r>
    </w:p>
    <w:p>
      <w:pPr>
        <w:spacing w:line="15" w:lineRule="atLeast"/>
        <w:ind w:firstLine="645"/>
        <w:jc w:val="left"/>
        <w:rPr>
          <w:rFonts w:ascii="宋体" w:hAnsi="宋体"/>
          <w:sz w:val="24"/>
          <w:szCs w:val="24"/>
        </w:rPr>
      </w:pPr>
      <w:r>
        <w:rPr>
          <w:rFonts w:hint="eastAsia" w:ascii="宋体" w:hAnsi="宋体"/>
          <w:sz w:val="24"/>
          <w:szCs w:val="24"/>
        </w:rPr>
        <w:t xml:space="preserve">采购方法人代表：       （签字）             投标人法人代表：       （签字）         </w:t>
      </w:r>
    </w:p>
    <w:p>
      <w:pPr>
        <w:spacing w:line="15" w:lineRule="atLeast"/>
        <w:ind w:firstLine="645"/>
        <w:jc w:val="left"/>
        <w:rPr>
          <w:rFonts w:ascii="宋体" w:hAnsi="宋体"/>
          <w:sz w:val="24"/>
          <w:szCs w:val="24"/>
        </w:rPr>
      </w:pPr>
      <w:r>
        <w:rPr>
          <w:rFonts w:hint="eastAsia" w:ascii="宋体" w:hAnsi="宋体"/>
          <w:sz w:val="24"/>
          <w:szCs w:val="24"/>
        </w:rPr>
        <w:t xml:space="preserve">开户银行：                                  开户银行： </w:t>
      </w:r>
    </w:p>
    <w:p>
      <w:pPr>
        <w:spacing w:line="15" w:lineRule="atLeast"/>
        <w:ind w:firstLine="645"/>
        <w:jc w:val="left"/>
        <w:rPr>
          <w:rFonts w:ascii="宋体" w:hAnsi="宋体"/>
          <w:sz w:val="24"/>
          <w:szCs w:val="24"/>
        </w:rPr>
      </w:pPr>
      <w:r>
        <w:rPr>
          <w:rFonts w:hint="eastAsia" w:ascii="宋体" w:hAnsi="宋体"/>
          <w:sz w:val="24"/>
          <w:szCs w:val="24"/>
        </w:rPr>
        <w:t>帐    号：                                  帐    号：</w:t>
      </w:r>
    </w:p>
    <w:p>
      <w:pPr>
        <w:spacing w:line="15" w:lineRule="atLeast"/>
        <w:ind w:firstLine="645"/>
        <w:jc w:val="left"/>
        <w:rPr>
          <w:rFonts w:ascii="宋体" w:hAnsi="宋体"/>
          <w:sz w:val="24"/>
          <w:szCs w:val="24"/>
        </w:rPr>
      </w:pPr>
      <w:r>
        <w:rPr>
          <w:rFonts w:hint="eastAsia" w:ascii="宋体" w:hAnsi="宋体"/>
          <w:sz w:val="24"/>
          <w:szCs w:val="24"/>
        </w:rPr>
        <w:t>联系电话：                                  联系电话：</w:t>
      </w:r>
    </w:p>
    <w:p>
      <w:pPr>
        <w:spacing w:line="15" w:lineRule="atLeast"/>
        <w:ind w:firstLine="645"/>
        <w:jc w:val="left"/>
        <w:rPr>
          <w:rFonts w:ascii="宋体" w:hAnsi="宋体"/>
          <w:sz w:val="24"/>
          <w:szCs w:val="24"/>
        </w:rPr>
      </w:pPr>
      <w:r>
        <w:rPr>
          <w:rFonts w:hint="eastAsia" w:ascii="宋体" w:hAnsi="宋体"/>
          <w:sz w:val="24"/>
          <w:szCs w:val="24"/>
        </w:rPr>
        <w:t xml:space="preserve">                                    签订时间       年  月  日</w:t>
      </w:r>
    </w:p>
    <w:p>
      <w:pPr>
        <w:ind w:firstLine="645"/>
        <w:jc w:val="left"/>
        <w:rPr>
          <w:rFonts w:ascii="宋体" w:hAnsi="宋体"/>
          <w:sz w:val="24"/>
          <w:szCs w:val="24"/>
        </w:rPr>
      </w:pPr>
    </w:p>
    <w:p>
      <w:pPr>
        <w:jc w:val="left"/>
        <w:rPr>
          <w:rFonts w:ascii="宋体" w:hAnsi="宋体"/>
          <w:b/>
          <w:sz w:val="24"/>
          <w:szCs w:val="24"/>
        </w:rPr>
      </w:pPr>
      <w:r>
        <w:rPr>
          <w:rFonts w:hint="eastAsia" w:ascii="宋体" w:hAnsi="宋体"/>
          <w:b/>
          <w:sz w:val="24"/>
          <w:szCs w:val="24"/>
        </w:rPr>
        <w:t xml:space="preserve">附表：标的物清单（主要技术参数需与投标文件相一致）                                                </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rPr>
          <w:trHeight w:val="420" w:hRule="atLeast"/>
        </w:trPr>
        <w:tc>
          <w:tcPr>
            <w:tcW w:w="1645" w:type="dxa"/>
            <w:vAlign w:val="center"/>
          </w:tcPr>
          <w:p>
            <w:pPr>
              <w:spacing w:before="0" w:beforeAutospacing="0" w:after="0" w:afterAutospacing="0"/>
              <w:ind w:left="0" w:right="0"/>
              <w:jc w:val="center"/>
              <w:rPr>
                <w:rFonts w:hint="default" w:ascii="宋体" w:hAnsi="宋体" w:cs="Calibri"/>
                <w:b/>
                <w:sz w:val="24"/>
                <w:szCs w:val="24"/>
              </w:rPr>
            </w:pPr>
            <w:r>
              <w:rPr>
                <w:rFonts w:hint="eastAsia" w:ascii="宋体" w:hAnsi="宋体" w:cs="Calibri"/>
                <w:b/>
                <w:sz w:val="24"/>
                <w:szCs w:val="24"/>
              </w:rPr>
              <w:t>名 称</w:t>
            </w:r>
          </w:p>
        </w:tc>
        <w:tc>
          <w:tcPr>
            <w:tcW w:w="4082" w:type="dxa"/>
            <w:vAlign w:val="center"/>
          </w:tcPr>
          <w:p>
            <w:pPr>
              <w:spacing w:before="0" w:beforeAutospacing="0" w:after="0" w:afterAutospacing="0"/>
              <w:ind w:left="0" w:right="0"/>
              <w:jc w:val="center"/>
              <w:rPr>
                <w:rFonts w:hint="default" w:ascii="宋体" w:hAnsi="宋体" w:cs="Calibri"/>
                <w:b/>
                <w:sz w:val="24"/>
                <w:szCs w:val="24"/>
              </w:rPr>
            </w:pPr>
            <w:r>
              <w:rPr>
                <w:rFonts w:hint="eastAsia" w:ascii="宋体" w:hAnsi="宋体" w:cs="Calibri"/>
                <w:b/>
                <w:sz w:val="24"/>
                <w:szCs w:val="24"/>
              </w:rPr>
              <w:t>品牌、规格、标准</w:t>
            </w:r>
          </w:p>
        </w:tc>
        <w:tc>
          <w:tcPr>
            <w:tcW w:w="616" w:type="dxa"/>
            <w:vAlign w:val="center"/>
          </w:tcPr>
          <w:p>
            <w:pPr>
              <w:spacing w:before="0" w:beforeAutospacing="0" w:after="0" w:afterAutospacing="0"/>
              <w:ind w:left="0" w:right="0"/>
              <w:jc w:val="center"/>
              <w:rPr>
                <w:rFonts w:hint="default" w:ascii="宋体" w:hAnsi="宋体" w:cs="Calibri"/>
                <w:b/>
                <w:sz w:val="24"/>
                <w:szCs w:val="24"/>
              </w:rPr>
            </w:pPr>
            <w:r>
              <w:rPr>
                <w:rFonts w:hint="eastAsia" w:ascii="宋体" w:hAnsi="宋体" w:cs="Calibri"/>
                <w:b/>
                <w:sz w:val="24"/>
                <w:szCs w:val="24"/>
              </w:rPr>
              <w:t>产地</w:t>
            </w:r>
          </w:p>
        </w:tc>
        <w:tc>
          <w:tcPr>
            <w:tcW w:w="932" w:type="dxa"/>
            <w:vAlign w:val="center"/>
          </w:tcPr>
          <w:p>
            <w:pPr>
              <w:spacing w:before="0" w:beforeAutospacing="0" w:after="0" w:afterAutospacing="0"/>
              <w:ind w:left="0" w:right="0"/>
              <w:jc w:val="center"/>
              <w:rPr>
                <w:rFonts w:hint="default" w:ascii="宋体" w:hAnsi="宋体" w:cs="Calibri"/>
                <w:b/>
                <w:sz w:val="24"/>
                <w:szCs w:val="24"/>
              </w:rPr>
            </w:pPr>
            <w:r>
              <w:rPr>
                <w:rFonts w:hint="eastAsia" w:ascii="宋体" w:hAnsi="宋体" w:cs="Calibri"/>
                <w:b/>
                <w:sz w:val="24"/>
                <w:szCs w:val="24"/>
              </w:rPr>
              <w:t>数量</w:t>
            </w:r>
          </w:p>
        </w:tc>
        <w:tc>
          <w:tcPr>
            <w:tcW w:w="940" w:type="dxa"/>
            <w:vAlign w:val="center"/>
          </w:tcPr>
          <w:p>
            <w:pPr>
              <w:spacing w:before="0" w:beforeAutospacing="0" w:after="0" w:afterAutospacing="0"/>
              <w:ind w:left="0" w:right="0"/>
              <w:jc w:val="center"/>
              <w:rPr>
                <w:rFonts w:hint="default" w:ascii="宋体" w:hAnsi="宋体" w:cs="Calibri"/>
                <w:b/>
                <w:sz w:val="24"/>
                <w:szCs w:val="24"/>
              </w:rPr>
            </w:pPr>
            <w:r>
              <w:rPr>
                <w:rFonts w:hint="eastAsia" w:ascii="宋体" w:hAnsi="宋体" w:cs="Calibri"/>
                <w:b/>
                <w:sz w:val="24"/>
                <w:szCs w:val="24"/>
              </w:rPr>
              <w:t>单价（元）</w:t>
            </w:r>
          </w:p>
        </w:tc>
        <w:tc>
          <w:tcPr>
            <w:tcW w:w="1413" w:type="dxa"/>
            <w:vAlign w:val="center"/>
          </w:tcPr>
          <w:p>
            <w:pPr>
              <w:spacing w:before="0" w:beforeAutospacing="0" w:after="0" w:afterAutospacing="0"/>
              <w:ind w:left="0" w:right="0"/>
              <w:jc w:val="center"/>
              <w:rPr>
                <w:rFonts w:hint="default" w:ascii="宋体" w:hAnsi="宋体" w:cs="Calibri"/>
                <w:b/>
                <w:sz w:val="24"/>
                <w:szCs w:val="24"/>
              </w:rPr>
            </w:pPr>
            <w:r>
              <w:rPr>
                <w:rFonts w:hint="eastAsia" w:ascii="宋体" w:hAnsi="宋体" w:cs="Calibri"/>
                <w:b/>
                <w:sz w:val="24"/>
                <w:szCs w:val="24"/>
              </w:rPr>
              <w:t>金额（元）</w:t>
            </w:r>
          </w:p>
        </w:tc>
      </w:tr>
      <w:tr>
        <w:trPr>
          <w:trHeight w:val="510" w:hRule="atLeast"/>
        </w:trPr>
        <w:tc>
          <w:tcPr>
            <w:tcW w:w="1645"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r>
              <w:rPr>
                <w:rFonts w:hint="eastAsia" w:ascii="宋体" w:hAnsi="宋体" w:cs="Calibri"/>
                <w:color w:val="000000"/>
                <w:sz w:val="24"/>
                <w:szCs w:val="24"/>
              </w:rPr>
              <w:t>**</w:t>
            </w:r>
          </w:p>
        </w:tc>
        <w:tc>
          <w:tcPr>
            <w:tcW w:w="4082" w:type="dxa"/>
            <w:vAlign w:val="center"/>
          </w:tcPr>
          <w:p>
            <w:pPr>
              <w:spacing w:before="0" w:beforeAutospacing="0" w:after="0" w:afterAutospacing="0"/>
              <w:ind w:left="0" w:right="0"/>
              <w:jc w:val="center"/>
              <w:rPr>
                <w:rFonts w:hint="default" w:ascii="宋体" w:hAnsi="宋体" w:cs="Calibri"/>
                <w:color w:val="000000"/>
                <w:sz w:val="24"/>
                <w:szCs w:val="24"/>
              </w:rPr>
            </w:pPr>
            <w:r>
              <w:rPr>
                <w:rFonts w:hint="eastAsia" w:ascii="宋体" w:hAnsi="宋体" w:cs="Calibri"/>
                <w:color w:val="000000"/>
                <w:sz w:val="24"/>
                <w:szCs w:val="24"/>
              </w:rPr>
              <w:t>**</w:t>
            </w:r>
          </w:p>
        </w:tc>
        <w:tc>
          <w:tcPr>
            <w:tcW w:w="616" w:type="dxa"/>
            <w:vAlign w:val="center"/>
          </w:tcPr>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w:t>
            </w:r>
          </w:p>
        </w:tc>
        <w:tc>
          <w:tcPr>
            <w:tcW w:w="932"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r>
              <w:rPr>
                <w:rFonts w:hint="eastAsia" w:ascii="宋体" w:hAnsi="宋体" w:cs="Calibri"/>
                <w:color w:val="000000"/>
                <w:sz w:val="24"/>
                <w:szCs w:val="24"/>
              </w:rPr>
              <w:t>**</w:t>
            </w:r>
          </w:p>
        </w:tc>
        <w:tc>
          <w:tcPr>
            <w:tcW w:w="940"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r>
              <w:rPr>
                <w:rFonts w:hint="eastAsia" w:ascii="宋体" w:hAnsi="宋体" w:cs="Calibri"/>
                <w:color w:val="000000"/>
                <w:sz w:val="24"/>
                <w:szCs w:val="24"/>
              </w:rPr>
              <w:t>**</w:t>
            </w:r>
          </w:p>
        </w:tc>
        <w:tc>
          <w:tcPr>
            <w:tcW w:w="1413"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r>
              <w:rPr>
                <w:rFonts w:hint="eastAsia" w:ascii="宋体" w:hAnsi="宋体" w:cs="Calibri"/>
                <w:color w:val="000000"/>
                <w:sz w:val="24"/>
                <w:szCs w:val="24"/>
              </w:rPr>
              <w:t>**</w:t>
            </w:r>
          </w:p>
        </w:tc>
      </w:tr>
      <w:tr>
        <w:trPr>
          <w:trHeight w:val="510" w:hRule="atLeast"/>
        </w:trPr>
        <w:tc>
          <w:tcPr>
            <w:tcW w:w="1645" w:type="dxa"/>
            <w:vAlign w:val="center"/>
          </w:tcPr>
          <w:p>
            <w:pPr>
              <w:adjustRightInd w:val="0"/>
              <w:snapToGrid w:val="0"/>
              <w:spacing w:before="0" w:beforeAutospacing="0" w:after="0" w:afterAutospacing="0" w:line="460" w:lineRule="exact"/>
              <w:ind w:left="-118" w:leftChars="-42" w:right="0"/>
              <w:jc w:val="center"/>
              <w:rPr>
                <w:rFonts w:hint="default" w:ascii="宋体" w:hAnsi="宋体" w:cs="Calibri"/>
                <w:color w:val="000000"/>
                <w:sz w:val="24"/>
                <w:szCs w:val="24"/>
              </w:rPr>
            </w:pPr>
          </w:p>
        </w:tc>
        <w:tc>
          <w:tcPr>
            <w:tcW w:w="4082" w:type="dxa"/>
            <w:vAlign w:val="center"/>
          </w:tcPr>
          <w:p>
            <w:pPr>
              <w:spacing w:before="0" w:beforeAutospacing="0" w:after="0" w:afterAutospacing="0"/>
              <w:ind w:left="0" w:right="0"/>
              <w:jc w:val="center"/>
              <w:rPr>
                <w:rFonts w:hint="default" w:ascii="宋体" w:hAnsi="宋体" w:cs="Calibri"/>
                <w:color w:val="000000"/>
                <w:sz w:val="24"/>
                <w:szCs w:val="24"/>
              </w:rPr>
            </w:pPr>
          </w:p>
        </w:tc>
        <w:tc>
          <w:tcPr>
            <w:tcW w:w="616" w:type="dxa"/>
            <w:vAlign w:val="center"/>
          </w:tcPr>
          <w:p>
            <w:pPr>
              <w:spacing w:before="0" w:beforeAutospacing="0" w:after="0" w:afterAutospacing="0"/>
              <w:ind w:left="0" w:right="0"/>
              <w:jc w:val="center"/>
              <w:rPr>
                <w:rFonts w:hint="default" w:ascii="宋体" w:hAnsi="宋体" w:cs="Calibri"/>
                <w:sz w:val="24"/>
                <w:szCs w:val="24"/>
              </w:rPr>
            </w:pPr>
          </w:p>
        </w:tc>
        <w:tc>
          <w:tcPr>
            <w:tcW w:w="932"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940"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1413"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r>
      <w:tr>
        <w:trPr>
          <w:trHeight w:val="510" w:hRule="atLeast"/>
        </w:trPr>
        <w:tc>
          <w:tcPr>
            <w:tcW w:w="1645" w:type="dxa"/>
            <w:vAlign w:val="center"/>
          </w:tcPr>
          <w:p>
            <w:pPr>
              <w:adjustRightInd w:val="0"/>
              <w:snapToGrid w:val="0"/>
              <w:spacing w:before="0" w:beforeAutospacing="0" w:after="0" w:afterAutospacing="0" w:line="460" w:lineRule="exact"/>
              <w:ind w:left="-118" w:leftChars="-42" w:right="0"/>
              <w:jc w:val="center"/>
              <w:rPr>
                <w:rFonts w:hint="default" w:ascii="宋体" w:hAnsi="宋体" w:cs="Calibri"/>
                <w:color w:val="000000"/>
                <w:sz w:val="24"/>
                <w:szCs w:val="24"/>
              </w:rPr>
            </w:pPr>
          </w:p>
        </w:tc>
        <w:tc>
          <w:tcPr>
            <w:tcW w:w="4082" w:type="dxa"/>
            <w:vAlign w:val="center"/>
          </w:tcPr>
          <w:p>
            <w:pPr>
              <w:spacing w:before="0" w:beforeAutospacing="0" w:after="0" w:afterAutospacing="0"/>
              <w:ind w:left="0" w:right="0"/>
              <w:jc w:val="center"/>
              <w:rPr>
                <w:rFonts w:hint="default" w:ascii="宋体" w:hAnsi="宋体" w:cs="Calibri"/>
                <w:color w:val="000000"/>
                <w:sz w:val="24"/>
                <w:szCs w:val="24"/>
              </w:rPr>
            </w:pPr>
          </w:p>
        </w:tc>
        <w:tc>
          <w:tcPr>
            <w:tcW w:w="616" w:type="dxa"/>
            <w:vAlign w:val="center"/>
          </w:tcPr>
          <w:p>
            <w:pPr>
              <w:spacing w:before="0" w:beforeAutospacing="0" w:after="0" w:afterAutospacing="0"/>
              <w:ind w:left="0" w:right="0"/>
              <w:jc w:val="center"/>
              <w:rPr>
                <w:rFonts w:hint="default" w:ascii="宋体" w:hAnsi="宋体" w:cs="Calibri"/>
                <w:sz w:val="24"/>
                <w:szCs w:val="24"/>
              </w:rPr>
            </w:pPr>
          </w:p>
        </w:tc>
        <w:tc>
          <w:tcPr>
            <w:tcW w:w="932"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940"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1413"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r>
      <w:tr>
        <w:trPr>
          <w:trHeight w:val="510" w:hRule="atLeast"/>
        </w:trPr>
        <w:tc>
          <w:tcPr>
            <w:tcW w:w="1645" w:type="dxa"/>
            <w:vAlign w:val="center"/>
          </w:tcPr>
          <w:p>
            <w:pPr>
              <w:adjustRightInd w:val="0"/>
              <w:snapToGrid w:val="0"/>
              <w:spacing w:before="0" w:beforeAutospacing="0" w:after="0" w:afterAutospacing="0" w:line="460" w:lineRule="exact"/>
              <w:ind w:left="-118" w:leftChars="-42" w:right="0"/>
              <w:jc w:val="center"/>
              <w:rPr>
                <w:rFonts w:hint="default" w:ascii="宋体" w:hAnsi="宋体" w:cs="Calibri"/>
                <w:color w:val="000000"/>
                <w:sz w:val="24"/>
                <w:szCs w:val="24"/>
              </w:rPr>
            </w:pPr>
          </w:p>
        </w:tc>
        <w:tc>
          <w:tcPr>
            <w:tcW w:w="4082" w:type="dxa"/>
            <w:vAlign w:val="center"/>
          </w:tcPr>
          <w:p>
            <w:pPr>
              <w:spacing w:before="0" w:beforeAutospacing="0" w:after="0" w:afterAutospacing="0"/>
              <w:ind w:left="0" w:right="0"/>
              <w:jc w:val="center"/>
              <w:rPr>
                <w:rFonts w:hint="default" w:ascii="宋体" w:hAnsi="宋体" w:cs="Calibri"/>
                <w:color w:val="000000"/>
                <w:sz w:val="24"/>
                <w:szCs w:val="24"/>
              </w:rPr>
            </w:pPr>
          </w:p>
        </w:tc>
        <w:tc>
          <w:tcPr>
            <w:tcW w:w="616" w:type="dxa"/>
            <w:vAlign w:val="center"/>
          </w:tcPr>
          <w:p>
            <w:pPr>
              <w:spacing w:before="0" w:beforeAutospacing="0" w:after="0" w:afterAutospacing="0"/>
              <w:ind w:left="0" w:right="0"/>
              <w:jc w:val="center"/>
              <w:rPr>
                <w:rFonts w:hint="default" w:ascii="宋体" w:hAnsi="宋体" w:cs="Calibri"/>
                <w:sz w:val="24"/>
                <w:szCs w:val="24"/>
              </w:rPr>
            </w:pPr>
          </w:p>
        </w:tc>
        <w:tc>
          <w:tcPr>
            <w:tcW w:w="932"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940"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1413"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r>
      <w:tr>
        <w:trPr>
          <w:trHeight w:val="510" w:hRule="atLeast"/>
        </w:trPr>
        <w:tc>
          <w:tcPr>
            <w:tcW w:w="1645" w:type="dxa"/>
            <w:vAlign w:val="center"/>
          </w:tcPr>
          <w:p>
            <w:pPr>
              <w:adjustRightInd w:val="0"/>
              <w:snapToGrid w:val="0"/>
              <w:spacing w:before="0" w:beforeAutospacing="0" w:after="0" w:afterAutospacing="0" w:line="460" w:lineRule="exact"/>
              <w:ind w:left="-118" w:leftChars="-42" w:right="0"/>
              <w:jc w:val="center"/>
              <w:rPr>
                <w:rFonts w:hint="default" w:ascii="宋体" w:hAnsi="宋体" w:cs="Calibri"/>
                <w:color w:val="000000"/>
                <w:sz w:val="24"/>
                <w:szCs w:val="24"/>
              </w:rPr>
            </w:pPr>
          </w:p>
        </w:tc>
        <w:tc>
          <w:tcPr>
            <w:tcW w:w="4082" w:type="dxa"/>
            <w:vAlign w:val="center"/>
          </w:tcPr>
          <w:p>
            <w:pPr>
              <w:spacing w:before="0" w:beforeAutospacing="0" w:after="0" w:afterAutospacing="0"/>
              <w:ind w:left="0" w:right="0"/>
              <w:jc w:val="center"/>
              <w:rPr>
                <w:rFonts w:hint="default" w:ascii="宋体" w:hAnsi="宋体" w:cs="Calibri"/>
                <w:color w:val="000000"/>
                <w:sz w:val="24"/>
                <w:szCs w:val="24"/>
              </w:rPr>
            </w:pPr>
          </w:p>
        </w:tc>
        <w:tc>
          <w:tcPr>
            <w:tcW w:w="616" w:type="dxa"/>
            <w:vAlign w:val="center"/>
          </w:tcPr>
          <w:p>
            <w:pPr>
              <w:spacing w:before="0" w:beforeAutospacing="0" w:after="0" w:afterAutospacing="0"/>
              <w:ind w:left="0" w:right="0"/>
              <w:jc w:val="center"/>
              <w:rPr>
                <w:rFonts w:hint="default" w:ascii="宋体" w:hAnsi="宋体" w:cs="Calibri"/>
                <w:sz w:val="24"/>
                <w:szCs w:val="24"/>
              </w:rPr>
            </w:pPr>
          </w:p>
        </w:tc>
        <w:tc>
          <w:tcPr>
            <w:tcW w:w="932"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940"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1413"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r>
      <w:tr>
        <w:trPr>
          <w:trHeight w:val="510" w:hRule="atLeast"/>
        </w:trPr>
        <w:tc>
          <w:tcPr>
            <w:tcW w:w="1645" w:type="dxa"/>
            <w:vAlign w:val="center"/>
          </w:tcPr>
          <w:p>
            <w:pPr>
              <w:adjustRightInd w:val="0"/>
              <w:snapToGrid w:val="0"/>
              <w:spacing w:before="0" w:beforeAutospacing="0" w:after="0" w:afterAutospacing="0" w:line="460" w:lineRule="exact"/>
              <w:ind w:left="0" w:right="0"/>
              <w:rPr>
                <w:rFonts w:hint="default" w:ascii="宋体" w:hAnsi="宋体" w:cs="Calibri"/>
                <w:color w:val="000000"/>
                <w:sz w:val="24"/>
                <w:szCs w:val="24"/>
              </w:rPr>
            </w:pPr>
          </w:p>
        </w:tc>
        <w:tc>
          <w:tcPr>
            <w:tcW w:w="4082" w:type="dxa"/>
            <w:vAlign w:val="center"/>
          </w:tcPr>
          <w:p>
            <w:pPr>
              <w:spacing w:before="0" w:beforeAutospacing="0" w:after="0" w:afterAutospacing="0"/>
              <w:ind w:left="0" w:right="0"/>
              <w:jc w:val="center"/>
              <w:rPr>
                <w:rFonts w:hint="default" w:ascii="宋体" w:hAnsi="宋体" w:cs="Calibri"/>
                <w:color w:val="000000"/>
                <w:sz w:val="24"/>
                <w:szCs w:val="24"/>
              </w:rPr>
            </w:pPr>
          </w:p>
        </w:tc>
        <w:tc>
          <w:tcPr>
            <w:tcW w:w="616" w:type="dxa"/>
            <w:vAlign w:val="center"/>
          </w:tcPr>
          <w:p>
            <w:pPr>
              <w:spacing w:before="0" w:beforeAutospacing="0" w:after="0" w:afterAutospacing="0"/>
              <w:ind w:left="0" w:right="0"/>
              <w:jc w:val="center"/>
              <w:rPr>
                <w:rFonts w:hint="default" w:ascii="宋体" w:hAnsi="宋体" w:cs="Calibri"/>
                <w:sz w:val="24"/>
                <w:szCs w:val="24"/>
              </w:rPr>
            </w:pPr>
          </w:p>
        </w:tc>
        <w:tc>
          <w:tcPr>
            <w:tcW w:w="932"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940"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c>
          <w:tcPr>
            <w:tcW w:w="1413" w:type="dxa"/>
            <w:vAlign w:val="center"/>
          </w:tcPr>
          <w:p>
            <w:pPr>
              <w:adjustRightInd w:val="0"/>
              <w:snapToGrid w:val="0"/>
              <w:spacing w:before="0" w:beforeAutospacing="0" w:after="0" w:afterAutospacing="0" w:line="460" w:lineRule="exact"/>
              <w:ind w:left="0" w:right="0"/>
              <w:jc w:val="center"/>
              <w:rPr>
                <w:rFonts w:hint="default" w:ascii="宋体" w:hAnsi="宋体" w:cs="Calibri"/>
                <w:color w:val="000000"/>
                <w:sz w:val="24"/>
                <w:szCs w:val="24"/>
              </w:rPr>
            </w:pPr>
          </w:p>
        </w:tc>
      </w:tr>
      <w:tr>
        <w:trPr>
          <w:trHeight w:val="480" w:hRule="atLeast"/>
        </w:trPr>
        <w:tc>
          <w:tcPr>
            <w:tcW w:w="8215" w:type="dxa"/>
            <w:gridSpan w:val="5"/>
            <w:vAlign w:val="center"/>
          </w:tcPr>
          <w:p>
            <w:pPr>
              <w:spacing w:before="0" w:beforeAutospacing="0" w:after="0" w:afterAutospacing="0"/>
              <w:ind w:left="0" w:right="0"/>
              <w:rPr>
                <w:rFonts w:hint="default" w:ascii="宋体" w:hAnsi="宋体" w:cs="Calibri"/>
                <w:color w:val="FF0000"/>
                <w:sz w:val="24"/>
                <w:szCs w:val="24"/>
              </w:rPr>
            </w:pPr>
            <w:r>
              <w:rPr>
                <w:rFonts w:hint="eastAsia" w:ascii="宋体" w:hAnsi="宋体" w:cs="Calibri"/>
                <w:color w:val="FF0000"/>
                <w:sz w:val="24"/>
                <w:szCs w:val="24"/>
              </w:rPr>
              <w:t>人民币大写：**</w:t>
            </w:r>
            <w:r>
              <w:rPr>
                <w:rFonts w:hint="default" w:ascii="宋体" w:hAnsi="宋体" w:cs="Calibri"/>
                <w:color w:val="000000"/>
                <w:sz w:val="24"/>
                <w:szCs w:val="24"/>
              </w:rPr>
              <w:t>元</w:t>
            </w:r>
            <w:r>
              <w:rPr>
                <w:rFonts w:hint="eastAsia" w:ascii="宋体" w:hAnsi="宋体" w:cs="Calibri"/>
                <w:color w:val="000000"/>
                <w:sz w:val="24"/>
                <w:szCs w:val="24"/>
              </w:rPr>
              <w:t>整</w:t>
            </w:r>
          </w:p>
        </w:tc>
        <w:tc>
          <w:tcPr>
            <w:tcW w:w="1413" w:type="dxa"/>
            <w:vAlign w:val="center"/>
          </w:tcPr>
          <w:p>
            <w:pPr>
              <w:spacing w:before="0" w:beforeAutospacing="0" w:after="0" w:afterAutospacing="0"/>
              <w:ind w:left="0" w:right="0"/>
              <w:jc w:val="center"/>
              <w:rPr>
                <w:rFonts w:hint="default" w:ascii="宋体" w:hAnsi="宋体" w:cs="Calibri"/>
                <w:color w:val="FF0000"/>
                <w:sz w:val="24"/>
                <w:szCs w:val="24"/>
              </w:rPr>
            </w:pPr>
            <w:r>
              <w:rPr>
                <w:rFonts w:hint="eastAsia" w:ascii="宋体" w:hAnsi="宋体" w:cs="Calibri"/>
                <w:color w:val="FF0000"/>
                <w:sz w:val="24"/>
                <w:szCs w:val="24"/>
              </w:rPr>
              <w:t>￥：**</w:t>
            </w:r>
          </w:p>
        </w:tc>
      </w:tr>
    </w:tbl>
    <w:p>
      <w:pPr>
        <w:jc w:val="center"/>
        <w:outlineLvl w:val="0"/>
        <w:rPr>
          <w:rFonts w:ascii="宋体" w:hAnsi="宋体"/>
          <w:b/>
          <w:bCs/>
          <w:color w:val="000000"/>
          <w:kern w:val="44"/>
          <w:sz w:val="24"/>
          <w:szCs w:val="24"/>
        </w:rPr>
      </w:pPr>
      <w:r>
        <w:rPr>
          <w:rFonts w:ascii="宋体" w:hAnsi="宋体"/>
          <w:b/>
          <w:bCs/>
          <w:color w:val="000000"/>
          <w:kern w:val="44"/>
          <w:sz w:val="24"/>
          <w:szCs w:val="24"/>
        </w:rPr>
        <w:br w:type="page"/>
      </w:r>
    </w:p>
    <w:p>
      <w:pPr>
        <w:jc w:val="center"/>
        <w:outlineLvl w:val="0"/>
        <w:rPr>
          <w:rFonts w:hint="eastAsia" w:ascii="宋体" w:hAnsi="宋体"/>
          <w:b w:val="0"/>
          <w:bCs w:val="0"/>
          <w:color w:val="000000"/>
          <w:kern w:val="44"/>
          <w:sz w:val="24"/>
          <w:szCs w:val="24"/>
          <w:lang w:val="en-US" w:eastAsia="zh-CN"/>
        </w:rPr>
      </w:pPr>
      <w:bookmarkStart w:id="5" w:name="_Toc494546014"/>
      <w:bookmarkStart w:id="6" w:name="_Toc497408661"/>
      <w:r>
        <w:rPr>
          <w:rFonts w:hint="eastAsia" w:ascii="宋体" w:hAnsi="宋体"/>
          <w:b w:val="0"/>
          <w:bCs w:val="0"/>
          <w:color w:val="000000"/>
          <w:kern w:val="44"/>
          <w:sz w:val="24"/>
          <w:szCs w:val="24"/>
          <w:lang w:val="en-US" w:eastAsia="zh-CN"/>
        </w:rPr>
        <w:t>第四章 招标内容与技术要求</w:t>
      </w:r>
    </w:p>
    <w:p>
      <w:pPr>
        <w:jc w:val="both"/>
        <w:outlineLvl w:val="0"/>
        <w:rPr>
          <w:rFonts w:hint="eastAsia" w:ascii="宋体" w:hAnsi="宋体"/>
          <w:b w:val="0"/>
          <w:bCs w:val="0"/>
          <w:color w:val="000000"/>
          <w:kern w:val="44"/>
          <w:sz w:val="24"/>
          <w:szCs w:val="24"/>
          <w:lang w:val="en-US" w:eastAsia="zh-CN"/>
        </w:rPr>
      </w:pP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一、主要商务要求</w:t>
      </w:r>
    </w:p>
    <w:tbl>
      <w:tblPr>
        <w:tblW w:w="9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7009"/>
      </w:tblGrid>
      <w:tr>
        <w:trPr>
          <w:trHeight w:val="401"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7" w:name="_Toc491862079"/>
            <w:r>
              <w:rPr>
                <w:rFonts w:hint="eastAsia" w:ascii="宋体" w:hAnsi="宋体" w:cs="Calibri"/>
                <w:b w:val="0"/>
                <w:bCs w:val="0"/>
                <w:color w:val="000000"/>
                <w:kern w:val="44"/>
                <w:sz w:val="24"/>
                <w:szCs w:val="24"/>
                <w:lang w:val="en-US" w:eastAsia="zh-CN"/>
              </w:rPr>
              <w:t>主要商务条款</w:t>
            </w:r>
            <w:bookmarkEnd w:id="7"/>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8" w:name="_Toc491862080"/>
            <w:r>
              <w:rPr>
                <w:rFonts w:hint="eastAsia" w:ascii="宋体" w:hAnsi="宋体" w:cs="Calibri"/>
                <w:b w:val="0"/>
                <w:bCs w:val="0"/>
                <w:color w:val="000000"/>
                <w:kern w:val="44"/>
                <w:sz w:val="24"/>
                <w:szCs w:val="24"/>
                <w:lang w:val="en-US" w:eastAsia="zh-CN"/>
              </w:rPr>
              <w:t>具体要求</w:t>
            </w:r>
            <w:bookmarkEnd w:id="8"/>
          </w:p>
        </w:tc>
      </w:tr>
      <w:tr>
        <w:trPr>
          <w:trHeight w:val="631"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9" w:name="_Toc491862082"/>
            <w:r>
              <w:rPr>
                <w:rFonts w:hint="eastAsia" w:ascii="宋体" w:hAnsi="宋体" w:cs="Calibri"/>
                <w:b w:val="0"/>
                <w:bCs w:val="0"/>
                <w:color w:val="000000"/>
                <w:kern w:val="44"/>
                <w:sz w:val="24"/>
                <w:szCs w:val="24"/>
                <w:lang w:val="en-US" w:eastAsia="zh-CN"/>
              </w:rPr>
              <w:t xml:space="preserve">  采购预算/最高限价</w:t>
            </w:r>
            <w:bookmarkEnd w:id="9"/>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10" w:name="_Toc491862083"/>
            <w:r>
              <w:rPr>
                <w:rFonts w:hint="eastAsia" w:ascii="宋体" w:hAnsi="宋体" w:cs="Calibri"/>
                <w:b w:val="0"/>
                <w:bCs w:val="0"/>
                <w:color w:val="000000"/>
                <w:kern w:val="44"/>
                <w:sz w:val="24"/>
                <w:szCs w:val="24"/>
                <w:lang w:val="en-US" w:eastAsia="zh-CN"/>
              </w:rPr>
              <w:t>2423427元</w:t>
            </w:r>
            <w:bookmarkEnd w:id="10"/>
          </w:p>
        </w:tc>
      </w:tr>
      <w:tr>
        <w:trPr>
          <w:trHeight w:val="476"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交付使用时间</w:t>
            </w:r>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签订合同后 30 日内。</w:t>
            </w:r>
          </w:p>
        </w:tc>
      </w:tr>
      <w:tr>
        <w:trPr>
          <w:trHeight w:val="507"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11" w:name="_Toc491862089"/>
            <w:r>
              <w:rPr>
                <w:rFonts w:hint="eastAsia" w:ascii="宋体" w:hAnsi="宋体" w:cs="Calibri"/>
                <w:b w:val="0"/>
                <w:bCs w:val="0"/>
                <w:color w:val="000000"/>
                <w:kern w:val="44"/>
                <w:sz w:val="24"/>
                <w:szCs w:val="24"/>
                <w:lang w:val="en-US" w:eastAsia="zh-CN"/>
              </w:rPr>
              <w:t>交付使用地点</w:t>
            </w:r>
            <w:bookmarkEnd w:id="11"/>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12" w:name="_Toc491862090"/>
            <w:r>
              <w:rPr>
                <w:rFonts w:hint="eastAsia" w:ascii="宋体" w:hAnsi="宋体" w:cs="Calibri"/>
                <w:b w:val="0"/>
                <w:bCs w:val="0"/>
                <w:color w:val="000000"/>
                <w:kern w:val="44"/>
                <w:sz w:val="24"/>
                <w:szCs w:val="24"/>
                <w:lang w:val="en-US" w:eastAsia="zh-CN"/>
              </w:rPr>
              <w:t>采购人指定地点。</w:t>
            </w:r>
            <w:bookmarkEnd w:id="12"/>
          </w:p>
        </w:tc>
      </w:tr>
      <w:tr>
        <w:trPr>
          <w:trHeight w:val="429"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投标有效期</w:t>
            </w:r>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从提交投标文件的截止之日起90日历天。</w:t>
            </w:r>
          </w:p>
        </w:tc>
      </w:tr>
      <w:tr>
        <w:trPr>
          <w:trHeight w:val="420"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13" w:name="_Toc491862092"/>
            <w:r>
              <w:rPr>
                <w:rFonts w:hint="eastAsia" w:ascii="宋体" w:hAnsi="宋体" w:cs="Calibri"/>
                <w:b w:val="0"/>
                <w:bCs w:val="0"/>
                <w:color w:val="000000"/>
                <w:kern w:val="44"/>
                <w:sz w:val="24"/>
                <w:szCs w:val="24"/>
                <w:lang w:val="en-US" w:eastAsia="zh-CN"/>
              </w:rPr>
              <w:t>质保期</w:t>
            </w:r>
            <w:bookmarkEnd w:id="13"/>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auto"/>
                <w:kern w:val="44"/>
                <w:sz w:val="24"/>
                <w:szCs w:val="24"/>
                <w:highlight w:val="none"/>
                <w:lang w:val="en-US" w:eastAsia="zh-CN"/>
              </w:rPr>
            </w:pPr>
            <w:bookmarkStart w:id="14" w:name="_Toc491862093"/>
            <w:r>
              <w:rPr>
                <w:rFonts w:hint="eastAsia" w:ascii="宋体" w:hAnsi="宋体" w:cs="Calibri"/>
                <w:b w:val="0"/>
                <w:bCs w:val="0"/>
                <w:color w:val="auto"/>
                <w:kern w:val="44"/>
                <w:sz w:val="24"/>
                <w:szCs w:val="24"/>
                <w:highlight w:val="none"/>
                <w:lang w:val="en-US" w:eastAsia="zh-CN"/>
              </w:rPr>
              <w:t>三年</w:t>
            </w:r>
            <w:bookmarkEnd w:id="14"/>
            <w:r>
              <w:rPr>
                <w:rFonts w:hint="eastAsia" w:ascii="宋体" w:hAnsi="宋体" w:cs="Calibri"/>
                <w:b w:val="0"/>
                <w:bCs w:val="0"/>
                <w:color w:val="auto"/>
                <w:kern w:val="44"/>
                <w:sz w:val="24"/>
                <w:szCs w:val="24"/>
                <w:highlight w:val="none"/>
                <w:lang w:val="en-US" w:eastAsia="zh-CN"/>
              </w:rPr>
              <w:t>。</w:t>
            </w:r>
          </w:p>
        </w:tc>
      </w:tr>
      <w:tr>
        <w:trPr>
          <w:trHeight w:val="772" w:hRule="atLeast"/>
        </w:trPr>
        <w:tc>
          <w:tcPr>
            <w:tcW w:w="2690" w:type="dxa"/>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15" w:name="_Toc491862095"/>
            <w:r>
              <w:rPr>
                <w:rFonts w:hint="eastAsia" w:ascii="宋体" w:hAnsi="宋体" w:cs="Calibri"/>
                <w:b w:val="0"/>
                <w:bCs w:val="0"/>
                <w:color w:val="000000"/>
                <w:kern w:val="44"/>
                <w:sz w:val="24"/>
                <w:szCs w:val="24"/>
                <w:lang w:val="en-US" w:eastAsia="zh-CN"/>
              </w:rPr>
              <w:t>付款方式</w:t>
            </w:r>
            <w:bookmarkEnd w:id="15"/>
          </w:p>
        </w:tc>
        <w:tc>
          <w:tcPr>
            <w:tcW w:w="7009" w:type="dxa"/>
            <w:vAlign w:val="center"/>
          </w:tcPr>
          <w:p>
            <w:pPr>
              <w:spacing w:before="0" w:beforeAutospacing="0" w:after="0" w:afterAutospacing="0"/>
              <w:ind w:left="0" w:right="0"/>
              <w:jc w:val="both"/>
              <w:outlineLvl w:val="0"/>
              <w:rPr>
                <w:rFonts w:hint="eastAsia" w:ascii="宋体" w:hAnsi="宋体" w:cs="Calibri"/>
                <w:b w:val="0"/>
                <w:bCs w:val="0"/>
                <w:color w:val="auto"/>
                <w:kern w:val="44"/>
                <w:sz w:val="24"/>
                <w:szCs w:val="24"/>
                <w:highlight w:val="none"/>
                <w:lang w:val="en-US" w:eastAsia="zh-CN"/>
              </w:rPr>
            </w:pPr>
            <w:r>
              <w:rPr>
                <w:rFonts w:hint="eastAsia" w:ascii="宋体" w:hAnsi="宋体" w:cs="Calibri"/>
                <w:b w:val="0"/>
                <w:bCs w:val="0"/>
                <w:color w:val="auto"/>
                <w:kern w:val="44"/>
                <w:sz w:val="24"/>
                <w:szCs w:val="24"/>
                <w:highlight w:val="none"/>
                <w:lang w:val="en-US" w:eastAsia="zh-CN"/>
              </w:rPr>
              <w:t>货到安装调试完毕验收合格后付50%，6-12个月期间付40%，质保期满付清，质保三年。</w:t>
            </w:r>
          </w:p>
        </w:tc>
      </w:tr>
    </w:tbl>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二、技术标准与要求：</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（一）项目基本情况：</w:t>
      </w:r>
    </w:p>
    <w:p>
      <w:pPr>
        <w:jc w:val="both"/>
        <w:outlineLvl w:val="0"/>
        <w:rPr>
          <w:rFonts w:hint="eastAsia" w:ascii="宋体" w:hAnsi="宋体"/>
          <w:b w:val="0"/>
          <w:bCs w:val="0"/>
          <w:color w:val="000000"/>
          <w:kern w:val="44"/>
          <w:sz w:val="24"/>
          <w:szCs w:val="24"/>
          <w:lang w:val="en-US" w:eastAsia="zh-CN"/>
        </w:rPr>
      </w:pPr>
      <w:bookmarkStart w:id="16" w:name="_Toc24719895"/>
      <w:r>
        <w:rPr>
          <w:rFonts w:hint="eastAsia" w:ascii="宋体" w:hAnsi="宋体"/>
          <w:b w:val="0"/>
          <w:bCs w:val="0"/>
          <w:color w:val="000000"/>
          <w:kern w:val="44"/>
          <w:sz w:val="24"/>
          <w:szCs w:val="24"/>
          <w:lang w:val="en-US" w:eastAsia="zh-CN"/>
        </w:rPr>
        <w:t>1.采购内容</w:t>
      </w:r>
      <w:bookmarkEnd w:id="16"/>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校园区域及楼内视频监控、网络设备、宿管系统。</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视频和网络改造、安装、调试、综合布线等项目的系统集成。</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原有高清监控设备和新安装的高清监控设备重新部署安装整合。</w:t>
      </w:r>
    </w:p>
    <w:p>
      <w:pPr>
        <w:jc w:val="both"/>
        <w:outlineLvl w:val="0"/>
        <w:rPr>
          <w:rFonts w:hint="eastAsia" w:ascii="宋体" w:hAnsi="宋体"/>
          <w:b w:val="0"/>
          <w:bCs w:val="0"/>
          <w:color w:val="000000"/>
          <w:kern w:val="44"/>
          <w:sz w:val="24"/>
          <w:szCs w:val="24"/>
          <w:lang w:val="en-US" w:eastAsia="zh-CN"/>
        </w:rPr>
      </w:pPr>
      <w:bookmarkStart w:id="17" w:name="_Toc24719896"/>
      <w:r>
        <w:rPr>
          <w:rFonts w:hint="eastAsia" w:ascii="宋体" w:hAnsi="宋体"/>
          <w:b w:val="0"/>
          <w:bCs w:val="0"/>
          <w:color w:val="000000"/>
          <w:kern w:val="44"/>
          <w:sz w:val="24"/>
          <w:szCs w:val="24"/>
          <w:lang w:val="en-US" w:eastAsia="zh-CN"/>
        </w:rPr>
        <w:t>2.功能要求</w:t>
      </w:r>
      <w:bookmarkEnd w:id="17"/>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(1)本项目是智慧校园的重要组成部分。图像、报警信息实现与准旗教体局视讯平台无缝对接、与准旗公安局平台共享、可接入到鄂尔多斯市视讯平台。</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(2)因校区原有部分高清监控设备仍需使用，新的监控系统施工需要统一整合。</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(3)新建网络线路、传输路由上要考虑后期网络的升级改造的需求，网络交换的设备选择上，鉴于网络监控系统需要稳定、可靠的平台环境，采用与校园城域网完全兼容的网络交换产品。</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(4)一体化报警柱需要实现与摄像机联动报警。报警信息统一上传准旗教体局。</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(5)人脸识别摄像机及后台设备支持视频智能分析功能，软件具有周界警戒线，进入区域等行为分析功能，当其被触发时以报警事件的方式通知工作人员，以及可以通过电子地图（GIS）对突发事件进行提示等。</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(6)视频监控设备应满足符合通用协议，满足至少两种以上的开发语言，必须支持接口协议ONVIF, GB28181，支持设备更换、升级的通用方法，至少满足三种以上的设备兼容性。</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(7)播放组件管理：集成成熟的播放组件，满足不同监控设备的实况及回放要求。</w:t>
      </w:r>
    </w:p>
    <w:p>
      <w:pPr>
        <w:jc w:val="both"/>
        <w:outlineLvl w:val="0"/>
        <w:rPr>
          <w:rFonts w:hint="eastAsia" w:ascii="宋体" w:hAnsi="宋体"/>
          <w:b w:val="0"/>
          <w:bCs w:val="0"/>
          <w:color w:val="000000"/>
          <w:kern w:val="44"/>
          <w:sz w:val="24"/>
          <w:szCs w:val="24"/>
          <w:lang w:val="en-US" w:eastAsia="zh-CN"/>
        </w:rPr>
      </w:pPr>
      <w:bookmarkStart w:id="18" w:name="_Toc24719897"/>
      <w:r>
        <w:rPr>
          <w:rFonts w:hint="eastAsia" w:ascii="宋体" w:hAnsi="宋体"/>
          <w:b w:val="0"/>
          <w:bCs w:val="0"/>
          <w:color w:val="000000"/>
          <w:kern w:val="44"/>
          <w:sz w:val="24"/>
          <w:szCs w:val="24"/>
          <w:lang w:val="en-US" w:eastAsia="zh-CN"/>
        </w:rPr>
        <w:t>（二）货物需求一览表</w:t>
      </w:r>
      <w:bookmarkEnd w:id="18"/>
    </w:p>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1、准格尔旗第八中学</w:t>
      </w:r>
    </w:p>
    <w:tbl>
      <w:tblPr>
        <w:tblW w:w="10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
        <w:gridCol w:w="787"/>
        <w:gridCol w:w="3392"/>
        <w:gridCol w:w="2490"/>
        <w:gridCol w:w="765"/>
        <w:gridCol w:w="840"/>
        <w:gridCol w:w="969"/>
      </w:tblGrid>
      <w:tr>
        <w:trPr>
          <w:trHeight w:val="755"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设备性质</w:t>
            </w: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3392"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货物名称</w:t>
            </w:r>
          </w:p>
        </w:tc>
        <w:tc>
          <w:tcPr>
            <w:tcW w:w="249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c>
          <w:tcPr>
            <w:tcW w:w="76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单位</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备注</w:t>
            </w: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高清半球型网络摄像机(带音频）</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75</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高清半球型网络摄像机(人员密度检测)</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POE接入交换机</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全彩高清筒型网络摄像机</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62</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全彩警戒摄像机</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技术参数详见附表5</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安装平台及支架</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技术参数详见附表6</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92</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全彩网络智能球机</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技术参数详见附表7</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球机支架</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技术参数详见附表8</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4口百兆工业级收发器</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技术参数详见附表9</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20</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1口百兆工业级收发器</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技术参数详见附表10</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可视化紧急报警盒</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技术参数详见附表11</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紧急报警求助柱</w:t>
            </w:r>
          </w:p>
        </w:tc>
        <w:tc>
          <w:tcPr>
            <w:tcW w:w="249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技术参数详见附表12</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339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55寸防爆电视</w:t>
            </w:r>
          </w:p>
        </w:tc>
        <w:tc>
          <w:tcPr>
            <w:tcW w:w="2490" w:type="dxa"/>
            <w:tcBorders>
              <w:top w:val="nil"/>
              <w:left w:val="single" w:color="auto" w:sz="4" w:space="0"/>
              <w:bottom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技术参数详见附表13</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3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控制电脑</w:t>
            </w:r>
          </w:p>
        </w:tc>
        <w:tc>
          <w:tcPr>
            <w:tcW w:w="249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技术参数详见附表14</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身份信息识别产品</w:t>
            </w:r>
          </w:p>
        </w:tc>
        <w:tc>
          <w:tcPr>
            <w:tcW w:w="249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技术参数详见附表15</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90"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技术参数详见附表16</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17</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90"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技术参数详见附表17</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18</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90"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技术参数详见附表18</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19</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USB摄像机</w:t>
            </w:r>
          </w:p>
        </w:tc>
        <w:tc>
          <w:tcPr>
            <w:tcW w:w="2490"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技术参数详见附表19</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20</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通道专用遥控器</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技术参数详见附表20</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21</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400万智能人脸抓拍机</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技术参数详见附表21</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22</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智能周界防范、人脸识别一体机</w:t>
            </w:r>
          </w:p>
        </w:tc>
        <w:tc>
          <w:tcPr>
            <w:tcW w:w="2490"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技术参数详见附表22</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9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23</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网络硬盘录像机</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技术参数详见附表23</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543"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监控级硬盘</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技术参数详见附表24</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99</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块</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25</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全电口千兆交换机</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技术参数详见附表25</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全光口千兆交换机</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技术参数详见附表26</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27</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光模块（接收端）</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技术参数详见附表27</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29</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28</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65寸防爆电视</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技术参数详见附表28</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29</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解码器</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技术参数详见附表29</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技术参数详见附表30</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技术参数详见附表31</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32</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光缆及敷设</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技术参数详见附表32</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约6000米</w:t>
            </w: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33</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光缆终端盒</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技术参数详见附表33</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34</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机架式光缆终端盒</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技术参数详见附表34</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35</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跳线</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技术参数详见附表35</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36</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电源线</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技术参数详见附表36</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约3000米</w:t>
            </w: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37</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超五类网线</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技术参数详见附表37</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约28箱</w:t>
            </w: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38</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室外壁挂电源箱</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技术参数详见附表38</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39</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PVC线槽及敷设</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技术参数详见附表39</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穿线管及敷设</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技术参数详见附表40</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41</w:t>
            </w:r>
          </w:p>
        </w:tc>
        <w:tc>
          <w:tcPr>
            <w:tcW w:w="33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系统集成</w:t>
            </w:r>
          </w:p>
        </w:tc>
        <w:tc>
          <w:tcPr>
            <w:tcW w:w="24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技术参数详见附表41</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58" w:hRule="atLeast"/>
        </w:trPr>
        <w:tc>
          <w:tcPr>
            <w:tcW w:w="10073" w:type="dxa"/>
            <w:gridSpan w:val="7"/>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注：1. “参数性质”标“△”表示此设备为核心产品。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3.以上技术要求如涉及品牌及型号仅供参考，并无限制性，投标人可以选择不低于参考品牌的其它品牌产品。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4.标“*”表示此参数为重要技术参数，重要技术参数有负偏离的，属未实质性响应，废标处理；</w:t>
            </w:r>
          </w:p>
        </w:tc>
      </w:tr>
    </w:tbl>
    <w:p>
      <w:pPr>
        <w:jc w:val="both"/>
        <w:outlineLvl w:val="0"/>
        <w:rPr>
          <w:rFonts w:hint="eastAsia" w:ascii="宋体" w:hAnsi="宋体"/>
          <w:b/>
          <w:bCs/>
          <w:color w:val="000000"/>
          <w:kern w:val="44"/>
          <w:sz w:val="24"/>
          <w:szCs w:val="24"/>
          <w:lang w:val="en-US" w:eastAsia="zh-CN"/>
        </w:rPr>
      </w:pPr>
      <w:bookmarkStart w:id="19" w:name="_Toc24719898"/>
      <w:r>
        <w:rPr>
          <w:rFonts w:hint="eastAsia" w:ascii="宋体" w:hAnsi="宋体"/>
          <w:b/>
          <w:bCs/>
          <w:color w:val="000000"/>
          <w:kern w:val="44"/>
          <w:sz w:val="24"/>
          <w:szCs w:val="24"/>
          <w:lang w:val="en-US" w:eastAsia="zh-CN"/>
        </w:rPr>
        <w:t>2、准格尔旗第四中学</w:t>
      </w:r>
    </w:p>
    <w:tbl>
      <w:tblPr>
        <w:tblW w:w="10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741"/>
        <w:gridCol w:w="3422"/>
        <w:gridCol w:w="2475"/>
        <w:gridCol w:w="750"/>
        <w:gridCol w:w="840"/>
        <w:gridCol w:w="969"/>
      </w:tblGrid>
      <w:tr>
        <w:trPr>
          <w:trHeight w:val="755"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设备性质</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3422"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货物名称</w:t>
            </w:r>
          </w:p>
        </w:tc>
        <w:tc>
          <w:tcPr>
            <w:tcW w:w="247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c>
          <w:tcPr>
            <w:tcW w:w="75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单位</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备注</w:t>
            </w: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高清半球型网络摄像机(带音频）</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85</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高清半球型网络摄像机(人员密度检测)</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POE接入交换机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全彩高清筒型网络摄像机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全彩警戒摄像机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技术参数详见附表5</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安装平台及支架</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技术参数详见附表6</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70</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全彩网络智能球机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技术参数详见附表7</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球机支架</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技术参数详见附表8</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4口百兆工业级收发器</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技术参数详见附表9</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18</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1口百兆工业级收发器</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技术参数详见附表10</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可视化紧急报警盒</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技术参数详见附表11</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紧急报警求助柱</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技术参数详见附表12</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342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55寸防爆电视</w:t>
            </w:r>
          </w:p>
        </w:tc>
        <w:tc>
          <w:tcPr>
            <w:tcW w:w="2475" w:type="dxa"/>
            <w:tcBorders>
              <w:top w:val="nil"/>
              <w:left w:val="single" w:color="auto" w:sz="4" w:space="0"/>
              <w:bottom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技术参数详见附表13</w:t>
            </w:r>
          </w:p>
        </w:tc>
        <w:tc>
          <w:tcPr>
            <w:tcW w:w="75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控制电脑</w:t>
            </w:r>
          </w:p>
        </w:tc>
        <w:tc>
          <w:tcPr>
            <w:tcW w:w="247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技术参数详见附表14</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身份信息识别产品</w:t>
            </w:r>
          </w:p>
        </w:tc>
        <w:tc>
          <w:tcPr>
            <w:tcW w:w="247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技术参数详见附表15</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7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技术参数详见附表16</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17</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7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技术参数详见附表17</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18</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7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技术参数详见附表18</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19</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USB摄像机</w:t>
            </w:r>
          </w:p>
        </w:tc>
        <w:tc>
          <w:tcPr>
            <w:tcW w:w="247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技术参数详见附表19</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20</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通道专用遥控器</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技术参数详见附表20</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21</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400万智能人脸抓拍机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技术参数详见附表21</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22</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智能周界防范、人脸识别一体机</w:t>
            </w:r>
          </w:p>
        </w:tc>
        <w:tc>
          <w:tcPr>
            <w:tcW w:w="247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技术参数详见附表22</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23</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网络硬盘录像机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技术参数详见附表23</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543"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监控级硬盘</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技术参数详见附表24</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块</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25</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全电口千兆交换机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技术参数详见附表25</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全光口千兆交换机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技术参数详见附表26</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27</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光模块（接收端）</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技术参数详见附表27</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28</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65寸防爆电视</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技术参数详见附表28</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29</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解码器</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技术参数详见附表29</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技术参数详见附表30</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技术参数详见附表31</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32</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光缆及敷设</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技术参数详见附表32</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约5000米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33</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光缆终端盒</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技术参数详见附表33</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34</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机架式光缆终端盒</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技术参数详见附表34</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35</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跳线</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技术参数详见附表35</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36</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电源线</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技术参数详见附表36</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约3000米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37</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超五类网线</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技术参数详见附表37</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约32箱</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38</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室外壁挂电源箱</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技术参数详见附表38</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39</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PVC线槽及敷设</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技术参数详见附表39</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穿线管及敷设</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技术参数详见附表40</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41</w:t>
            </w:r>
          </w:p>
        </w:tc>
        <w:tc>
          <w:tcPr>
            <w:tcW w:w="342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系统集成</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技术参数详见附表41</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58" w:hRule="atLeast"/>
        </w:trPr>
        <w:tc>
          <w:tcPr>
            <w:tcW w:w="10073" w:type="dxa"/>
            <w:gridSpan w:val="7"/>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注：1. “参数性质”标“△”表示此设备为核心产品。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3.以上技术要求如涉及品牌及型号仅供参考，并无限制性，投标人可以选择不低于参考品牌的其它品牌产品。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4.标“*”表示此参数为重要技术参数，重要技术参数有负偏离的，属未实质性响应，废标处理；</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3、准格尔旗龙口小学</w:t>
      </w:r>
    </w:p>
    <w:tbl>
      <w:tblPr>
        <w:tblW w:w="10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741"/>
        <w:gridCol w:w="3437"/>
        <w:gridCol w:w="2475"/>
        <w:gridCol w:w="765"/>
        <w:gridCol w:w="810"/>
        <w:gridCol w:w="969"/>
      </w:tblGrid>
      <w:tr>
        <w:trPr>
          <w:trHeight w:val="755"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设备性质</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343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货物名称</w:t>
            </w:r>
          </w:p>
        </w:tc>
        <w:tc>
          <w:tcPr>
            <w:tcW w:w="247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c>
          <w:tcPr>
            <w:tcW w:w="76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单位</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备注</w:t>
            </w: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高清半球型网络摄像机(带音频）</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高清半球型网络摄像机(人员密度检测)</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22</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POE接入交换机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全彩筒型网络摄像机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全彩警戒摄像机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技术参数详见附表5</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安装平台及支架</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技术参数详见附表6</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全彩网络智能球机</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技术参数详见附表7</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球机支架</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技术参数详见附表8</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4口百兆工业级收发器</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技术参数详见附表9</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1口百兆工业级收发器</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技术参数详见附表10</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可视化紧急报警盒</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技术参数详见附表11</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紧急报警求助柱</w:t>
            </w:r>
          </w:p>
        </w:tc>
        <w:tc>
          <w:tcPr>
            <w:tcW w:w="247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技术参数详见附表12</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343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55寸防爆电视</w:t>
            </w:r>
          </w:p>
        </w:tc>
        <w:tc>
          <w:tcPr>
            <w:tcW w:w="2475" w:type="dxa"/>
            <w:tcBorders>
              <w:top w:val="nil"/>
              <w:left w:val="single" w:color="auto" w:sz="4" w:space="0"/>
              <w:bottom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技术参数详见附表13</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3437"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控制电脑</w:t>
            </w:r>
          </w:p>
        </w:tc>
        <w:tc>
          <w:tcPr>
            <w:tcW w:w="2475" w:type="dxa"/>
            <w:tcBorders>
              <w:top w:val="nil"/>
              <w:left w:val="single" w:color="auto" w:sz="4" w:space="0"/>
              <w:bottom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技术参数详见附表14</w:t>
            </w:r>
          </w:p>
        </w:tc>
        <w:tc>
          <w:tcPr>
            <w:tcW w:w="76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身份信息识别产品</w:t>
            </w:r>
          </w:p>
        </w:tc>
        <w:tc>
          <w:tcPr>
            <w:tcW w:w="247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技术参数详见附表15</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7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技术参数详见附表16</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17</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7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技术参数详见附表17</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18</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7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技术参数详见附表18</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19</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USB摄像机</w:t>
            </w:r>
          </w:p>
        </w:tc>
        <w:tc>
          <w:tcPr>
            <w:tcW w:w="247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技术参数详见附表19</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20</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通道专用遥控器</w:t>
            </w:r>
          </w:p>
        </w:tc>
        <w:tc>
          <w:tcPr>
            <w:tcW w:w="247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技术参数详见附表20</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21</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400万智能人脸抓拍机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技术参数详见附表21</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22</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智能周界防范、人脸识别一体机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技术参数详见附表22</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23</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网络硬盘录像机</w:t>
            </w:r>
          </w:p>
        </w:tc>
        <w:tc>
          <w:tcPr>
            <w:tcW w:w="247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技术参数详见附表23</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监控级硬盘</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技术参数详见附表24</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块</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543"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25</w:t>
            </w:r>
          </w:p>
        </w:tc>
        <w:tc>
          <w:tcPr>
            <w:tcW w:w="343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全电口千兆交换机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技术参数详见附表25</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343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全光口千兆交换机</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技术参数详见附表26</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27</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光模块（接收端）</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技术参数详见附表27</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28</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65寸防爆电视</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技术参数详见附表28</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29</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解码器</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技术参数详见附表29</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技术参数详见附表30</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技术参数详见附表31</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32</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光缆及敷设</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技术参数详见附表32</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约4000米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33</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光缆终端盒</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技术参数详见附表33</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34</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机架式光缆终端盒</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技术参数详见附表34</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35</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跳线</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技术参数详见附表35</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36</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电源线</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技术参数详见附表36</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约2000米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37</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超五类网线</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技术参数详见附表37</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约35箱</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38</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室外壁挂电源箱</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技术参数详见附表38</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39</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PVC线槽及敷设</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技术参数详见附表39</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穿线管及敷设</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技术参数详见附表40</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41</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系统集成</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技术参数详见附表41</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42</w:t>
            </w:r>
          </w:p>
        </w:tc>
        <w:tc>
          <w:tcPr>
            <w:tcW w:w="34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58" w:hRule="atLeast"/>
        </w:trPr>
        <w:tc>
          <w:tcPr>
            <w:tcW w:w="10073" w:type="dxa"/>
            <w:gridSpan w:val="7"/>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注：1. “参数性质”标“△”表示此设备为核心产品。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3.以上技术要求如涉及品牌及型号仅供参考，并无限制性，投标人可以选择不低于参考品牌的其它品牌产品。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4.标“*”表示此参数为重要技术参数，重要技术参数有负偏离的，属未实质性响应，废标处理；</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4、准格尔旗五家尧子小学</w:t>
      </w:r>
    </w:p>
    <w:tbl>
      <w:tblPr>
        <w:tblW w:w="10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741"/>
        <w:gridCol w:w="3452"/>
        <w:gridCol w:w="2445"/>
        <w:gridCol w:w="795"/>
        <w:gridCol w:w="810"/>
        <w:gridCol w:w="954"/>
      </w:tblGrid>
      <w:tr>
        <w:trPr>
          <w:trHeight w:val="755"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设备性质</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3452"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货物名称</w:t>
            </w:r>
          </w:p>
        </w:tc>
        <w:tc>
          <w:tcPr>
            <w:tcW w:w="244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c>
          <w:tcPr>
            <w:tcW w:w="79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单位</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备注</w:t>
            </w: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高清半球型网络摄像机(带音频）</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高清半球型网络摄像机(人员密度检测)</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POE接入交换机</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全彩筒型网络摄像机</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全彩警戒摄像机</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技术参数详见附表5</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45</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安装平台及支架</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技术参数详见附表6</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全彩网络智能球机</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技术参数详见附表7</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球机支架</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技术参数详见附表8</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4口百兆工业级收发器</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技术参数详见附表9</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1口百兆工业级收发器</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技术参数详见附表10</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可视化紧急报警盒</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技术参数详见附表11</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紧急报警求助柱</w:t>
            </w:r>
          </w:p>
        </w:tc>
        <w:tc>
          <w:tcPr>
            <w:tcW w:w="244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技术参数详见附表12</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3452"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55寸防爆电视</w:t>
            </w:r>
          </w:p>
        </w:tc>
        <w:tc>
          <w:tcPr>
            <w:tcW w:w="2445" w:type="dxa"/>
            <w:tcBorders>
              <w:top w:val="nil"/>
              <w:left w:val="single" w:color="auto" w:sz="4" w:space="0"/>
              <w:bottom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技术参数详见附表13</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345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控制电脑</w:t>
            </w:r>
          </w:p>
        </w:tc>
        <w:tc>
          <w:tcPr>
            <w:tcW w:w="2445" w:type="dxa"/>
            <w:tcBorders>
              <w:top w:val="nil"/>
              <w:left w:val="single" w:color="auto" w:sz="4" w:space="0"/>
              <w:bottom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技术参数详见附表14</w:t>
            </w:r>
          </w:p>
        </w:tc>
        <w:tc>
          <w:tcPr>
            <w:tcW w:w="795"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身份信息识别产品</w:t>
            </w:r>
          </w:p>
        </w:tc>
        <w:tc>
          <w:tcPr>
            <w:tcW w:w="24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技术参数详见附表15</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技术参数详见附表16</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17</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4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技术参数详见附表17</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18</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速通门</w:t>
            </w:r>
          </w:p>
        </w:tc>
        <w:tc>
          <w:tcPr>
            <w:tcW w:w="2445"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技术参数详见附表18</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19</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USB摄像机</w:t>
            </w:r>
          </w:p>
        </w:tc>
        <w:tc>
          <w:tcPr>
            <w:tcW w:w="244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技术参数详见附表19</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20</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通道专用遥控器</w:t>
            </w:r>
          </w:p>
        </w:tc>
        <w:tc>
          <w:tcPr>
            <w:tcW w:w="244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技术参数详见附表20</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21</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400万智能人脸抓拍机</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技术参数详见附表21</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22</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智能周界防范、人脸识别一体机</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技术参数详见附表22</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23</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网络硬盘录像机</w:t>
            </w:r>
          </w:p>
        </w:tc>
        <w:tc>
          <w:tcPr>
            <w:tcW w:w="2445"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技术参数详见附表23</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监控级硬盘</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技术参数详见附表24</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块</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543"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25</w:t>
            </w:r>
          </w:p>
        </w:tc>
        <w:tc>
          <w:tcPr>
            <w:tcW w:w="345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全电口千兆交换机</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技术参数详见附表25</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345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光口千兆交换机</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技术参数详见附表26</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27</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光模块（接收端）</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技术参数详见附表27</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28</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65寸防爆电视</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技术参数详见附表28</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29</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解码器</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技术参数详见附表29</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技术参数详见附表30</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31</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技术参数详见附表31</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32</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光缆及敷设</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技术参数详见附表32</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约3000米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33</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光缆终端盒</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技术参数详见附表33</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34</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机架式光缆终端盒</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技术参数详见附表34</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35</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跳线</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技术参数详见附表35</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36</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电源线</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技术参数详见附表36</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约2200米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37</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超五类网线</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技术参数详见附表37</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约38箱</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38</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室外壁挂电源箱</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技术参数详见附表38</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35</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39</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PVC线槽及敷设</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技术参数详见附表39</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穿线管及敷设</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技术参数详见附表40</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41</w:t>
            </w:r>
          </w:p>
        </w:tc>
        <w:tc>
          <w:tcPr>
            <w:tcW w:w="345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系统集成</w:t>
            </w:r>
          </w:p>
        </w:tc>
        <w:tc>
          <w:tcPr>
            <w:tcW w:w="24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技术参数详见附表41</w:t>
            </w:r>
          </w:p>
        </w:tc>
        <w:tc>
          <w:tcPr>
            <w:tcW w:w="7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58" w:hRule="atLeast"/>
        </w:trPr>
        <w:tc>
          <w:tcPr>
            <w:tcW w:w="10073" w:type="dxa"/>
            <w:gridSpan w:val="7"/>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注：1. “参数性质”标“△”表示此设备为核心产品。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3.以上技术要求如涉及品牌及型号仅供参考，并无限制性，投标人可以选择不低于参考品牌的其它品牌产品。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4.标“*”表示此参数为重要技术参数，重要技术参数有负偏离的，属未实质性响应，废标处理；</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5、准格尔旗玻璃圪旦小学</w:t>
      </w:r>
    </w:p>
    <w:tbl>
      <w:tblPr>
        <w:tblW w:w="10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741"/>
        <w:gridCol w:w="3467"/>
        <w:gridCol w:w="2430"/>
        <w:gridCol w:w="810"/>
        <w:gridCol w:w="780"/>
        <w:gridCol w:w="969"/>
      </w:tblGrid>
      <w:tr>
        <w:trPr>
          <w:trHeight w:val="755"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设备性质</w:t>
            </w: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346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货物名称</w:t>
            </w:r>
          </w:p>
        </w:tc>
        <w:tc>
          <w:tcPr>
            <w:tcW w:w="243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c>
          <w:tcPr>
            <w:tcW w:w="81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单位</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备注</w:t>
            </w: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高清半球型网络摄像机(带音频）</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POE接入交换机</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全彩筒型网络摄像机</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全彩警戒摄像机</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技术参数详见附表5</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安装平台及支架</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技术参数详见附表6</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34</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全彩网络智能球机</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技术参数详见附表7</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球机支架</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技术参数详见附表8</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4口百兆收发器</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技术参数详见附表9</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可视化紧急报警盒</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技术参数详见附表11</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3467"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55寸防爆电视</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技术参数详见附表13</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3467"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控制电脑</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技术参数详见附表14</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3467"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400万智能人脸抓拍机</w:t>
            </w:r>
          </w:p>
        </w:tc>
        <w:tc>
          <w:tcPr>
            <w:tcW w:w="243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技术参数详见附表21</w:t>
            </w:r>
          </w:p>
        </w:tc>
        <w:tc>
          <w:tcPr>
            <w:tcW w:w="810" w:type="dxa"/>
            <w:tcBorders>
              <w:top w:val="nil"/>
              <w:left w:val="single" w:color="auto" w:sz="4" w:space="0"/>
              <w:bottom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8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25" w:hRule="atLeast"/>
        </w:trPr>
        <w:tc>
          <w:tcPr>
            <w:tcW w:w="87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智能周界防范、人脸识别一体机</w:t>
            </w:r>
          </w:p>
        </w:tc>
        <w:tc>
          <w:tcPr>
            <w:tcW w:w="24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网络硬盘录像机</w:t>
            </w:r>
          </w:p>
        </w:tc>
        <w:tc>
          <w:tcPr>
            <w:tcW w:w="24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技术参数详见附表23</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监控级硬盘</w:t>
            </w:r>
          </w:p>
        </w:tc>
        <w:tc>
          <w:tcPr>
            <w:tcW w:w="2430"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块</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17</w:t>
            </w:r>
          </w:p>
        </w:tc>
        <w:tc>
          <w:tcPr>
            <w:tcW w:w="34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全光口千兆交换机</w:t>
            </w:r>
          </w:p>
        </w:tc>
        <w:tc>
          <w:tcPr>
            <w:tcW w:w="2430"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技术参数详见附表25</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18</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光模块（接收端）</w:t>
            </w:r>
          </w:p>
        </w:tc>
        <w:tc>
          <w:tcPr>
            <w:tcW w:w="2430" w:type="dxa"/>
            <w:tcBorders>
              <w:left w:val="single" w:color="auto" w:sz="4" w:space="0"/>
              <w:bottom w:val="single" w:color="auto" w:sz="4" w:space="0"/>
              <w:right w:val="single" w:color="auto" w:sz="4" w:space="0"/>
            </w:tcBorders>
            <w:vAlign w:val="top"/>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技术参数详见附表27</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19</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监视器</w:t>
            </w:r>
          </w:p>
        </w:tc>
        <w:tc>
          <w:tcPr>
            <w:tcW w:w="2430"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技术参数详见附表28</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90"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20</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技术参数详见附表30</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21</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机柜</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22</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光缆及敷设</w:t>
            </w:r>
          </w:p>
        </w:tc>
        <w:tc>
          <w:tcPr>
            <w:tcW w:w="2430"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技术参数详见附32</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约800米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23</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光缆终端盒</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技术参数详见附表33</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543"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机架式光缆终端盒</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技术参数详见附34</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25</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跳线</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技术参数详见附表35</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26</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电源线</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技术参数详见附36</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约600米</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27</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超五类网线</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技术参数详见附表37</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约4箱</w:t>
            </w: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28</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室外壁挂电源箱</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技术参数详见附38</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29</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PVC线槽及敷设</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技术参数详见附表39</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30</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穿线管及敷设</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技术参数详见附40</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417" w:hRule="atLeast"/>
        </w:trPr>
        <w:tc>
          <w:tcPr>
            <w:tcW w:w="8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4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32</w:t>
            </w:r>
          </w:p>
        </w:tc>
        <w:tc>
          <w:tcPr>
            <w:tcW w:w="3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系统集成</w:t>
            </w:r>
          </w:p>
        </w:tc>
        <w:tc>
          <w:tcPr>
            <w:tcW w:w="24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技术参数详见附表41</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r>
      <w:tr>
        <w:trPr>
          <w:trHeight w:val="358" w:hRule="atLeast"/>
        </w:trPr>
        <w:tc>
          <w:tcPr>
            <w:tcW w:w="10073" w:type="dxa"/>
            <w:gridSpan w:val="7"/>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注：1. “参数性质”标“△”表示此设备为核心产品。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3.以上技术要求如涉及品牌及型号仅供参考，并无限制性，投标人可以选择不低于参考品牌的其它品牌产品。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4.标“*”表示此参数为重要技术参数，重要技术参数有负偏离的，属未实质性响应，废标处理。</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w:t>
      </w:r>
      <w:bookmarkEnd w:id="19"/>
      <w:r>
        <w:rPr>
          <w:rFonts w:hint="eastAsia" w:ascii="宋体" w:hAnsi="宋体"/>
          <w:b/>
          <w:bCs/>
          <w:color w:val="000000"/>
          <w:kern w:val="44"/>
          <w:sz w:val="24"/>
          <w:szCs w:val="24"/>
          <w:lang w:val="en-US" w:eastAsia="zh-CN"/>
        </w:rPr>
        <w:t>高清半球型网络摄像机(带音频）</w:t>
      </w:r>
    </w:p>
    <w:tbl>
      <w:tblPr>
        <w:tblW w:w="10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800"/>
        <w:gridCol w:w="8348"/>
      </w:tblGrid>
      <w:tr>
        <w:trPr>
          <w:trHeight w:val="508" w:hRule="atLeast"/>
        </w:trPr>
        <w:tc>
          <w:tcPr>
            <w:tcW w:w="9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bookmarkStart w:id="20" w:name="_Toc24719899"/>
            <w:r>
              <w:rPr>
                <w:rFonts w:hint="eastAsia" w:ascii="宋体" w:hAnsi="宋体" w:cs="Calibri"/>
                <w:b w:val="0"/>
                <w:bCs w:val="0"/>
                <w:color w:val="000000"/>
                <w:kern w:val="44"/>
                <w:sz w:val="24"/>
                <w:szCs w:val="24"/>
                <w:lang w:val="en-US" w:eastAsia="zh-CN"/>
              </w:rPr>
              <w:t>参数性质</w:t>
            </w:r>
          </w:p>
        </w:tc>
        <w:tc>
          <w:tcPr>
            <w:tcW w:w="80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4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257" w:hRule="atLeast"/>
        </w:trPr>
        <w:tc>
          <w:tcPr>
            <w:tcW w:w="91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具有200万像素CMOS传感器。</w:t>
            </w:r>
          </w:p>
        </w:tc>
      </w:tr>
      <w:tr>
        <w:trPr>
          <w:trHeight w:val="508" w:hRule="atLeast"/>
        </w:trPr>
        <w:tc>
          <w:tcPr>
            <w:tcW w:w="91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最低照度彩色：0.005lx，黑白:0.0005lx，灰度等级不小于11级。（公安部型式检验报告证明）</w:t>
            </w:r>
          </w:p>
        </w:tc>
      </w:tr>
      <w:tr>
        <w:trPr>
          <w:trHeight w:val="312" w:hRule="atLeast"/>
        </w:trPr>
        <w:tc>
          <w:tcPr>
            <w:tcW w:w="91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红外补光距离不小于50米。</w:t>
            </w:r>
          </w:p>
        </w:tc>
      </w:tr>
      <w:tr>
        <w:trPr>
          <w:trHeight w:val="464" w:hRule="atLeast"/>
        </w:trPr>
        <w:tc>
          <w:tcPr>
            <w:tcW w:w="91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800"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支持区域遮盖功能，并能支持8块区域。</w:t>
            </w:r>
          </w:p>
        </w:tc>
      </w:tr>
      <w:tr>
        <w:trPr>
          <w:trHeight w:val="759" w:hRule="atLeast"/>
        </w:trPr>
        <w:tc>
          <w:tcPr>
            <w:tcW w:w="91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同一静止场景相同图像质量下，设备在H.265编码方式时，开启智能编码功能和不开启智能编码相比，码率节约节约70%以上。（公安部型式检验报告证明）</w:t>
            </w:r>
          </w:p>
        </w:tc>
      </w:tr>
      <w:tr>
        <w:trPr>
          <w:trHeight w:val="508" w:hRule="atLeast"/>
        </w:trPr>
        <w:tc>
          <w:tcPr>
            <w:tcW w:w="91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需具有电子快门、ROI感兴趣区域、SVC可伸缩编码、自动增益、背光补偿、数字降噪、强光抑制、防红外过曝等功能。</w:t>
            </w:r>
          </w:p>
        </w:tc>
      </w:tr>
      <w:tr>
        <w:trPr>
          <w:trHeight w:val="257" w:hRule="atLeast"/>
        </w:trPr>
        <w:tc>
          <w:tcPr>
            <w:tcW w:w="91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摄像机能够在-35~50摄氏度，湿度小于93%环境下稳定工作。（公安部型式检验报告证明）</w:t>
            </w:r>
          </w:p>
        </w:tc>
      </w:tr>
      <w:tr>
        <w:trPr>
          <w:trHeight w:val="508" w:hRule="atLeast"/>
        </w:trPr>
        <w:tc>
          <w:tcPr>
            <w:tcW w:w="91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需具有1个RJ-4510M/100M自适应网络接口。（公安部型式检验报告证明）</w:t>
            </w:r>
          </w:p>
        </w:tc>
      </w:tr>
      <w:tr>
        <w:trPr>
          <w:trHeight w:val="257" w:hRule="atLeast"/>
        </w:trPr>
        <w:tc>
          <w:tcPr>
            <w:tcW w:w="91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内置麦克风</w:t>
            </w:r>
          </w:p>
        </w:tc>
      </w:tr>
      <w:tr>
        <w:trPr>
          <w:trHeight w:val="508" w:hRule="atLeast"/>
        </w:trPr>
        <w:tc>
          <w:tcPr>
            <w:tcW w:w="91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4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需支持DC12V/POE供电，且在不小于DC12V±30%范围内变化时可以正常工作。</w:t>
            </w:r>
          </w:p>
        </w:tc>
      </w:tr>
      <w:tr>
        <w:trPr>
          <w:trHeight w:val="273" w:hRule="atLeast"/>
        </w:trPr>
        <w:tc>
          <w:tcPr>
            <w:tcW w:w="10067"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r>
        <w:rPr>
          <w:rFonts w:hint="eastAsia" w:ascii="宋体" w:hAnsi="宋体"/>
          <w:b/>
          <w:bCs/>
          <w:color w:val="000000"/>
          <w:kern w:val="44"/>
          <w:sz w:val="24"/>
          <w:szCs w:val="24"/>
          <w:lang w:val="en-US" w:eastAsia="zh-CN"/>
        </w:rPr>
        <w:t>附表2：</w:t>
      </w:r>
      <w:bookmarkEnd w:id="20"/>
      <w:r>
        <w:rPr>
          <w:rFonts w:hint="eastAsia" w:ascii="宋体" w:hAnsi="宋体"/>
          <w:b/>
          <w:bCs/>
          <w:color w:val="000000"/>
          <w:kern w:val="44"/>
          <w:sz w:val="24"/>
          <w:szCs w:val="24"/>
          <w:lang w:val="en-US" w:eastAsia="zh-CN"/>
        </w:rPr>
        <w:t>高清半球型网络摄像机(人员密度检测)</w:t>
      </w:r>
    </w:p>
    <w:tbl>
      <w:tblPr>
        <w:tblW w:w="100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789"/>
        <w:gridCol w:w="8362"/>
      </w:tblGrid>
      <w:tr>
        <w:trPr>
          <w:trHeight w:val="819" w:hRule="atLeast"/>
        </w:trPr>
        <w:tc>
          <w:tcPr>
            <w:tcW w:w="9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89"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62"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62"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具有400万像素 CMOS传感器。</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内置芯片。（公安部检验报告证明）</w:t>
            </w:r>
          </w:p>
        </w:tc>
      </w:tr>
      <w:tr>
        <w:trPr>
          <w:trHeight w:val="819"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需支持“上下楼梯，请注意安全”、“注意保持秩序，相互礼让，安全通行”两种语音提示声音可选。（检验报告证明）</w:t>
            </w:r>
          </w:p>
        </w:tc>
      </w:tr>
      <w:tr>
        <w:trPr>
          <w:trHeight w:val="476"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内置红外与白光补光灯。</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需支持DC12V/POE供电。</w:t>
            </w:r>
          </w:p>
        </w:tc>
      </w:tr>
      <w:tr>
        <w:trPr>
          <w:trHeight w:val="122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62"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需支持当区域内人数达到设定的阈值时，可通过客户端软件或IE浏览器给出人员拥挤报警提示，并触发上传中心、语音提示。（检验报告证明）</w:t>
            </w:r>
          </w:p>
        </w:tc>
      </w:tr>
      <w:tr>
        <w:trPr>
          <w:trHeight w:val="819"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需支持双码流技术，主码流最高2688x1520@25fps，子码流704x576@25fps。</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白光补光距离不小于15米。</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需具备区域入侵检测、越界检测、进入区域、离开区域等功能。</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89"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最低照度彩色：0.001 lx ，灰度等级不小于11级。</w:t>
            </w:r>
          </w:p>
        </w:tc>
      </w:tr>
      <w:tr>
        <w:trPr>
          <w:trHeight w:val="819"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支持白光报警功能，当报警产生时，可触发联动白光闪烁。（公安部检验报告证明）</w:t>
            </w:r>
          </w:p>
        </w:tc>
      </w:tr>
      <w:tr>
        <w:trPr>
          <w:trHeight w:val="414" w:hRule="atLeast"/>
        </w:trPr>
        <w:tc>
          <w:tcPr>
            <w:tcW w:w="91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362"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需支持人数报警阈值可配置为0~100人。（检验报告证明）</w:t>
            </w:r>
          </w:p>
        </w:tc>
      </w:tr>
      <w:tr>
        <w:trPr>
          <w:trHeight w:val="440" w:hRule="atLeast"/>
        </w:trPr>
        <w:tc>
          <w:tcPr>
            <w:tcW w:w="10061"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21" w:name="_Toc24719900"/>
      <w:r>
        <w:rPr>
          <w:rFonts w:hint="eastAsia" w:ascii="宋体" w:hAnsi="宋体"/>
          <w:b/>
          <w:bCs/>
          <w:color w:val="000000"/>
          <w:kern w:val="44"/>
          <w:sz w:val="24"/>
          <w:szCs w:val="24"/>
          <w:lang w:val="en-US" w:eastAsia="zh-CN"/>
        </w:rPr>
        <w:t>附表3：POE接入交换机</w:t>
      </w:r>
    </w:p>
    <w:tbl>
      <w:tblPr>
        <w:tblW w:w="995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819"/>
        <w:gridCol w:w="8157"/>
      </w:tblGrid>
      <w:tr>
        <w:trPr>
          <w:trHeight w:val="689" w:hRule="atLeast"/>
        </w:trPr>
        <w:tc>
          <w:tcPr>
            <w:tcW w:w="9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19"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15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16个10/100 Base-T RJ45端口（支持PoE+供电）</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2个10/100/1000 Base-T RJ45端口</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2个复用千兆SFP端口</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整机PoE供电功率达235W，单端口PoE供电功率达30W</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PoE供电端口支持优先级机制</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支持标准交换、视频监控、VLAN隔离三种工作模式</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工作温度：0℃～40℃</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存储温度：-40℃～70℃</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工作湿度：10%～90% RH不凝结</w:t>
            </w:r>
          </w:p>
        </w:tc>
      </w:tr>
      <w:tr>
        <w:trPr>
          <w:trHeight w:val="90" w:hRule="atLeast"/>
        </w:trPr>
        <w:tc>
          <w:tcPr>
            <w:tcW w:w="983"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1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存储湿度：5%～90% RH不凝结</w:t>
            </w:r>
          </w:p>
        </w:tc>
      </w:tr>
      <w:tr>
        <w:trPr>
          <w:trHeight w:val="132" w:hRule="atLeast"/>
        </w:trPr>
        <w:tc>
          <w:tcPr>
            <w:tcW w:w="9959"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附表4：</w:t>
      </w:r>
      <w:bookmarkEnd w:id="21"/>
      <w:r>
        <w:rPr>
          <w:rFonts w:hint="eastAsia" w:ascii="宋体" w:hAnsi="宋体"/>
          <w:b/>
          <w:bCs/>
          <w:color w:val="000000"/>
          <w:kern w:val="44"/>
          <w:sz w:val="24"/>
          <w:szCs w:val="24"/>
          <w:lang w:val="en-US" w:eastAsia="zh-CN"/>
        </w:rPr>
        <w:t>全彩筒型网络摄像机</w:t>
      </w:r>
    </w:p>
    <w:tbl>
      <w:tblPr>
        <w:tblW w:w="9975"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794"/>
        <w:gridCol w:w="8376"/>
      </w:tblGrid>
      <w:tr>
        <w:trPr>
          <w:trHeight w:val="769" w:hRule="atLeast"/>
        </w:trPr>
        <w:tc>
          <w:tcPr>
            <w:tcW w:w="8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7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38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具有200万像素CMOS传感器。</w:t>
            </w:r>
          </w:p>
        </w:tc>
      </w:tr>
      <w:tr>
        <w:trPr>
          <w:trHeight w:val="38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内置2颗白光补光灯。（公安部检验报告证明）</w:t>
            </w:r>
          </w:p>
        </w:tc>
      </w:tr>
      <w:tr>
        <w:trPr>
          <w:trHeight w:val="76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需具有15路取流路数能力，以满足更多用户同时在线访问摄像机视频。</w:t>
            </w:r>
          </w:p>
        </w:tc>
      </w:tr>
      <w:tr>
        <w:trPr>
          <w:trHeight w:val="38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最低照度彩色：0.001lx。（公安部型式检验报告证明）</w:t>
            </w:r>
          </w:p>
        </w:tc>
      </w:tr>
      <w:tr>
        <w:trPr>
          <w:trHeight w:val="76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白天或夜晚均可输出彩色视频图像。（公安部型式检验报告证明）</w:t>
            </w:r>
          </w:p>
        </w:tc>
      </w:tr>
      <w:tr>
        <w:trPr>
          <w:trHeight w:val="520"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信噪比不小于50dB。</w:t>
            </w:r>
          </w:p>
        </w:tc>
      </w:tr>
      <w:tr>
        <w:trPr>
          <w:trHeight w:val="496"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需具大于100dB宽动态。</w:t>
            </w:r>
          </w:p>
        </w:tc>
      </w:tr>
      <w:tr>
        <w:trPr>
          <w:trHeight w:val="76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摄像机能够在-30~50摄氏度，湿度小于93%环境下稳定工作。（公安部型式检验报告证明）</w:t>
            </w:r>
          </w:p>
        </w:tc>
      </w:tr>
      <w:tr>
        <w:trPr>
          <w:trHeight w:val="38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不低于IP67防尘防水等级。</w:t>
            </w:r>
          </w:p>
        </w:tc>
      </w:tr>
      <w:tr>
        <w:trPr>
          <w:trHeight w:val="76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设备工作状态时，支持空气放电8kV，接触放电6kV，通讯端口支持6kV峰值电压。</w:t>
            </w:r>
          </w:p>
        </w:tc>
      </w:tr>
      <w:tr>
        <w:trPr>
          <w:trHeight w:val="1149" w:hRule="atLeast"/>
        </w:trPr>
        <w:tc>
          <w:tcPr>
            <w:tcW w:w="80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3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同一静止场景相同图像质量下，设备在H.265编码方式时，开启智能编码功能和不开启智能编码相比，码率节约节约70%以上。（公安部型式检验报告证明）</w:t>
            </w:r>
          </w:p>
        </w:tc>
      </w:tr>
      <w:tr>
        <w:trPr>
          <w:trHeight w:val="397" w:hRule="atLeast"/>
        </w:trPr>
        <w:tc>
          <w:tcPr>
            <w:tcW w:w="9975"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22" w:name="_Toc24719901"/>
      <w:r>
        <w:rPr>
          <w:rFonts w:hint="eastAsia" w:ascii="宋体" w:hAnsi="宋体"/>
          <w:b/>
          <w:bCs/>
          <w:color w:val="000000"/>
          <w:kern w:val="44"/>
          <w:sz w:val="24"/>
          <w:szCs w:val="24"/>
          <w:lang w:val="en-US" w:eastAsia="zh-CN"/>
        </w:rPr>
        <w:t>附表5 :全彩警戒摄像机</w:t>
      </w:r>
    </w:p>
    <w:tbl>
      <w:tblPr>
        <w:tblW w:w="10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791"/>
        <w:gridCol w:w="8364"/>
      </w:tblGrid>
      <w:tr>
        <w:trPr>
          <w:trHeight w:val="818"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6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826"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具有200万像素 CMOS传感器。</w:t>
            </w:r>
          </w:p>
        </w:tc>
      </w:tr>
      <w:tr>
        <w:trPr>
          <w:trHeight w:val="414"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内置红外与白光补光灯。（公安部检验报告证明）</w:t>
            </w:r>
          </w:p>
        </w:tc>
      </w:tr>
      <w:tr>
        <w:trPr>
          <w:trHeight w:val="554"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内置芯片。（公安部检验报告证明）</w:t>
            </w:r>
          </w:p>
        </w:tc>
      </w:tr>
      <w:tr>
        <w:trPr>
          <w:trHeight w:val="818"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同一静止场景相同图像质量下，设备在H.265编码方式时，开启智能编码功能和不开启智能编码相比，码率节约1/2。</w:t>
            </w:r>
          </w:p>
        </w:tc>
      </w:tr>
      <w:tr>
        <w:trPr>
          <w:trHeight w:val="818"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设备工作状态时，支持空气放电8kV，接触放电6kV，通讯端口支持6kV峰值电压。</w:t>
            </w:r>
          </w:p>
        </w:tc>
      </w:tr>
      <w:tr>
        <w:trPr>
          <w:trHeight w:val="818"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支持白光报警功能，当报警产生时，可触发联动声音警报和白光闪烁。（公安部检验报告证明）</w:t>
            </w:r>
          </w:p>
        </w:tc>
      </w:tr>
      <w:tr>
        <w:trPr>
          <w:trHeight w:val="818"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需支持DC12V供电，且在不小于DC12V±30%范围内变化时可以正常工作。</w:t>
            </w:r>
          </w:p>
        </w:tc>
      </w:tr>
      <w:tr>
        <w:trPr>
          <w:trHeight w:val="414"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不低于IP67防尘防水等级。（公安部检验报告证明）</w:t>
            </w:r>
          </w:p>
        </w:tc>
      </w:tr>
      <w:tr>
        <w:trPr>
          <w:trHeight w:val="414"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最低照度彩色：0.0004 lx。（公安部检验报告证明）</w:t>
            </w:r>
          </w:p>
        </w:tc>
      </w:tr>
      <w:tr>
        <w:trPr>
          <w:trHeight w:val="414"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白天或夜晚均可输出彩色视频图像。（公安部检验报告证明）</w:t>
            </w:r>
          </w:p>
        </w:tc>
      </w:tr>
      <w:tr>
        <w:trPr>
          <w:trHeight w:val="800"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36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红外补光距离不小于110米。</w:t>
            </w:r>
          </w:p>
        </w:tc>
      </w:tr>
      <w:tr>
        <w:trPr>
          <w:trHeight w:val="440" w:hRule="atLeast"/>
        </w:trPr>
        <w:tc>
          <w:tcPr>
            <w:tcW w:w="10067"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附表6 :</w:t>
      </w:r>
      <w:bookmarkEnd w:id="22"/>
      <w:r>
        <w:rPr>
          <w:rFonts w:hint="eastAsia" w:ascii="宋体" w:hAnsi="宋体"/>
          <w:b/>
          <w:bCs/>
          <w:color w:val="000000"/>
          <w:kern w:val="44"/>
          <w:sz w:val="24"/>
          <w:szCs w:val="24"/>
          <w:lang w:val="en-US" w:eastAsia="zh-CN"/>
        </w:rPr>
        <w:t>安装平台及支架</w:t>
      </w:r>
    </w:p>
    <w:tbl>
      <w:tblPr>
        <w:tblW w:w="10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793"/>
        <w:gridCol w:w="8357"/>
      </w:tblGrid>
      <w:tr>
        <w:trPr>
          <w:trHeight w:val="816"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5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824" w:hRule="atLeast"/>
        </w:trPr>
        <w:tc>
          <w:tcPr>
            <w:tcW w:w="91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适合护罩横杆抱柱安装。（带万向调节）卡箍范围：Φ67-127mm</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钢板 外形尺寸（mm）</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117×226×194</w:t>
            </w:r>
          </w:p>
        </w:tc>
      </w:tr>
    </w:tbl>
    <w:p>
      <w:pPr>
        <w:jc w:val="both"/>
        <w:outlineLvl w:val="0"/>
        <w:rPr>
          <w:rFonts w:hint="eastAsia" w:ascii="宋体" w:hAnsi="宋体"/>
          <w:b/>
          <w:bCs/>
          <w:color w:val="000000"/>
          <w:kern w:val="44"/>
          <w:sz w:val="24"/>
          <w:szCs w:val="24"/>
          <w:lang w:val="en-US" w:eastAsia="zh-CN"/>
        </w:rPr>
      </w:pPr>
      <w:bookmarkStart w:id="23" w:name="_Toc24719905"/>
      <w:bookmarkStart w:id="24" w:name="_Toc24719903"/>
      <w:r>
        <w:rPr>
          <w:rFonts w:hint="eastAsia" w:ascii="宋体" w:hAnsi="宋体"/>
          <w:b/>
          <w:bCs/>
          <w:color w:val="000000"/>
          <w:kern w:val="44"/>
          <w:sz w:val="24"/>
          <w:szCs w:val="24"/>
          <w:lang w:val="en-US" w:eastAsia="zh-CN"/>
        </w:rPr>
        <w:t>附表7：</w:t>
      </w:r>
      <w:bookmarkEnd w:id="23"/>
      <w:r>
        <w:rPr>
          <w:rFonts w:hint="eastAsia" w:ascii="宋体" w:hAnsi="宋体"/>
          <w:b/>
          <w:bCs/>
          <w:color w:val="000000"/>
          <w:kern w:val="44"/>
          <w:sz w:val="24"/>
          <w:szCs w:val="24"/>
          <w:lang w:val="en-US" w:eastAsia="zh-CN"/>
        </w:rPr>
        <w:t>全彩网络智能球机</w:t>
      </w:r>
    </w:p>
    <w:tbl>
      <w:tblPr>
        <w:tblW w:w="10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
        <w:gridCol w:w="805"/>
        <w:gridCol w:w="8317"/>
      </w:tblGrid>
      <w:tr>
        <w:trPr>
          <w:trHeight w:val="834" w:hRule="atLeast"/>
        </w:trPr>
        <w:tc>
          <w:tcPr>
            <w:tcW w:w="9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1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834"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视频输出支持1920×1080@25fps（以公安部检验报告为准）</w:t>
            </w:r>
          </w:p>
        </w:tc>
      </w:tr>
      <w:tr>
        <w:trPr>
          <w:trHeight w:val="834"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5"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球机应具备本机存储功能，支持SD卡热插拔，最大支持128GB</w:t>
            </w:r>
          </w:p>
        </w:tc>
      </w:tr>
      <w:tr>
        <w:trPr>
          <w:trHeight w:val="834"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支持最低照度可达彩色≤0.005lx，黑白≤0.0008lx）</w:t>
            </w:r>
          </w:p>
        </w:tc>
      </w:tr>
      <w:tr>
        <w:trPr>
          <w:trHeight w:val="1247"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支持人脸抓拍功能，可对运动人脸进行检测、跟踪、抓拍，同时支持8个场景下的轮巡人脸抓拍，每个场景的时间可设</w:t>
            </w:r>
          </w:p>
        </w:tc>
      </w:tr>
      <w:tr>
        <w:trPr>
          <w:trHeight w:val="834"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设备支持可见光及红外光补光，开启可见光补光，可识别距设备49m处的人体轮廓</w:t>
            </w:r>
          </w:p>
        </w:tc>
      </w:tr>
      <w:tr>
        <w:trPr>
          <w:trHeight w:val="834"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镜头采用≤F1.6大光圈</w:t>
            </w:r>
          </w:p>
        </w:tc>
      </w:tr>
      <w:tr>
        <w:trPr>
          <w:trHeight w:val="422"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1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支持水平手控速度不小于550°/S，垂直速度不小于120°/S，云台定位精度为±0.1°</w:t>
            </w:r>
          </w:p>
        </w:tc>
      </w:tr>
      <w:tr>
        <w:trPr>
          <w:trHeight w:val="834"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水平旋转范围为360°连续旋转，垂直旋转范围为-20°~90°</w:t>
            </w:r>
          </w:p>
        </w:tc>
      </w:tr>
      <w:tr>
        <w:trPr>
          <w:trHeight w:val="422"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支持290个预置位，可按照所设置的预置位完成不小于8条巡航路径，支持不小于4条模式路径设置，支持预置位视频冻结功能；可实现RS485接口优先或RJ45网络接口优先控制功能</w:t>
            </w:r>
          </w:p>
        </w:tc>
      </w:tr>
      <w:tr>
        <w:trPr>
          <w:trHeight w:val="1247"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信噪比≥60dB，网络延时不大于101ms</w:t>
            </w:r>
          </w:p>
        </w:tc>
      </w:tr>
      <w:tr>
        <w:trPr>
          <w:trHeight w:val="422" w:hRule="atLeast"/>
        </w:trPr>
        <w:tc>
          <w:tcPr>
            <w:tcW w:w="92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具备较好的电源适应性，电压在AC24V±30%范围内变化时，设备可正常工作</w:t>
            </w:r>
          </w:p>
        </w:tc>
      </w:tr>
      <w:tr>
        <w:trPr>
          <w:trHeight w:val="834"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5"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具备较好的防护性能环境适应性，支持IP67，工作温度范围可达-45℃-70℃</w:t>
            </w:r>
          </w:p>
        </w:tc>
      </w:tr>
      <w:tr>
        <w:trPr>
          <w:trHeight w:val="834"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焦距:4.8 - 110 mm, 23倍光学</w:t>
            </w:r>
          </w:p>
        </w:tc>
      </w:tr>
      <w:tr>
        <w:trPr>
          <w:trHeight w:val="422"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样机与客户端之间用150m五类非屏蔽网线直接连接，网络传输能力满足发送1500个数据包，重复测试3次，每次丢包数不大于1个</w:t>
            </w:r>
          </w:p>
        </w:tc>
      </w:tr>
      <w:tr>
        <w:trPr>
          <w:trHeight w:val="1247"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动态范围不小于106dB，照度适应范围不小于138dB，宽动态能力综合得分不小于135</w:t>
            </w:r>
          </w:p>
        </w:tc>
      </w:tr>
      <w:tr>
        <w:trPr>
          <w:trHeight w:val="834"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5"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16</w:t>
            </w:r>
          </w:p>
        </w:tc>
        <w:tc>
          <w:tcPr>
            <w:tcW w:w="831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具备较强的网络适应能力，在丢包率为20%的网络环境下，仍可正常显示监视画面。</w:t>
            </w:r>
          </w:p>
        </w:tc>
      </w:tr>
      <w:tr>
        <w:trPr>
          <w:trHeight w:val="448" w:hRule="atLeast"/>
        </w:trPr>
        <w:tc>
          <w:tcPr>
            <w:tcW w:w="10047"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25" w:name="_Toc24719909"/>
      <w:r>
        <w:rPr>
          <w:rFonts w:hint="eastAsia" w:ascii="宋体" w:hAnsi="宋体"/>
          <w:b/>
          <w:bCs/>
          <w:color w:val="000000"/>
          <w:kern w:val="44"/>
          <w:sz w:val="24"/>
          <w:szCs w:val="24"/>
          <w:lang w:val="en-US" w:eastAsia="zh-CN"/>
        </w:rPr>
        <w:t>附表8：球机支架</w:t>
      </w:r>
    </w:p>
    <w:tbl>
      <w:tblPr>
        <w:tblW w:w="10050"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823"/>
        <w:gridCol w:w="8299"/>
      </w:tblGrid>
      <w:tr>
        <w:trPr>
          <w:trHeight w:val="362" w:hRule="atLeast"/>
        </w:trPr>
        <w:tc>
          <w:tcPr>
            <w:tcW w:w="9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2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299"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93"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2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299"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电源盒长壁装支架;适合室内外壁装;铝合金;外形尺寸（mm）</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209.2×310×399.1;重量</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3770g</w:t>
            </w:r>
          </w:p>
        </w:tc>
      </w:tr>
      <w:tr>
        <w:trPr>
          <w:trHeight w:val="190" w:hRule="atLeast"/>
        </w:trPr>
        <w:tc>
          <w:tcPr>
            <w:tcW w:w="10050"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附表9：4口百兆工业级收发器</w:t>
      </w:r>
    </w:p>
    <w:tbl>
      <w:tblPr>
        <w:tblW w:w="10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
        <w:gridCol w:w="795"/>
        <w:gridCol w:w="8353"/>
      </w:tblGrid>
      <w:tr>
        <w:trPr>
          <w:trHeight w:val="427"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5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99"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4个10/100 Mbps 自适应RJ45端口，支持1个100M标准1X9光纤模块插槽。</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光口兼容IEEE802.3协议。支持协议：IEEE 802.3i 10BASET、IEEE 802.3u 100BASETX、IEEE 802.3x Flow Control、IEEE 802.1af DTE Power via MDI、IEEE 802.3af</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广播风暴抑制功能，支持NTP网络对时协议。</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MAC地址表8k、带宽：1.6Gbps (无阻塞）。</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即插既用的MR-Ring冗余环网协议(自愈时间&lt;20ms)。</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具有光路、网口、电源、告警等多种LED指示。</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具有完善的网管系统，支持带内全局网管。</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支持AC/DC220V、DC48V、DC24V供电并采用工业级标准设计，导轨式安装。</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电源冗余（适于DC12V/24V）提供一路继电器告警输出，功耗：最大8W。</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平均无故障时间MTBF≥10万小时。</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提供丰富的网管功能，包括：基于端口的VLAN、基于802.1Q的VLAN、QOS、IGMP Snooping、RSTP、广播风暴抑制、端口聚合、端口镜像、端口状态管理、SNMP、NTP对时等。</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工作温度：-40～75℃ 储存温度：-40～85℃相对湿度：5%～95%（无凝露）存放湿度：10%～95%，无冷凝。</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35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主要技术参数提供提供检测报告</w:t>
            </w:r>
          </w:p>
        </w:tc>
      </w:tr>
      <w:tr>
        <w:trPr>
          <w:trHeight w:val="90" w:hRule="atLeast"/>
        </w:trPr>
        <w:tc>
          <w:tcPr>
            <w:tcW w:w="10062"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附表10：1口百兆工业级收发器</w:t>
      </w:r>
    </w:p>
    <w:tbl>
      <w:tblPr>
        <w:tblW w:w="10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
        <w:gridCol w:w="795"/>
        <w:gridCol w:w="8338"/>
      </w:tblGrid>
      <w:tr>
        <w:trPr>
          <w:trHeight w:val="427"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33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99"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1个10/100 Mbps 自适应RJ45端口，支持1个100M标准1X9光纤模块插槽。</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光口兼容IEEE802.3协议。支持协议：IEEE 802.3i 10BASET、IEEE 802.3u 100BASETX、IEEE 802.3x Flow Control、IEEE 802.1af DTE Power via MDI、IEEE 802.3af</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广播风暴抑制功能，支持NTP网络对时协议。</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MAC地址表8k、带宽：1.6Gbps (无阻塞）。</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即插既用的MR-Ring冗余环网协议(自愈时间&lt;20ms)。</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具有光路、网口、电源、告警等多种LED指示。</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具有完善的网管系统，支持带内全局网管。</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支持AC/DC220V、DC48V、DC24V供电并采用工业级标准设计，导轨式安装。</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电源冗余（适于DC12V/24V）提供一路继电器告警输出，功耗：最大8W。</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平均无故障时间MTBF≥10万小时。</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提供丰富的网管功能，包括：基于端口的VLAN、基于802.1Q的VLAN、QOS、IGMP Snooping、RSTP、广播风暴抑制、端口聚合、端口镜像、端口状态管理、SNMP、NTP对时等。</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工作温度：-40～75℃ 储存温度：-40～85℃相对湿度：5%～95%（无凝露）存放湿度：10%～95%，无冷凝。</w:t>
            </w:r>
          </w:p>
        </w:tc>
      </w:tr>
      <w:tr>
        <w:trPr>
          <w:trHeight w:val="90" w:hRule="atLeast"/>
        </w:trPr>
        <w:tc>
          <w:tcPr>
            <w:tcW w:w="91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33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主要技术参数提供提供检测报告</w:t>
            </w:r>
          </w:p>
        </w:tc>
      </w:tr>
      <w:tr>
        <w:trPr>
          <w:trHeight w:val="90" w:hRule="atLeast"/>
        </w:trPr>
        <w:tc>
          <w:tcPr>
            <w:tcW w:w="10047"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附表11：</w:t>
      </w:r>
      <w:bookmarkEnd w:id="25"/>
      <w:r>
        <w:rPr>
          <w:rFonts w:hint="eastAsia" w:ascii="宋体" w:hAnsi="宋体"/>
          <w:b/>
          <w:bCs/>
          <w:color w:val="000000"/>
          <w:kern w:val="44"/>
          <w:sz w:val="24"/>
          <w:szCs w:val="24"/>
          <w:lang w:val="en-US" w:eastAsia="zh-CN"/>
        </w:rPr>
        <w:t>可视化紧急报警盒</w:t>
      </w:r>
    </w:p>
    <w:tbl>
      <w:tblPr>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808"/>
        <w:gridCol w:w="7961"/>
      </w:tblGrid>
      <w:tr>
        <w:trPr>
          <w:trHeight w:val="600" w:hRule="atLeast"/>
        </w:trPr>
        <w:tc>
          <w:tcPr>
            <w:tcW w:w="9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6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785"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采用嵌入式Linux操作系统,高性能嵌入式SOC处理器，系统运行稳定可靠；</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支持系统校时功能；支持看门狗功能；支持网络远程在线升级功能；</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工作环境:温度-40℃～70℃,湿度小于93%环境下稳定工作</w:t>
            </w:r>
          </w:p>
        </w:tc>
      </w:tr>
      <w:tr>
        <w:trPr>
          <w:trHeight w:val="1193" w:hRule="atLeast"/>
        </w:trPr>
        <w:tc>
          <w:tcPr>
            <w:tcW w:w="92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前置环形红色背光灯机械按键，环形红色背光灯能定时闪烁，报警按钮处具有“紧急报警”明显标示说明，呼叫接通后的通话过程中按键的红色环形背光灯闪烁频率应加快，指示为当前处于通话状态；</w:t>
            </w:r>
          </w:p>
        </w:tc>
      </w:tr>
      <w:tr>
        <w:trPr>
          <w:trHeight w:val="600"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支持呼叫转移功能：设备呼叫中心管理机的时候，应可通过呼叫转移功能将呼叫信息转移到其他中心管理机上；</w:t>
            </w:r>
          </w:p>
        </w:tc>
      </w:tr>
      <w:tr>
        <w:trPr>
          <w:trHeight w:val="303"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设备前置200万CMOS高清摄像头</w:t>
            </w:r>
          </w:p>
        </w:tc>
      </w:tr>
      <w:tr>
        <w:trPr>
          <w:trHeight w:val="896"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设备支持2路音频输入和2路音频输出；音频输入和音频输出关系可自由配置，内部含高灵敏度麦克风，拾音距离应达到10米，语音清晰，内置3W扬声器；</w:t>
            </w:r>
          </w:p>
        </w:tc>
      </w:tr>
      <w:tr>
        <w:trPr>
          <w:trHeight w:val="600"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8"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设备支持将防拆报警、防区报警等报警信息通过网线传送到管理中心，并形成日志文件；</w:t>
            </w:r>
          </w:p>
        </w:tc>
      </w:tr>
      <w:tr>
        <w:trPr>
          <w:trHeight w:val="1489" w:hRule="atLeast"/>
        </w:trPr>
        <w:tc>
          <w:tcPr>
            <w:tcW w:w="929"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支持可视对讲功能：按下紧急求助按键后呼叫中心管理机，呼叫过程中能听到相应提示音；通话过程中中心能看到设备处实时视频，支持实时全双工双向语音对讲和视频通话功能；</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支持同时进行多方实时对讲通话，多台前端设备与多台中心管理机实时多方通话；</w:t>
            </w:r>
          </w:p>
        </w:tc>
      </w:tr>
      <w:tr>
        <w:trPr>
          <w:trHeight w:val="600"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8"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支持外界噪音侦测报警；外界噪音≥60DB（可设置），内置振动探测器接口</w:t>
            </w:r>
          </w:p>
        </w:tc>
      </w:tr>
      <w:tr>
        <w:trPr>
          <w:trHeight w:val="600"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彩色图像：图像分辨力≥280TVL，亮度鉴别等级≥8级；</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支持中心管理机控制前端设备警灯打开和关闭功能；</w:t>
            </w:r>
          </w:p>
        </w:tc>
      </w:tr>
      <w:tr>
        <w:trPr>
          <w:trHeight w:val="600"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8"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支持将音视频同步存储到设备SD卡中，当在双向对讲通话时录像存储为双向通过混音的音视频复合流；</w:t>
            </w:r>
          </w:p>
        </w:tc>
      </w:tr>
      <w:tr>
        <w:trPr>
          <w:trHeight w:val="368"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支持语音播报、分组广播功能；</w:t>
            </w:r>
          </w:p>
        </w:tc>
      </w:tr>
      <w:tr>
        <w:trPr>
          <w:trHeight w:val="896"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8"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支持红外补光，在光照强度0.1Lx时，红外补光距离应不小于10米；支持日夜模式自动切换：通过ICR红外滤片实现自动切换，实现真正的日夜模式监控；</w:t>
            </w:r>
          </w:p>
        </w:tc>
      </w:tr>
      <w:tr>
        <w:trPr>
          <w:trHeight w:val="586" w:hRule="atLeast"/>
        </w:trPr>
        <w:tc>
          <w:tcPr>
            <w:tcW w:w="92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8"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96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一键报警需接入教体局和公安局。</w:t>
            </w:r>
          </w:p>
        </w:tc>
      </w:tr>
      <w:tr>
        <w:trPr>
          <w:trHeight w:val="322" w:hRule="atLeast"/>
        </w:trPr>
        <w:tc>
          <w:tcPr>
            <w:tcW w:w="9698"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26" w:name="_Toc24719910"/>
      <w:r>
        <w:rPr>
          <w:rFonts w:hint="eastAsia" w:ascii="宋体" w:hAnsi="宋体"/>
          <w:b/>
          <w:bCs/>
          <w:color w:val="000000"/>
          <w:kern w:val="44"/>
          <w:sz w:val="24"/>
          <w:szCs w:val="24"/>
          <w:lang w:val="en-US" w:eastAsia="zh-CN"/>
        </w:rPr>
        <w:t>附表12：紧急报警求助柱</w:t>
      </w:r>
      <w:bookmarkEnd w:id="26"/>
    </w:p>
    <w:tbl>
      <w:tblPr>
        <w:tblW w:w="96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797"/>
        <w:gridCol w:w="7980"/>
      </w:tblGrid>
      <w:tr>
        <w:trPr>
          <w:trHeight w:val="649" w:hRule="atLeast"/>
        </w:trPr>
        <w:tc>
          <w:tcPr>
            <w:tcW w:w="9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8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649"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采用嵌入式Linux操作系统,高性能嵌入式SOC处理器，系统运行稳定可靠；</w:t>
            </w:r>
          </w:p>
        </w:tc>
      </w:tr>
      <w:tr>
        <w:trPr>
          <w:trHeight w:val="970"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设备支持2路音频输入和2路音频输出；音频输入和音频输出关系可自由配置，内部含高灵敏度麦克风，拾音距离应达到10米，语音清晰，内置30W扬声器；</w:t>
            </w:r>
          </w:p>
        </w:tc>
      </w:tr>
      <w:tr>
        <w:trPr>
          <w:trHeight w:val="970"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支持可视对讲功能：按下紧急求助按键后呼叫中心管理机，呼叫过程中能听到相应提示音；通话过程中中心能看到设备处实时视频，支持实时全双工双向语音对讲和视频通话功能；</w:t>
            </w:r>
          </w:p>
        </w:tc>
      </w:tr>
      <w:tr>
        <w:trPr>
          <w:trHeight w:val="649"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支持将音视频同步存储到设备SD卡中，当在双向对讲通话时录像存储为双向通过混音的音视频复合流；</w:t>
            </w:r>
          </w:p>
        </w:tc>
      </w:tr>
      <w:tr>
        <w:trPr>
          <w:trHeight w:val="649"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设备支持将防拆报警、防区报警等报警信息通过网线传送到管理中心，并形成日志文件；</w:t>
            </w:r>
          </w:p>
        </w:tc>
      </w:tr>
      <w:tr>
        <w:trPr>
          <w:trHeight w:val="64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支持呼叫转移功能：设备呼叫中心管理机时，可通过呼叫转移功能将呼叫信息转移到其他中心管理机上；</w:t>
            </w:r>
          </w:p>
        </w:tc>
      </w:tr>
      <w:tr>
        <w:trPr>
          <w:trHeight w:val="649"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支持外界噪音侦测报警；外界噪音≥60DB（可设置），内置振动探测器接口</w:t>
            </w:r>
          </w:p>
        </w:tc>
      </w:tr>
      <w:tr>
        <w:trPr>
          <w:trHeight w:val="398"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支持语音播报、分组广播功能；</w:t>
            </w:r>
          </w:p>
        </w:tc>
      </w:tr>
      <w:tr>
        <w:trPr>
          <w:trHeight w:val="43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支持采集MAC地址、虚拟信息功能；</w:t>
            </w:r>
          </w:p>
        </w:tc>
      </w:tr>
      <w:tr>
        <w:trPr>
          <w:trHeight w:val="1291"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设备前置200万CMOS高清摄像头</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支持红外补光，在光照强度0.1Lx时，红外补光距离应不小于10米；支持日夜模式自动切换：通过ICR红外滤片实现自动切换，实现真正的日夜模式监控；</w:t>
            </w:r>
          </w:p>
        </w:tc>
      </w:tr>
      <w:tr>
        <w:trPr>
          <w:trHeight w:val="41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支持巡更刷卡功能；</w:t>
            </w:r>
          </w:p>
        </w:tc>
      </w:tr>
      <w:tr>
        <w:trPr>
          <w:trHeight w:val="328"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支持GPS实时定位功能；</w:t>
            </w:r>
          </w:p>
        </w:tc>
      </w:tr>
      <w:tr>
        <w:trPr>
          <w:trHeight w:val="1291"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前置环形红色背光灯机械按键，环形红色背光灯能定时闪烁，报警按钮处具有“紧急报警”明显标示说明，呼叫接通后的通话过程中按键的红色环形背光灯闪烁频率应加快，指示为当前处于通话状态；</w:t>
            </w:r>
          </w:p>
        </w:tc>
      </w:tr>
      <w:tr>
        <w:trPr>
          <w:trHeight w:val="398"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设备支持双网口链路、PSTN电话链路传输；</w:t>
            </w:r>
          </w:p>
        </w:tc>
      </w:tr>
      <w:tr>
        <w:trPr>
          <w:trHeight w:val="398"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15</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一键报警需接入教体局和公安局。</w:t>
            </w:r>
          </w:p>
        </w:tc>
      </w:tr>
      <w:tr>
        <w:trPr>
          <w:trHeight w:val="349" w:hRule="atLeast"/>
        </w:trPr>
        <w:tc>
          <w:tcPr>
            <w:tcW w:w="9693"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bookmarkEnd w:id="24"/>
    </w:tbl>
    <w:p>
      <w:pPr>
        <w:jc w:val="both"/>
        <w:outlineLvl w:val="0"/>
        <w:rPr>
          <w:rFonts w:hint="eastAsia" w:ascii="宋体" w:hAnsi="宋体"/>
          <w:b/>
          <w:bCs/>
          <w:color w:val="000000"/>
          <w:kern w:val="44"/>
          <w:sz w:val="24"/>
          <w:szCs w:val="24"/>
          <w:lang w:val="en-US" w:eastAsia="zh-CN"/>
        </w:rPr>
      </w:pPr>
      <w:bookmarkStart w:id="27" w:name="_Toc24719919"/>
      <w:bookmarkStart w:id="28" w:name="_Toc24719907"/>
      <w:r>
        <w:rPr>
          <w:rFonts w:hint="eastAsia" w:ascii="宋体" w:hAnsi="宋体"/>
          <w:b/>
          <w:bCs/>
          <w:color w:val="000000"/>
          <w:kern w:val="44"/>
          <w:sz w:val="24"/>
          <w:szCs w:val="24"/>
          <w:lang w:val="en-US" w:eastAsia="zh-CN"/>
        </w:rPr>
        <w:t>附表</w:t>
      </w:r>
      <w:bookmarkEnd w:id="27"/>
      <w:r>
        <w:rPr>
          <w:rFonts w:hint="eastAsia" w:ascii="宋体" w:hAnsi="宋体"/>
          <w:b/>
          <w:bCs/>
          <w:color w:val="000000"/>
          <w:kern w:val="44"/>
          <w:sz w:val="24"/>
          <w:szCs w:val="24"/>
          <w:lang w:val="en-US" w:eastAsia="zh-CN"/>
        </w:rPr>
        <w:t xml:space="preserve">13 ：55防爆电视  </w:t>
      </w:r>
    </w:p>
    <w:tbl>
      <w:tblPr>
        <w:tblW w:w="9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798"/>
        <w:gridCol w:w="8034"/>
      </w:tblGrid>
      <w:tr>
        <w:trPr>
          <w:trHeight w:val="551" w:hRule="atLeast"/>
        </w:trPr>
        <w:tc>
          <w:tcPr>
            <w:tcW w:w="92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3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39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屏幕尺寸</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55英寸 防爆</w:t>
            </w:r>
          </w:p>
        </w:tc>
      </w:tr>
      <w:tr>
        <w:trPr>
          <w:trHeight w:val="43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屏幕宽高比</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16；9</w:t>
            </w:r>
          </w:p>
        </w:tc>
      </w:tr>
      <w:tr>
        <w:trPr>
          <w:trHeight w:val="48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固有分辨率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4096 X 2160</w:t>
            </w:r>
          </w:p>
        </w:tc>
      </w:tr>
      <w:tr>
        <w:trPr>
          <w:trHeight w:val="109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显示面积 (Active) H x V</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1209.6（H）X 680.4（V）mm</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Pixel Pitch (mm)</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0.630(H) X 0.210(V)</w:t>
            </w:r>
          </w:p>
        </w:tc>
      </w:tr>
      <w:tr>
        <w:trPr>
          <w:trHeight w:val="45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显示色彩</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8bit，16.7Million colors</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对比度</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4000;1</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可视角</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178°</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响应时间</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6ms</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灯管寿命</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50000H</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色温</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冷色，暖色,标准</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视频输入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AV*2，视频输出</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AV OUT *1（Option），分量信号</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NC</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HDMI端口(选择)</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HDMI*2；USB接口(2.0)</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*2；</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信号输入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VGA DSB-15P；PnP 兼容性</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YES；建议使用分辨率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4096 X 2160 60HZ；音频输入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3.5mm耳机接口</w:t>
            </w:r>
          </w:p>
        </w:tc>
      </w:tr>
      <w:tr>
        <w:trPr>
          <w:trHeight w:val="109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034"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信号输入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VGA DSB-15P；PnP 兼容性</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YES；建议使用分辨率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1920*1080 60HZ；音频输入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3.5mm耳机接口</w:t>
            </w:r>
          </w:p>
        </w:tc>
      </w:tr>
      <w:tr>
        <w:trPr>
          <w:trHeight w:val="284" w:hRule="atLeast"/>
        </w:trPr>
        <w:tc>
          <w:tcPr>
            <w:tcW w:w="9753" w:type="dxa"/>
            <w:gridSpan w:val="3"/>
            <w:tcBorders>
              <w:top w:val="single" w:color="auto" w:sz="4" w:space="0"/>
              <w:left w:val="single" w:color="auto" w:sz="4" w:space="0"/>
              <w:bottom w:val="single" w:color="auto" w:sz="4" w:space="0"/>
              <w:right w:val="single" w:color="000000"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29" w:name="_Toc24719911"/>
      <w:r>
        <w:rPr>
          <w:rFonts w:hint="eastAsia" w:ascii="宋体" w:hAnsi="宋体"/>
          <w:b/>
          <w:bCs/>
          <w:color w:val="000000"/>
          <w:kern w:val="44"/>
          <w:sz w:val="24"/>
          <w:szCs w:val="24"/>
          <w:lang w:val="en-US" w:eastAsia="zh-CN"/>
        </w:rPr>
        <w:t>附表14 ：控制电脑</w:t>
      </w:r>
    </w:p>
    <w:tbl>
      <w:tblPr>
        <w:tblW w:w="9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2"/>
        <w:gridCol w:w="810"/>
        <w:gridCol w:w="7996"/>
      </w:tblGrid>
      <w:tr>
        <w:trPr>
          <w:trHeight w:val="9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1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9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主板</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 xml:space="preserve">Intel 300系列及以上芯片组 </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CPU </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全新一代Intel Core i5-9500 3.0G 6C</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highlight w:val="none"/>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highlight w:val="none"/>
                <w:lang w:val="en-US" w:eastAsia="zh-CN"/>
              </w:rPr>
              <w:t>内存</w:t>
            </w:r>
            <w:r>
              <w:rPr>
                <w:rFonts w:hint="eastAsia" w:ascii="宋体" w:hAnsi="宋体" w:cs="Calibri"/>
                <w:b w:val="0"/>
                <w:bCs w:val="0"/>
                <w:color w:val="000000"/>
                <w:kern w:val="44"/>
                <w:sz w:val="24"/>
                <w:szCs w:val="24"/>
                <w:highlight w:val="none"/>
                <w:lang w:val="en-US" w:eastAsia="zh-CN"/>
              </w:rPr>
              <w:tab/>
            </w:r>
            <w:r>
              <w:rPr>
                <w:rFonts w:hint="eastAsia" w:ascii="宋体" w:hAnsi="宋体" w:cs="Calibri"/>
                <w:b w:val="0"/>
                <w:bCs w:val="0"/>
                <w:color w:val="000000"/>
                <w:kern w:val="44"/>
                <w:sz w:val="24"/>
                <w:szCs w:val="24"/>
                <w:highlight w:val="none"/>
                <w:lang w:val="en-US" w:eastAsia="zh-CN"/>
              </w:rPr>
              <w:t>≥8G DDR4 2666MHz内存；</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硬盘</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≥1TB SATA3 7200rpm 硬盘，128G M.2 NVMe SSD</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显卡</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≥Radeon 520  2GB 独立显卡</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声卡</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集成声卡，支持5.1声道（提供前2后3共5个音频接口，可通过外接设备实现）网卡</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集成10/100/1000M以太网卡；</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光驱</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超薄DVD刻录光驱</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显示器</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≥21.5寸显示器，屏幕比例16：9，亮度不低于250，对比度不低于1000:1，响应时间4ms，提供低蓝光认证</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扩展槽</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1个PCI-E*16、2个PCI-E*1 槽位</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接口</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≥10个USB 接口(前置6个USB 3.1 G1，后置4个USB 2.0)</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键盘、鼠标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原厂防水键盘、抗菌鼠标；</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电源</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 xml:space="preserve">≤110/220V 210W 节能电源 </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操作系统</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 xml:space="preserve">预装Windows 10正版操作系统 </w:t>
            </w:r>
          </w:p>
        </w:tc>
      </w:tr>
      <w:tr>
        <w:trPr>
          <w:trHeight w:val="90" w:hRule="atLeast"/>
        </w:trPr>
        <w:tc>
          <w:tcPr>
            <w:tcW w:w="93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799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服务</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5年保修5年上门。验收时通过厂家400电话验证是否出厂原装。</w:t>
            </w:r>
          </w:p>
        </w:tc>
      </w:tr>
      <w:tr>
        <w:trPr>
          <w:trHeight w:val="90" w:hRule="atLeast"/>
        </w:trPr>
        <w:tc>
          <w:tcPr>
            <w:tcW w:w="9738"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p>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附表15：</w:t>
      </w:r>
      <w:bookmarkEnd w:id="29"/>
      <w:r>
        <w:rPr>
          <w:rFonts w:hint="eastAsia" w:ascii="宋体" w:hAnsi="宋体"/>
          <w:b/>
          <w:bCs/>
          <w:color w:val="000000"/>
          <w:kern w:val="44"/>
          <w:sz w:val="24"/>
          <w:szCs w:val="24"/>
          <w:lang w:val="en-US" w:eastAsia="zh-CN"/>
        </w:rPr>
        <w:t>身份信息识别产品</w:t>
      </w:r>
    </w:p>
    <w:tbl>
      <w:tblPr>
        <w:tblW w:w="97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802"/>
        <w:gridCol w:w="8000"/>
      </w:tblGrid>
      <w:tr>
        <w:trPr>
          <w:trHeight w:val="790" w:hRule="atLeast"/>
        </w:trPr>
        <w:tc>
          <w:tcPr>
            <w:tcW w:w="92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2"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0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298"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设备采用10.1英寸LCD触摸显示屏，屏幕分辨率不小于1280*800，屏幕防冲击防护等级IK04</w:t>
            </w:r>
          </w:p>
        </w:tc>
      </w:tr>
      <w:tr>
        <w:trPr>
          <w:trHeight w:val="1571"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设备具有丰富的硬件接口，应不少于以下硬件接口及能力：USB口≥2个2.0；HDMI输出≥1个；音频输出</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≥1个；I/O输出≥1个；RS232(TTL）接口≥1个；韦根接口≥1个；以太网络接口≥1支持10M/100M自适应以太网；无线WIFI 802.11b/g/n。</w:t>
            </w:r>
          </w:p>
        </w:tc>
      </w:tr>
      <w:tr>
        <w:trPr>
          <w:trHeight w:val="1248"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支持云端识别和本地识别两种模式；设备的人脸识别距离：0.2~2.5m；人脸识别高度：1.2~2m；人脸识别误识率≤0.01%，准确率≥99.8%，人脸识别速度≤0.3s。</w:t>
            </w:r>
          </w:p>
        </w:tc>
      </w:tr>
      <w:tr>
        <w:trPr>
          <w:trHeight w:val="1181"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支持断网条件下，抓拍记录及照片本地缓存；设备本地人脸库存储容量20000张，本地卡存储容量200000张，本地出入记录存储容量100000条，本地存储人脸抓拍照片150000张。</w:t>
            </w:r>
          </w:p>
        </w:tc>
      </w:tr>
      <w:tr>
        <w:trPr>
          <w:trHeight w:val="1181"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设备支持人脸识别功能，现场抓拍人脸照片与本地人脸库照片进行比对，进行人员身份核验；支持人脸在画面内持续动态跟踪；支持本地离线人脸比对功能；支持用户人脸数据下载及人脸识别双线程同步工作； </w:t>
            </w:r>
          </w:p>
        </w:tc>
      </w:tr>
      <w:tr>
        <w:trPr>
          <w:trHeight w:val="1181"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黑白名单设置；可识别未注册人员，并上报未注册人员照片信息到管理设备；人脸识别终端界面支持直观显示人脸识别结果，出现陌生人，照片等情况均会产生异常提示；在线状态下实时上传比对记录，可将人脸图像推送至手机微信端。</w:t>
            </w:r>
          </w:p>
        </w:tc>
      </w:tr>
      <w:tr>
        <w:trPr>
          <w:trHeight w:val="79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设备支持防假体攻击功能，对视频、电子照片、打印照片中的人脸应不能进行人脸识别。</w:t>
            </w:r>
          </w:p>
        </w:tc>
      </w:tr>
      <w:tr>
        <w:trPr>
          <w:trHeight w:val="496"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人脸识别、人证比对（需外接身份证阅读器）、刷卡（需外接读卡器）、二维码等认证方式，且支持以上任意一种、任意两种或三种组合认证开门；根据使用场景，认证开门方式还应包括：多重人脸认证开门。可设置设备人脸识别分时段控制；支持人员分组、分时段控制。支持直接关注微信服务号人脸注册和后台照片注册，一个角色需支持2张正面拍照图像。</w:t>
            </w:r>
          </w:p>
        </w:tc>
      </w:tr>
      <w:tr>
        <w:trPr>
          <w:trHeight w:val="1772"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支持访客预约，通过学校老师审核后可通过人脸识别或者二维码扫描直接进出宿舍；后台可查询统计访客记录及人脸图片；访客记录实时数据同步保安在岗人员移动端进行记录存档；</w:t>
            </w:r>
          </w:p>
        </w:tc>
      </w:tr>
      <w:tr>
        <w:trPr>
          <w:trHeight w:val="1567"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日志管理：能将识别日志存储于人脸识别单元中，并能形成识别记录以供查看，日志中包含：时间和现场截图。可远程重启设备；可显示设备的在线状态；可自定义闸机人脸识别终端的屏幕的位置属性；</w:t>
            </w:r>
          </w:p>
        </w:tc>
      </w:tr>
      <w:tr>
        <w:trPr>
          <w:trHeight w:val="1567"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人脸签到考勤支持实时大屏动态展示，实时显示正常进出、请假、晚归人员统计数，人员签到动态包含姓名、监控点名称、签到时间点，可分类显示比对成功人员、比对失败人员、陌生人、黑名单人员并显示不同的图标提示，支持自定义编辑提示语</w:t>
            </w:r>
          </w:p>
        </w:tc>
      </w:tr>
      <w:tr>
        <w:trPr>
          <w:trHeight w:val="1421"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设备支持节能功能，支持在没有用户使用时自动切换到待机状态，当物体靠近时自动唤醒待机设备，且唤醒距离可调节；</w:t>
            </w:r>
          </w:p>
        </w:tc>
      </w:tr>
      <w:tr>
        <w:trPr>
          <w:trHeight w:val="1571"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设备支持根据比对结果输出开关量信号；支持通过RS485协议或wiegand接口扩展读卡器；支持通过RS485协议扩展身份证阅读器；支持通过RS485协议或wiegand接口外接门禁主机等设备。</w:t>
            </w:r>
          </w:p>
        </w:tc>
      </w:tr>
      <w:tr>
        <w:trPr>
          <w:trHeight w:val="626"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800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支持学生考勤实时推送家长微信端，包括人脸照片、考勤时间；家长微信端支持提交请假功能。</w:t>
            </w:r>
          </w:p>
        </w:tc>
      </w:tr>
      <w:tr>
        <w:trPr>
          <w:trHeight w:val="424" w:hRule="atLeast"/>
        </w:trPr>
        <w:tc>
          <w:tcPr>
            <w:tcW w:w="9723"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30" w:name="_Toc24719912"/>
      <w:r>
        <w:rPr>
          <w:rFonts w:hint="eastAsia" w:ascii="宋体" w:hAnsi="宋体"/>
          <w:b/>
          <w:bCs/>
          <w:color w:val="000000"/>
          <w:kern w:val="44"/>
          <w:sz w:val="24"/>
          <w:szCs w:val="24"/>
          <w:lang w:val="en-US" w:eastAsia="zh-CN"/>
        </w:rPr>
        <w:t>附表16：</w:t>
      </w:r>
      <w:bookmarkEnd w:id="30"/>
      <w:r>
        <w:rPr>
          <w:rFonts w:hint="eastAsia" w:ascii="宋体" w:hAnsi="宋体"/>
          <w:b/>
          <w:bCs/>
          <w:color w:val="000000"/>
          <w:kern w:val="44"/>
          <w:sz w:val="24"/>
          <w:szCs w:val="24"/>
          <w:lang w:val="en-US" w:eastAsia="zh-CN"/>
        </w:rPr>
        <w:t>速通门左边道</w:t>
      </w:r>
    </w:p>
    <w:tbl>
      <w:tblPr>
        <w:tblW w:w="9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938"/>
        <w:gridCol w:w="7737"/>
      </w:tblGrid>
      <w:tr>
        <w:trPr>
          <w:trHeight w:val="669"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93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73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闸机通道功能应满足单通道反潜回、多通道跨主机反潜回的功能，当检测到任意一种反潜回报警时，除了联动语音播报、指示灯等警示外，有效防止非授权人员非法入侵。</w:t>
            </w:r>
          </w:p>
        </w:tc>
      </w:tr>
      <w:tr>
        <w:trPr>
          <w:trHeight w:val="1504"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73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闸机通道物理接口应满足同时可接入RS485 ，开门按钮接口不少于2个，报警输入接口不少于4个，报警输出接口不少于4个，电锁输出接口不少于2个，CAN接口不少于2个</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闸机通道采用厚度不低于1.2mm的不锈钢板材；通道应至少采用红外对红外对射，能在晴天、雨天等环境下稳定运行，不产生误报</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闸机通道应支持外接蓄电池，在紧急情况断电后可自动开门，同时支持蓄电池自动充电</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tc>
      </w:tr>
      <w:tr>
        <w:trPr>
          <w:trHeight w:val="90"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73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闸机通道门翼开/关速度至少支持10档可调，开门速度＜0.5 s</w:t>
            </w:r>
          </w:p>
        </w:tc>
      </w:tr>
      <w:tr>
        <w:trPr>
          <w:trHeight w:val="338"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闸机通道应支持翻越报警的功能，当检测到有人翻越时，可联动语音播报、指示灯等警示.</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闸机通道应支持滞留报警、反向闯入报警、通行超时报警、误闯报警等功能，除了联动语音播报、指示灯等警示.</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闸机通道应支持防尾随功能，在通道中同时通行人数超过允许通行的人数时，除了联动语音播报、指示灯等警示外.</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闸机通道应具有消防联动接口，当消防信号触发时，门翼处于常开状态，当消防联动信号恢复时，门翼将自动复位</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闸机通道工作瞬间最大噪声声压不大于62dB(A)，持续噪声声压不大于56dB(A)</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闸机通道应为摆闸箱体，门翼可以选择采用亚克力或不锈钢材质，箱体尺寸：长≥1200mm，宽≤200mm，高≥990mm</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闸机通道应支持集成读卡器、身份证阅读器、二维码、人脸识别组件、指纹、指静脉、显示屏等设备集成，实现多种认证方式组合使用</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闸机通道外壳对外界机械碰撞的防护等级最薄弱处不低于IK05要求，其他表面不低于IK07要求</w:t>
            </w:r>
          </w:p>
        </w:tc>
      </w:tr>
      <w:tr>
        <w:trPr>
          <w:trHeight w:val="345" w:hRule="atLeast"/>
        </w:trPr>
        <w:tc>
          <w:tcPr>
            <w:tcW w:w="9615"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附表17：速通门右边道</w:t>
      </w:r>
    </w:p>
    <w:tbl>
      <w:tblPr>
        <w:tblW w:w="9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938"/>
        <w:gridCol w:w="7737"/>
      </w:tblGrid>
      <w:tr>
        <w:trPr>
          <w:trHeight w:val="669"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93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73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闸机通道功能应满足单通道反潜回、多通道跨主机反潜回的功能，当检测到任意一种反潜回报警时，除了联动语音播报、指示灯等警示外，有效防止非授权人员非法入侵。</w:t>
            </w:r>
          </w:p>
        </w:tc>
      </w:tr>
      <w:tr>
        <w:trPr>
          <w:trHeight w:val="1504"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73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闸机通道物理接口应满足同时可接入RS485 ，开门按钮接口不少于2个，报警输入接口不少于4个，报警输出接口不少于4个，电锁输出接口不少于2个，CAN接口不少于2个</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闸机通道采用厚度不低于1.5mm的不锈钢板材；通道应至少采用红外对红外对射，能在晴天、雨天等环境下稳定运行，不产生误报</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闸机通道应支持外接蓄电池，在紧急情况断电后可自动开门，同时支持蓄电池自动充电</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tc>
      </w:tr>
      <w:tr>
        <w:trPr>
          <w:trHeight w:val="821"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闸机通道门翼开/关速度至少支持10档可调，开门速度＜0.5 s</w:t>
            </w:r>
          </w:p>
        </w:tc>
      </w:tr>
      <w:tr>
        <w:trPr>
          <w:trHeight w:val="338"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闸机通道应支持翻越报警的功能，当检测到有人翻越时，可联动语音播报、指示灯等警示.</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闸机通道应支持滞留报警、反向闯入报警、通行超时报警、误闯报警等功能，除了联动语音播报、指示灯等警示.</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闸机通道应支持防尾随功能，在通道中同时通行人数超过允许通行的人数时，除了联动语音播报、指示灯等警示外.</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闸机通道应具有消防联动接口，当消防信号触发时，门翼处于常开状态，当消防联动信号恢复时，门翼将自动复位</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闸机通道工作瞬间最大噪声声压不大于62dB(A)，持续噪声声压不大于56dB(A)</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闸机通道应为摆闸箱体，门翼可以选择采用亚克力或不锈钢材质，箱体尺寸：长≥1200mm，宽≤200mm，高≥990mm</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闸机通道应支持集成读卡器、身份证阅读器、二维码、人脸识别组件、指纹、指静脉、显示屏等设备集成，实现多种认证方式组合使用</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闸机通道外壳对外界机械碰撞的防护等级最薄弱处不低于IK05要求，其他表面不低于IK07要求</w:t>
            </w:r>
          </w:p>
        </w:tc>
      </w:tr>
      <w:tr>
        <w:trPr>
          <w:trHeight w:val="345" w:hRule="atLeast"/>
        </w:trPr>
        <w:tc>
          <w:tcPr>
            <w:tcW w:w="9615"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附表18：速通门中间道</w:t>
      </w:r>
    </w:p>
    <w:tbl>
      <w:tblPr>
        <w:tblW w:w="9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938"/>
        <w:gridCol w:w="7737"/>
      </w:tblGrid>
      <w:tr>
        <w:trPr>
          <w:trHeight w:val="669"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93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73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闸机通道功能应满足单通道反潜回、多通道跨主机反潜回的功能，当检测到任意一种反潜回报警时，除了联动语音播报、指示灯等警示外，有效防止非授权人员非法入侵。</w:t>
            </w:r>
          </w:p>
        </w:tc>
      </w:tr>
      <w:tr>
        <w:trPr>
          <w:trHeight w:val="1504"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73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闸机通道物理接口应满足同时可接入RS485 ，开门按钮接口不少于2个，报警输入接口不少于4个，报警输出接口不少于4个，电锁输出接口不少于2个，CAN接口不少于2个</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闸机通道采用厚度不低于1.5mm的不锈钢板材；通道应至少采用红外对红外对射，能在晴天、雨天等环境下稳定运行，不产生误报</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闸机通道应支持外接蓄电池，在紧急情况断电后可自动开门，同时支持蓄电池自动充电</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tc>
      </w:tr>
      <w:tr>
        <w:trPr>
          <w:trHeight w:val="780"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73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闸机通道门翼开/关速度至少支持10档可调，开门速度＜0.5 s</w:t>
            </w:r>
          </w:p>
        </w:tc>
      </w:tr>
      <w:tr>
        <w:trPr>
          <w:trHeight w:val="338"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闸机通道应支持翻越报警的功能，当检测到有人翻越时，可联动语音播报、指示灯等警示.</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闸机通道应支持滞留报警、反向闯入报警、通行超时报警、误闯报警等功能，除了联动语音播报、指示灯等警示.</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闸机通道应支持防尾随功能，在通道中同时通行人数超过允许通行的人数时，除了联动语音播报、指示灯等警示外.</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闸机通道应具有消防联动接口，当消防信号触发时，门翼处于常开状态，当消防联动信号恢复时，门翼将自动复位</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闸机通道工作瞬间最大噪声声压不大于62dB(A)，持续噪声声压不大于56dB(A)</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闸机通道应为摆闸箱体，门翼可以选择采用亚克力或不锈钢材质，箱体尺寸：长≥1200mm，宽≤200mm，高≥990mm</w:t>
            </w:r>
          </w:p>
        </w:tc>
      </w:tr>
      <w:tr>
        <w:trPr>
          <w:trHeight w:val="66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闸机通道应支持集成读卡器、身份证阅读器、二维码、人脸识别组件、指纹、指静脉、显示屏等设备集成，实现多种认证方式组合使用</w:t>
            </w:r>
          </w:p>
        </w:tc>
      </w:tr>
      <w:tr>
        <w:trPr>
          <w:trHeight w:val="999" w:hRule="atLeast"/>
        </w:trPr>
        <w:tc>
          <w:tcPr>
            <w:tcW w:w="940"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93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7737"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闸机通道外壳对外界机械碰撞的防护等级最薄弱处不低于IK05要求，其他表面不低于IK07要求</w:t>
            </w:r>
          </w:p>
        </w:tc>
      </w:tr>
      <w:tr>
        <w:trPr>
          <w:trHeight w:val="345" w:hRule="atLeast"/>
        </w:trPr>
        <w:tc>
          <w:tcPr>
            <w:tcW w:w="9615"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附表19：USB摄像机</w:t>
      </w:r>
    </w:p>
    <w:tbl>
      <w:tblPr>
        <w:tblW w:w="9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785"/>
        <w:gridCol w:w="7936"/>
      </w:tblGrid>
      <w:tr>
        <w:trPr>
          <w:trHeight w:val="730" w:hRule="atLeast"/>
        </w:trPr>
        <w:tc>
          <w:tcPr>
            <w:tcW w:w="90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8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3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369" w:hRule="atLeast"/>
        </w:trPr>
        <w:tc>
          <w:tcPr>
            <w:tcW w:w="90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8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3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采用200万高性能逐行扫描CMOS</w:t>
            </w:r>
          </w:p>
        </w:tc>
      </w:tr>
      <w:tr>
        <w:trPr>
          <w:trHeight w:val="471" w:hRule="atLeast"/>
        </w:trPr>
        <w:tc>
          <w:tcPr>
            <w:tcW w:w="90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8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93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图像清晰、细腻,分辨率达1080p</w:t>
            </w:r>
          </w:p>
        </w:tc>
      </w:tr>
      <w:tr>
        <w:trPr>
          <w:trHeight w:val="369" w:hRule="atLeast"/>
        </w:trPr>
        <w:tc>
          <w:tcPr>
            <w:tcW w:w="90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8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93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低照度,0.1Lux @(F1.2,AGC ON) </w:t>
            </w:r>
          </w:p>
        </w:tc>
      </w:tr>
      <w:tr>
        <w:trPr>
          <w:trHeight w:val="369" w:hRule="atLeast"/>
        </w:trPr>
        <w:tc>
          <w:tcPr>
            <w:tcW w:w="90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8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93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支持自动电子快门功能,适应不同监控环境</w:t>
            </w:r>
          </w:p>
        </w:tc>
      </w:tr>
      <w:tr>
        <w:trPr>
          <w:trHeight w:val="730" w:hRule="atLeast"/>
        </w:trPr>
        <w:tc>
          <w:tcPr>
            <w:tcW w:w="90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8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93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支持自动电子增益功能,亮度自适应</w:t>
            </w:r>
            <w:r>
              <w:rPr>
                <w:rFonts w:hint="eastAsia" w:ascii="宋体" w:hAnsi="宋体" w:cs="Calibri"/>
                <w:b w:val="0"/>
                <w:bCs w:val="0"/>
                <w:color w:val="000000"/>
                <w:kern w:val="44"/>
                <w:sz w:val="24"/>
                <w:szCs w:val="24"/>
                <w:lang w:val="en-US" w:eastAsia="zh-CN"/>
              </w:rPr>
              <w:cr/>
            </w:r>
            <w:r>
              <w:rPr>
                <w:rFonts w:hint="eastAsia" w:ascii="宋体" w:hAnsi="宋体" w:cs="Calibri"/>
                <w:b w:val="0"/>
                <w:bCs w:val="0"/>
                <w:color w:val="000000"/>
                <w:kern w:val="44"/>
                <w:sz w:val="24"/>
                <w:szCs w:val="24"/>
                <w:lang w:val="en-US" w:eastAsia="zh-CN"/>
              </w:rPr>
              <w:t>支持标准USB 2.0接口，免驱设计，即插即用</w:t>
            </w:r>
          </w:p>
        </w:tc>
      </w:tr>
      <w:tr>
        <w:trPr>
          <w:trHeight w:val="369" w:hRule="atLeast"/>
        </w:trPr>
        <w:tc>
          <w:tcPr>
            <w:tcW w:w="90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85"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93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可支持windows和安卓系统 </w:t>
            </w:r>
          </w:p>
        </w:tc>
      </w:tr>
      <w:tr>
        <w:trPr>
          <w:trHeight w:val="392" w:hRule="atLeast"/>
        </w:trPr>
        <w:tc>
          <w:tcPr>
            <w:tcW w:w="9627"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31" w:name="_Toc24719915"/>
      <w:r>
        <w:rPr>
          <w:rFonts w:hint="eastAsia" w:ascii="宋体" w:hAnsi="宋体"/>
          <w:b/>
          <w:bCs/>
          <w:color w:val="000000"/>
          <w:kern w:val="44"/>
          <w:sz w:val="24"/>
          <w:szCs w:val="24"/>
          <w:lang w:val="en-US" w:eastAsia="zh-CN"/>
        </w:rPr>
        <w:t>附表20：</w:t>
      </w:r>
      <w:bookmarkEnd w:id="31"/>
      <w:r>
        <w:rPr>
          <w:rFonts w:hint="eastAsia" w:ascii="宋体" w:hAnsi="宋体"/>
          <w:b/>
          <w:bCs/>
          <w:color w:val="000000"/>
          <w:kern w:val="44"/>
          <w:sz w:val="24"/>
          <w:szCs w:val="24"/>
          <w:lang w:val="en-US" w:eastAsia="zh-CN"/>
        </w:rPr>
        <w:t>通道专用遥控器</w:t>
      </w:r>
    </w:p>
    <w:tbl>
      <w:tblPr>
        <w:tblW w:w="951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802"/>
        <w:gridCol w:w="7915"/>
      </w:tblGrid>
      <w:tr>
        <w:trPr>
          <w:trHeight w:val="270" w:hRule="atLeast"/>
        </w:trPr>
        <w:tc>
          <w:tcPr>
            <w:tcW w:w="802" w:type="dxa"/>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2" w:type="dxa"/>
            <w:tcBorders>
              <w:top w:val="single" w:color="auto" w:sz="4" w:space="0"/>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15" w:type="dxa"/>
            <w:tcBorders>
              <w:top w:val="single" w:color="auto" w:sz="4" w:space="0"/>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64" w:hRule="atLeast"/>
        </w:trPr>
        <w:tc>
          <w:tcPr>
            <w:tcW w:w="80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2"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支持开门后自动关门，时间可设、常开、取消常开；</w:t>
            </w:r>
            <w:r>
              <w:rPr>
                <w:rFonts w:hint="eastAsia" w:ascii="宋体" w:hAnsi="宋体" w:cs="Calibri"/>
                <w:b w:val="0"/>
                <w:bCs w:val="0"/>
                <w:color w:val="000000"/>
                <w:kern w:val="44"/>
                <w:sz w:val="24"/>
                <w:szCs w:val="24"/>
                <w:lang w:val="en-US" w:eastAsia="zh-CN"/>
              </w:rPr>
              <w:br/>
            </w:r>
            <w:r>
              <w:rPr>
                <w:rFonts w:hint="eastAsia" w:ascii="宋体" w:hAnsi="宋体" w:cs="Calibri"/>
                <w:b w:val="0"/>
                <w:bCs w:val="0"/>
                <w:color w:val="000000"/>
                <w:kern w:val="44"/>
                <w:sz w:val="24"/>
                <w:szCs w:val="24"/>
                <w:lang w:val="en-US" w:eastAsia="zh-CN"/>
              </w:rPr>
              <w:t>发射频率：433MHz；</w:t>
            </w:r>
          </w:p>
        </w:tc>
      </w:tr>
      <w:tr>
        <w:trPr>
          <w:trHeight w:val="142" w:hRule="atLeast"/>
        </w:trPr>
        <w:tc>
          <w:tcPr>
            <w:tcW w:w="9519"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32" w:name="_Toc24719916"/>
      <w:r>
        <w:rPr>
          <w:rFonts w:hint="eastAsia" w:ascii="宋体" w:hAnsi="宋体"/>
          <w:b/>
          <w:bCs/>
          <w:color w:val="000000"/>
          <w:kern w:val="44"/>
          <w:sz w:val="24"/>
          <w:szCs w:val="24"/>
          <w:lang w:val="en-US" w:eastAsia="zh-CN"/>
        </w:rPr>
        <w:t>附表21：</w:t>
      </w:r>
      <w:bookmarkEnd w:id="32"/>
      <w:r>
        <w:rPr>
          <w:rFonts w:hint="eastAsia" w:ascii="宋体" w:hAnsi="宋体"/>
          <w:b/>
          <w:bCs/>
          <w:color w:val="000000"/>
          <w:kern w:val="44"/>
          <w:sz w:val="24"/>
          <w:szCs w:val="24"/>
          <w:lang w:val="en-US" w:eastAsia="zh-CN"/>
        </w:rPr>
        <w:t>400万智能人脸抓拍机</w:t>
      </w:r>
    </w:p>
    <w:tbl>
      <w:tblPr>
        <w:tblW w:w="9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797"/>
        <w:gridCol w:w="8115"/>
      </w:tblGrid>
      <w:tr>
        <w:trPr>
          <w:trHeight w:val="349" w:hRule="atLeast"/>
        </w:trPr>
        <w:tc>
          <w:tcPr>
            <w:tcW w:w="9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11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53" w:hRule="atLeast"/>
        </w:trPr>
        <w:tc>
          <w:tcPr>
            <w:tcW w:w="91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具有400万像素 CMOS传感器。</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具有不小于1/1.8"靶面尺寸。（公安部检验报告证明）</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支持检出两眼瞳距40像素点以上的人脸图片。</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支持单场景同时检出不少于30张人脸图片，并支持面部跟踪。</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像元尺寸不小于2.9um×2.9um。（公安部检验报告证明）</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人脸检出率不小于99%。</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内置芯片。（公安部检验报告证明）</w:t>
            </w:r>
          </w:p>
        </w:tc>
      </w:tr>
      <w:tr>
        <w:trPr>
          <w:trHeight w:val="34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最低照度彩色不大于0.0002 lx，黑白不大于0.0001 lx。（公安部检验报告证明）</w:t>
            </w:r>
          </w:p>
        </w:tc>
      </w:tr>
      <w:tr>
        <w:trPr>
          <w:trHeight w:val="521"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支持透雾自动切换功能，当检测到雾的浓度达到设定的阈值时，可自动在算法透雾和光学透雾之间进行切换。（公安部检验报告证明）</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宽动态能力不小于120dB。</w:t>
            </w:r>
          </w:p>
        </w:tc>
      </w:tr>
      <w:tr>
        <w:trPr>
          <w:trHeight w:val="34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支持人脸区域自动曝光功能，可根据外部不同场景和光照变化自动调节人脸区域曝光参数。</w:t>
            </w:r>
          </w:p>
        </w:tc>
      </w:tr>
      <w:tr>
        <w:trPr>
          <w:trHeight w:val="34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同一场景相同图像质量下，将设备视频编解码格式设置为H.265，开启智能功能与未开启智能功能相比，码率可节约1/2。</w:t>
            </w:r>
          </w:p>
        </w:tc>
      </w:tr>
      <w:tr>
        <w:trPr>
          <w:trHeight w:val="34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支持对存储卡进行读写锁定，锁定后的存储卡在移动终端需要密码才能访问。（公安部检验报告证明）</w:t>
            </w:r>
          </w:p>
        </w:tc>
      </w:tr>
      <w:tr>
        <w:trPr>
          <w:trHeight w:val="214"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7"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14</w:t>
            </w:r>
          </w:p>
        </w:tc>
        <w:tc>
          <w:tcPr>
            <w:tcW w:w="811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在同一客户端上，可最多同时开启22个视频窗口进行画面预览。</w:t>
            </w:r>
          </w:p>
        </w:tc>
      </w:tr>
      <w:tr>
        <w:trPr>
          <w:trHeight w:val="180" w:hRule="atLeast"/>
        </w:trPr>
        <w:tc>
          <w:tcPr>
            <w:tcW w:w="9828"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bookmarkStart w:id="33" w:name="_Toc24719917"/>
      <w:r>
        <w:rPr>
          <w:rFonts w:hint="eastAsia" w:ascii="宋体" w:hAnsi="宋体"/>
          <w:b/>
          <w:bCs/>
          <w:color w:val="000000"/>
          <w:kern w:val="44"/>
          <w:sz w:val="24"/>
          <w:szCs w:val="24"/>
          <w:lang w:val="en-US" w:eastAsia="zh-CN"/>
        </w:rPr>
        <w:t>附表22：智能周界防范、人脸识别一体机</w:t>
      </w:r>
      <w:bookmarkEnd w:id="33"/>
    </w:p>
    <w:tbl>
      <w:tblPr>
        <w:tblW w:w="9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
        <w:gridCol w:w="1007"/>
        <w:gridCol w:w="7894"/>
      </w:tblGrid>
      <w:tr>
        <w:trPr>
          <w:trHeight w:val="754"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127"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支持抓拍库人员频次统计实时报警功能，对指定时间段内反复出现达到一定次数的抓拍人员进行报警（以公安部检测报告为准）</w:t>
            </w:r>
          </w:p>
        </w:tc>
      </w:tr>
      <w:tr>
        <w:trPr>
          <w:trHeight w:val="2245"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人脸签到考勤支持实时动态展示，可以自定义展示界面的主题，预览视频和签到动态同屏显示，预览视频支持1分屏、2分屏、4分屏，签到动态支持1视图、4视图、9视图，签到动态包含姓名、注册库名称、监控点名称、签到时间点，可分类显示比对成功人员、比对失败人员、陌生人、高频人员并显示不同的图标提示，支持自定义编辑提示语</w:t>
            </w:r>
          </w:p>
        </w:tc>
      </w:tr>
      <w:tr>
        <w:trPr>
          <w:trHeight w:val="1499"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按照姓名、人脸属性（性别、年龄段、戴眼镜、表情、戴口罩等）检索人脸抓拍图片；人脸检索结果支持导出电子表格，包括抓拍图、背景图和人员信息。支持对搜索结果二次检索。（以公安部检测报告为准）</w:t>
            </w:r>
          </w:p>
        </w:tc>
      </w:tr>
      <w:tr>
        <w:trPr>
          <w:trHeight w:val="488"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8路人脸以图搜图功能，可从外部、人脸库、人脸检索结果、人员频次分析结果导入最多10张人脸样本照片，并设置相似度（0-100），检索出符合相似度的人脸图片，可查看人脸背景图片、回放关联录像并导出人脸图片；支持按通道、时间检索人脸抓拍图片，支持将检索结果中的人脸图片添加到人脸库；支持检索人脸比对报警、陌生人报警图片，可查看到人脸抓拍图片、人脸库图片，以及姓名、性别、联系方式、证件类型、证件号、生日、省份、城市、年龄段、戴眼镜、表情、戴口罩、自定义标签等人员信息（以公安部检测报告为准）</w:t>
            </w:r>
          </w:p>
        </w:tc>
      </w:tr>
      <w:tr>
        <w:trPr>
          <w:trHeight w:val="1499"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人脸签到、考勤，可导出指定时间段签到、考勤报表，报表包含所有注册人员出勤、签到状态（正常、迟到、早退、旷工、已签到、未签到等），包含签到、考勤时间点。支持自动统计总人数、已签到人数、未签到人数。可查询所有注册人员出勤、签到记录，记录支持列表、月历两种方式呈现（以公安部检测报告为准）</w:t>
            </w:r>
          </w:p>
        </w:tc>
      </w:tr>
      <w:tr>
        <w:trPr>
          <w:trHeight w:val="2245"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人脸库管理：支持新建、删除、修改、查询、复制人脸库，可通过U盘、web端、客户端软件或批量导入工具进行单张、批量导入导出人脸图片；支持32个人脸库，库容10万张人脸图片；人脸图片支持姓名、性别、联系方式、证件类型、证件号、生日、省、市、建模状态等属性；人脸库查询结果支持列表、图表2种展示方式；支持人脸库整库加密导入导出</w:t>
            </w:r>
          </w:p>
        </w:tc>
      </w:tr>
      <w:tr>
        <w:trPr>
          <w:trHeight w:val="381"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可接入AI硬盘（以公安部检测报告为准）</w:t>
            </w:r>
          </w:p>
        </w:tc>
      </w:tr>
      <w:tr>
        <w:trPr>
          <w:trHeight w:val="754"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支持通过远程预览加密，只有输入秘钥才能解开视频；并支持码流AES加密（以公安部检测报告为准）</w:t>
            </w:r>
          </w:p>
        </w:tc>
      </w:tr>
      <w:tr>
        <w:trPr>
          <w:trHeight w:val="1127"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支持对重要的数据能够进行备份，备份格式MP4和AVI可选，支持实时监测并显示系统正在进行的录像备份任务，可查看剩余录像大小、剩余时间、备份进度百分比和进度条</w:t>
            </w:r>
          </w:p>
        </w:tc>
      </w:tr>
      <w:tr>
        <w:trPr>
          <w:trHeight w:val="381"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支持4路视频流人脸识别和8路图片流人脸识别</w:t>
            </w:r>
          </w:p>
        </w:tc>
      </w:tr>
      <w:tr>
        <w:trPr>
          <w:trHeight w:val="1127"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支持周界报警去误报功能，对IPC上报的越界侦测报警和区域入侵报警进行去误报，可去除由树叶、车辆、小动物等引起的误报，最大支持8路（以公安部检测报告为准）</w:t>
            </w:r>
          </w:p>
        </w:tc>
      </w:tr>
      <w:tr>
        <w:trPr>
          <w:trHeight w:val="754"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支持8个SATA接口，1个eSATA接口，支持2个USB2.0，1个USB3.0接口；支持16路报警输入，8路报警输出接口</w:t>
            </w:r>
          </w:p>
        </w:tc>
      </w:tr>
      <w:tr>
        <w:trPr>
          <w:trHeight w:val="381"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100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8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支持8路实时人脸布控</w:t>
            </w:r>
          </w:p>
        </w:tc>
      </w:tr>
      <w:tr>
        <w:trPr>
          <w:trHeight w:val="389" w:hRule="atLeast"/>
        </w:trPr>
        <w:tc>
          <w:tcPr>
            <w:tcW w:w="9806"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附表23：</w:t>
      </w:r>
      <w:bookmarkEnd w:id="28"/>
      <w:r>
        <w:rPr>
          <w:rFonts w:hint="eastAsia" w:ascii="宋体" w:hAnsi="宋体"/>
          <w:b/>
          <w:bCs/>
          <w:color w:val="000000"/>
          <w:kern w:val="44"/>
          <w:sz w:val="24"/>
          <w:szCs w:val="24"/>
          <w:lang w:val="en-US" w:eastAsia="zh-CN"/>
        </w:rPr>
        <w:t>网络硬盘录像机</w:t>
      </w:r>
    </w:p>
    <w:tbl>
      <w:tblPr>
        <w:tblW w:w="9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
        <w:gridCol w:w="814"/>
        <w:gridCol w:w="8046"/>
      </w:tblGrid>
      <w:tr>
        <w:trPr>
          <w:trHeight w:val="885"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1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4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323" w:hRule="atLeast"/>
        </w:trPr>
        <w:tc>
          <w:tcPr>
            <w:tcW w:w="93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配合前端接入的智能摄像机，可在客户端视频画面上显示叠加的智能分析规则框，智能分析规则框大小和数量可随目标大小和数量自动调整，并随目标消失而消失（以公安部检测报告为准）</w:t>
            </w:r>
          </w:p>
        </w:tc>
      </w:tr>
      <w:tr>
        <w:trPr>
          <w:trHeight w:val="893" w:hRule="atLeast"/>
        </w:trPr>
        <w:tc>
          <w:tcPr>
            <w:tcW w:w="93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以公安部检测报告为准）</w:t>
            </w:r>
          </w:p>
        </w:tc>
      </w:tr>
      <w:tr>
        <w:trPr>
          <w:trHeight w:val="276" w:hRule="atLeast"/>
        </w:trPr>
        <w:tc>
          <w:tcPr>
            <w:tcW w:w="93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tc>
      </w:tr>
      <w:tr>
        <w:trPr>
          <w:trHeight w:val="448" w:hRule="atLeast"/>
        </w:trPr>
        <w:tc>
          <w:tcPr>
            <w:tcW w:w="938"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NVR总资源为满负载条件下的最大接入带宽640Mbps、最大存储带宽640Mbps、最大转发带宽640Mbps、最大回放带宽640Mbps。最大接入路数64路（以公安部检测报告为准）</w:t>
            </w:r>
          </w:p>
        </w:tc>
      </w:tr>
      <w:tr>
        <w:trPr>
          <w:trHeight w:val="978" w:hRule="atLeast"/>
        </w:trPr>
        <w:tc>
          <w:tcPr>
            <w:tcW w:w="93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4" w:type="dxa"/>
            <w:tcBorders>
              <w:top w:val="nil"/>
              <w:left w:val="nil"/>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支持按年龄、性别、眼镜、上衣颜色、骑车、背包属性分组显示人员录像文件</w:t>
            </w:r>
          </w:p>
        </w:tc>
      </w:tr>
      <w:tr>
        <w:trPr>
          <w:trHeight w:val="885" w:hRule="atLeast"/>
        </w:trPr>
        <w:tc>
          <w:tcPr>
            <w:tcW w:w="938"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1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具有2个HDMI接口、2个VGA接口、2个RJ45网络接口、2个USB2.0接口、1个USB3.0接口、16路报警输入接口、6路报警输出接口，可内置16块SATA接口硬盘</w:t>
            </w:r>
          </w:p>
        </w:tc>
      </w:tr>
      <w:tr>
        <w:trPr>
          <w:trHeight w:val="1323" w:hRule="atLeast"/>
        </w:trPr>
        <w:tc>
          <w:tcPr>
            <w:tcW w:w="93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tc>
      </w:tr>
      <w:tr>
        <w:trPr>
          <w:trHeight w:val="1323" w:hRule="atLeast"/>
        </w:trPr>
        <w:tc>
          <w:tcPr>
            <w:tcW w:w="93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highlight w:val="none"/>
                <w:lang w:val="en-US" w:eastAsia="zh-CN"/>
              </w:rPr>
            </w:pPr>
          </w:p>
        </w:tc>
        <w:tc>
          <w:tcPr>
            <w:tcW w:w="814" w:type="dxa"/>
            <w:tcBorders>
              <w:top w:val="nil"/>
              <w:left w:val="nil"/>
              <w:bottom w:val="single" w:color="auto" w:sz="4" w:space="0"/>
              <w:right w:val="single" w:color="auto" w:sz="4" w:space="0"/>
            </w:tcBorders>
            <w:vAlign w:val="center"/>
          </w:tcPr>
          <w:p>
            <w:pPr>
              <w:pStyle w:val="45"/>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8046" w:type="dxa"/>
            <w:tcBorders>
              <w:top w:val="nil"/>
              <w:left w:val="nil"/>
              <w:bottom w:val="single" w:color="auto" w:sz="4" w:space="0"/>
              <w:right w:val="single" w:color="auto" w:sz="4" w:space="0"/>
            </w:tcBorders>
            <w:vAlign w:val="center"/>
          </w:tcPr>
          <w:p>
            <w:pPr>
              <w:pStyle w:val="45"/>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投标单位硬盘数量如大于招标文件要求，且现有硬盘录像机槽位不够，需无偿增加</w:t>
            </w:r>
            <w:r>
              <w:rPr>
                <w:rFonts w:hint="eastAsia" w:ascii="宋体" w:hAnsi="宋体" w:cs="宋体"/>
                <w:color w:val="auto"/>
                <w:kern w:val="0"/>
                <w:sz w:val="24"/>
                <w:szCs w:val="24"/>
                <w:highlight w:val="none"/>
                <w:lang w:eastAsia="zh-CN"/>
              </w:rPr>
              <w:t>关联的</w:t>
            </w:r>
            <w:r>
              <w:rPr>
                <w:rFonts w:hint="eastAsia" w:ascii="宋体" w:hAnsi="宋体" w:cs="宋体"/>
                <w:color w:val="auto"/>
                <w:kern w:val="0"/>
                <w:sz w:val="24"/>
                <w:szCs w:val="24"/>
                <w:highlight w:val="none"/>
              </w:rPr>
              <w:t>硬盘录像机，型号按照投标单位投标产品提供</w:t>
            </w:r>
          </w:p>
        </w:tc>
      </w:tr>
      <w:tr>
        <w:trPr>
          <w:trHeight w:val="476" w:hRule="atLeast"/>
        </w:trPr>
        <w:tc>
          <w:tcPr>
            <w:tcW w:w="9798"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highlight w:val="none"/>
                <w:lang w:val="en-US" w:eastAsia="zh-CN"/>
              </w:rPr>
            </w:pPr>
            <w:r>
              <w:rPr>
                <w:rFonts w:hint="eastAsia" w:ascii="宋体" w:hAnsi="宋体" w:cs="Calibri"/>
                <w:b w:val="0"/>
                <w:bCs w:val="0"/>
                <w:color w:val="000000"/>
                <w:kern w:val="44"/>
                <w:sz w:val="24"/>
                <w:szCs w:val="24"/>
                <w:highlight w:val="none"/>
                <w:lang w:val="en-US" w:eastAsia="zh-CN"/>
              </w:rPr>
              <w:t>注：“参数性质”标“*”表示此参数为主要技术参数。</w:t>
            </w:r>
          </w:p>
        </w:tc>
      </w:tr>
    </w:tbl>
    <w:p>
      <w:pPr>
        <w:jc w:val="both"/>
        <w:outlineLvl w:val="0"/>
        <w:rPr>
          <w:rFonts w:hint="eastAsia" w:ascii="宋体" w:hAnsi="宋体"/>
          <w:b/>
          <w:bCs/>
          <w:color w:val="000000"/>
          <w:kern w:val="44"/>
          <w:sz w:val="24"/>
          <w:szCs w:val="24"/>
          <w:highlight w:val="none"/>
          <w:lang w:val="en-US" w:eastAsia="zh-CN"/>
        </w:rPr>
      </w:pPr>
      <w:bookmarkStart w:id="34" w:name="_Toc24719918"/>
      <w:bookmarkStart w:id="35" w:name="_Toc24719908"/>
      <w:r>
        <w:rPr>
          <w:rFonts w:hint="eastAsia" w:ascii="宋体" w:hAnsi="宋体"/>
          <w:b/>
          <w:bCs/>
          <w:color w:val="000000"/>
          <w:kern w:val="44"/>
          <w:sz w:val="24"/>
          <w:szCs w:val="24"/>
          <w:highlight w:val="none"/>
          <w:lang w:val="en-US" w:eastAsia="zh-CN"/>
        </w:rPr>
        <w:t>附表24：监控级硬盘</w:t>
      </w:r>
    </w:p>
    <w:tbl>
      <w:tblPr>
        <w:tblW w:w="9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795"/>
        <w:gridCol w:w="8087"/>
      </w:tblGrid>
      <w:tr>
        <w:trPr>
          <w:trHeight w:val="26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highlight w:val="none"/>
                <w:lang w:val="en-US" w:eastAsia="zh-CN"/>
              </w:rPr>
            </w:pPr>
            <w:r>
              <w:rPr>
                <w:rFonts w:hint="eastAsia" w:ascii="宋体" w:hAnsi="宋体" w:cs="Calibri"/>
                <w:b w:val="0"/>
                <w:bCs w:val="0"/>
                <w:color w:val="000000"/>
                <w:kern w:val="44"/>
                <w:sz w:val="24"/>
                <w:szCs w:val="24"/>
                <w:highlight w:val="none"/>
                <w:lang w:val="en-US" w:eastAsia="zh-CN"/>
              </w:rPr>
              <w:t>参数性质</w:t>
            </w:r>
          </w:p>
        </w:tc>
        <w:tc>
          <w:tcPr>
            <w:tcW w:w="79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highlight w:val="none"/>
                <w:lang w:val="en-US" w:eastAsia="zh-CN"/>
              </w:rPr>
            </w:pPr>
            <w:r>
              <w:rPr>
                <w:rFonts w:hint="eastAsia" w:ascii="宋体" w:hAnsi="宋体" w:cs="Calibri"/>
                <w:b w:val="0"/>
                <w:bCs w:val="0"/>
                <w:color w:val="000000"/>
                <w:kern w:val="44"/>
                <w:sz w:val="24"/>
                <w:szCs w:val="24"/>
                <w:highlight w:val="none"/>
                <w:lang w:val="en-US" w:eastAsia="zh-CN"/>
              </w:rPr>
              <w:t>编号</w:t>
            </w:r>
          </w:p>
        </w:tc>
        <w:tc>
          <w:tcPr>
            <w:tcW w:w="808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highlight w:val="none"/>
                <w:lang w:val="en-US" w:eastAsia="zh-CN"/>
              </w:rPr>
            </w:pPr>
            <w:r>
              <w:rPr>
                <w:rFonts w:hint="eastAsia" w:ascii="宋体" w:hAnsi="宋体" w:cs="Calibri"/>
                <w:b w:val="0"/>
                <w:bCs w:val="0"/>
                <w:color w:val="000000"/>
                <w:kern w:val="44"/>
                <w:sz w:val="24"/>
                <w:szCs w:val="24"/>
                <w:highlight w:val="none"/>
                <w:lang w:val="en-US" w:eastAsia="zh-CN"/>
              </w:rPr>
              <w:t>技术参数和性能指标</w:t>
            </w:r>
          </w:p>
        </w:tc>
      </w:tr>
      <w:tr>
        <w:trPr>
          <w:trHeight w:val="261" w:hRule="atLeast"/>
        </w:trPr>
        <w:tc>
          <w:tcPr>
            <w:tcW w:w="915"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highlight w:val="none"/>
                <w:lang w:val="en-US" w:eastAsia="zh-CN"/>
              </w:rPr>
            </w:pPr>
          </w:p>
        </w:tc>
        <w:tc>
          <w:tcPr>
            <w:tcW w:w="795" w:type="dxa"/>
            <w:tcBorders>
              <w:top w:val="nil"/>
              <w:left w:val="nil"/>
              <w:bottom w:val="single" w:color="auto" w:sz="4" w:space="0"/>
              <w:right w:val="single" w:color="auto" w:sz="4" w:space="0"/>
            </w:tcBorders>
            <w:vAlign w:val="center"/>
          </w:tcPr>
          <w:p>
            <w:pPr>
              <w:pStyle w:val="45"/>
              <w:widowControl/>
              <w:spacing w:before="0" w:beforeAutospacing="0" w:after="0" w:afterAutospacing="0" w:line="360" w:lineRule="auto"/>
              <w:ind w:left="0" w:right="0"/>
              <w:jc w:val="center"/>
              <w:rPr>
                <w:rFonts w:hint="eastAsia" w:ascii="宋体" w:hAnsi="宋体" w:cs="Calibri"/>
                <w:b w:val="0"/>
                <w:bCs w:val="0"/>
                <w:color w:val="auto"/>
                <w:kern w:val="44"/>
                <w:sz w:val="24"/>
                <w:szCs w:val="24"/>
                <w:highlight w:val="none"/>
                <w:lang w:val="en-US" w:eastAsia="zh-CN"/>
              </w:rPr>
            </w:pPr>
            <w:r>
              <w:rPr>
                <w:rFonts w:hint="eastAsia" w:ascii="宋体" w:hAnsi="宋体" w:cs="宋体"/>
                <w:color w:val="auto"/>
                <w:sz w:val="24"/>
                <w:szCs w:val="24"/>
                <w:highlight w:val="none"/>
                <w:lang w:val="en-US" w:eastAsia="zh-CN"/>
              </w:rPr>
              <w:t>1</w:t>
            </w:r>
          </w:p>
        </w:tc>
        <w:tc>
          <w:tcPr>
            <w:tcW w:w="8087" w:type="dxa"/>
            <w:tcBorders>
              <w:top w:val="nil"/>
              <w:left w:val="nil"/>
              <w:bottom w:val="single" w:color="auto" w:sz="4" w:space="0"/>
              <w:right w:val="single" w:color="auto" w:sz="4" w:space="0"/>
            </w:tcBorders>
            <w:vAlign w:val="center"/>
          </w:tcPr>
          <w:p>
            <w:pPr>
              <w:pStyle w:val="45"/>
              <w:widowControl/>
              <w:spacing w:before="0" w:beforeAutospacing="0" w:after="0" w:afterAutospacing="0" w:line="360" w:lineRule="auto"/>
              <w:ind w:left="0" w:right="0"/>
              <w:jc w:val="left"/>
              <w:rPr>
                <w:rFonts w:hint="eastAsia" w:ascii="宋体" w:hAnsi="宋体" w:cs="Calibri"/>
                <w:b w:val="0"/>
                <w:bCs w:val="0"/>
                <w:color w:val="auto"/>
                <w:kern w:val="44"/>
                <w:sz w:val="24"/>
                <w:szCs w:val="24"/>
                <w:highlight w:val="none"/>
                <w:lang w:val="en-US" w:eastAsia="zh-CN"/>
              </w:rPr>
            </w:pPr>
            <w:r>
              <w:rPr>
                <w:rFonts w:hint="eastAsia" w:ascii="宋体" w:hAnsi="宋体" w:cs="宋体"/>
                <w:color w:val="auto"/>
                <w:sz w:val="24"/>
                <w:szCs w:val="24"/>
                <w:highlight w:val="none"/>
              </w:rPr>
              <w:t>6T企业级硬盘，支持温度传感器；256MB缓存；平均故障间隔时间MTBF：2,000,000小时；转速：7200rpm；接口访问速度：6.0、 3.0、 1.5 Gb/秒；最高可持续传输率：226MB/秒；平均闲置功率7.25瓦；平均运行功率8.31瓦；电源+12V和+5V；运行时温度 5~60°C</w:t>
            </w:r>
            <w:r>
              <w:rPr>
                <w:rFonts w:hint="eastAsia" w:ascii="宋体" w:hAnsi="宋体" w:cs="宋体"/>
                <w:color w:val="auto"/>
                <w:sz w:val="24"/>
                <w:szCs w:val="24"/>
                <w:highlight w:val="none"/>
                <w:lang w:eastAsia="zh-CN"/>
              </w:rPr>
              <w:t>（投标单位必须保证硬盘数量既不低于招标文件要求，又必须满足全天</w:t>
            </w:r>
            <w:r>
              <w:rPr>
                <w:rFonts w:hint="eastAsia" w:ascii="宋体" w:hAnsi="宋体" w:cs="宋体"/>
                <w:color w:val="auto"/>
                <w:sz w:val="24"/>
                <w:szCs w:val="24"/>
                <w:highlight w:val="none"/>
                <w:lang w:val="en-US" w:eastAsia="zh-CN"/>
              </w:rPr>
              <w:t>24小时录像存储90天，数量不足需投标单位无偿提供</w:t>
            </w:r>
            <w:r>
              <w:rPr>
                <w:rFonts w:hint="eastAsia" w:ascii="宋体" w:hAnsi="宋体" w:cs="宋体"/>
                <w:color w:val="auto"/>
                <w:sz w:val="24"/>
                <w:szCs w:val="24"/>
                <w:highlight w:val="none"/>
                <w:lang w:eastAsia="zh-CN"/>
              </w:rPr>
              <w:t>）</w:t>
            </w:r>
          </w:p>
        </w:tc>
      </w:tr>
      <w:tr>
        <w:trPr>
          <w:trHeight w:val="266" w:hRule="atLeast"/>
        </w:trPr>
        <w:tc>
          <w:tcPr>
            <w:tcW w:w="9797" w:type="dxa"/>
            <w:gridSpan w:val="3"/>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w:t>
      </w:r>
      <w:bookmarkEnd w:id="34"/>
      <w:r>
        <w:rPr>
          <w:rFonts w:hint="eastAsia" w:ascii="宋体" w:hAnsi="宋体"/>
          <w:b/>
          <w:bCs/>
          <w:color w:val="000000"/>
          <w:kern w:val="44"/>
          <w:sz w:val="24"/>
          <w:szCs w:val="24"/>
          <w:lang w:val="en-US" w:eastAsia="zh-CN"/>
        </w:rPr>
        <w:t>25：汇聚交换机全电口千兆交换机</w:t>
      </w:r>
    </w:p>
    <w:tbl>
      <w:tblPr>
        <w:tblW w:w="9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804"/>
        <w:gridCol w:w="8066"/>
      </w:tblGrid>
      <w:tr>
        <w:trPr>
          <w:trHeight w:val="858" w:hRule="atLeast"/>
        </w:trPr>
        <w:tc>
          <w:tcPr>
            <w:tcW w:w="9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6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34"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交换容量≥330Gbps</w:t>
            </w:r>
          </w:p>
        </w:tc>
      </w:tr>
      <w:tr>
        <w:trPr>
          <w:trHeight w:val="434"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包转发率≥50Mpps</w:t>
            </w:r>
          </w:p>
        </w:tc>
      </w:tr>
      <w:tr>
        <w:trPr>
          <w:trHeight w:val="434"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支持24个10/100/1000Base-T以太网端口，4个千兆SFP</w:t>
            </w:r>
          </w:p>
        </w:tc>
      </w:tr>
      <w:tr>
        <w:trPr>
          <w:trHeight w:val="434"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支持4K个VLAN，支持Voice VLAN，基于端口的VLAN，基于MAC的VLAN，基于协议的VLAN</w:t>
            </w:r>
          </w:p>
        </w:tc>
      </w:tr>
      <w:tr>
        <w:trPr>
          <w:trHeight w:val="434"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支持MAC地址≥8k </w:t>
            </w:r>
          </w:p>
        </w:tc>
      </w:tr>
      <w:tr>
        <w:trPr>
          <w:trHeight w:val="434"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支持静态路由，支持RIP、RIPng协议</w:t>
            </w:r>
          </w:p>
        </w:tc>
      </w:tr>
      <w:tr>
        <w:trPr>
          <w:trHeight w:val="607"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支持以太电口堆叠，用网线连接实现堆叠功能</w:t>
            </w:r>
          </w:p>
        </w:tc>
      </w:tr>
      <w:tr>
        <w:trPr>
          <w:trHeight w:val="520"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支持SNMP v1/v2/v3、Telnet远程维护、网管系统管理</w:t>
            </w:r>
          </w:p>
        </w:tc>
      </w:tr>
      <w:tr>
        <w:trPr>
          <w:trHeight w:val="858"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支持对端口接收报文速率和发送报文速率进行限制，支持SP、WRR、SP+WRR等队列调度算法</w:t>
            </w:r>
          </w:p>
        </w:tc>
      </w:tr>
      <w:tr>
        <w:trPr>
          <w:trHeight w:val="558" w:hRule="atLeast"/>
        </w:trPr>
        <w:tc>
          <w:tcPr>
            <w:tcW w:w="928"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06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提供工信部入网证书</w:t>
            </w:r>
          </w:p>
        </w:tc>
      </w:tr>
      <w:tr>
        <w:trPr>
          <w:trHeight w:val="858" w:hRule="atLeast"/>
        </w:trPr>
        <w:tc>
          <w:tcPr>
            <w:tcW w:w="9798" w:type="dxa"/>
            <w:gridSpan w:val="3"/>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附表26：汇聚交换机全光口千兆交换机</w:t>
      </w:r>
    </w:p>
    <w:tbl>
      <w:tblPr>
        <w:tblW w:w="98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800"/>
        <w:gridCol w:w="8083"/>
      </w:tblGrid>
      <w:tr>
        <w:trPr>
          <w:trHeight w:val="858"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8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34"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交换容量≥330Gbps</w:t>
            </w:r>
          </w:p>
        </w:tc>
      </w:tr>
      <w:tr>
        <w:trPr>
          <w:trHeight w:val="434"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包转发率≥100Mpps</w:t>
            </w:r>
          </w:p>
        </w:tc>
      </w:tr>
      <w:tr>
        <w:trPr>
          <w:trHeight w:val="434"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24个千兆SFP，8个复用的10/100/1000 Base-T以太网端口Combo，4个万兆SFP+</w:t>
            </w:r>
          </w:p>
        </w:tc>
      </w:tr>
      <w:tr>
        <w:trPr>
          <w:trHeight w:val="434"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支持4K个VLAN，支持Voice VLAN，基于端口的VLAN，基于MAC的VLAN，基于协议的VLAN</w:t>
            </w:r>
          </w:p>
        </w:tc>
      </w:tr>
      <w:tr>
        <w:trPr>
          <w:trHeight w:val="434"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支持MAC地址≥8k </w:t>
            </w:r>
          </w:p>
        </w:tc>
      </w:tr>
      <w:tr>
        <w:trPr>
          <w:trHeight w:val="434"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支持静态路由，支持RIP、RIPng协议</w:t>
            </w:r>
          </w:p>
        </w:tc>
      </w:tr>
      <w:tr>
        <w:trPr>
          <w:trHeight w:val="607"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支持以太电口堆叠，用网线连接实现堆叠功能</w:t>
            </w:r>
          </w:p>
        </w:tc>
      </w:tr>
      <w:tr>
        <w:trPr>
          <w:trHeight w:val="520"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支持SNMP v1/v2/v3、Telnet远程维护、网管系统管理</w:t>
            </w:r>
          </w:p>
        </w:tc>
      </w:tr>
      <w:tr>
        <w:trPr>
          <w:trHeight w:val="858"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支持对端口接收报文速率和发送报文速率进行限制，支持SP、WRR、SP+WRR等队列调度算法</w:t>
            </w:r>
          </w:p>
        </w:tc>
      </w:tr>
      <w:tr>
        <w:trPr>
          <w:trHeight w:val="839" w:hRule="atLeast"/>
        </w:trPr>
        <w:tc>
          <w:tcPr>
            <w:tcW w:w="924"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800"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808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提供工信部入网证书</w:t>
            </w:r>
          </w:p>
        </w:tc>
      </w:tr>
      <w:tr>
        <w:trPr>
          <w:trHeight w:val="654" w:hRule="atLeast"/>
        </w:trPr>
        <w:tc>
          <w:tcPr>
            <w:tcW w:w="9807" w:type="dxa"/>
            <w:gridSpan w:val="3"/>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附表27：光模块（接收端）</w:t>
      </w:r>
    </w:p>
    <w:tbl>
      <w:tblPr>
        <w:tblW w:w="961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783"/>
        <w:gridCol w:w="7783"/>
      </w:tblGrid>
      <w:tr>
        <w:trPr>
          <w:trHeight w:val="853" w:hRule="atLeast"/>
        </w:trPr>
        <w:tc>
          <w:tcPr>
            <w:tcW w:w="1046" w:type="dxa"/>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83" w:type="dxa"/>
            <w:tcBorders>
              <w:top w:val="single" w:color="auto" w:sz="4" w:space="0"/>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783" w:type="dxa"/>
            <w:tcBorders>
              <w:top w:val="single" w:color="auto" w:sz="4" w:space="0"/>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450" w:hRule="atLeast"/>
        </w:trPr>
        <w:tc>
          <w:tcPr>
            <w:tcW w:w="104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783"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1.25Gbps,SFP封装、单模1310nm,10km,LC接口、支持DDM功能。</w:t>
            </w:r>
          </w:p>
        </w:tc>
      </w:tr>
      <w:tr>
        <w:trPr>
          <w:trHeight w:val="540" w:hRule="atLeast"/>
        </w:trPr>
        <w:tc>
          <w:tcPr>
            <w:tcW w:w="104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783"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平均发送光功率；-5.98dbm</w:t>
            </w:r>
          </w:p>
        </w:tc>
      </w:tr>
      <w:tr>
        <w:trPr>
          <w:trHeight w:val="351" w:hRule="atLeast"/>
        </w:trPr>
        <w:tc>
          <w:tcPr>
            <w:tcW w:w="104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783"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接收灵敏度-≤-19dbm传输距离10KM</w:t>
            </w:r>
          </w:p>
        </w:tc>
      </w:tr>
      <w:tr>
        <w:trPr>
          <w:trHeight w:val="540" w:hRule="atLeast"/>
        </w:trPr>
        <w:tc>
          <w:tcPr>
            <w:tcW w:w="104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783"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收光区间：1260-1620nm；浪涌：187Ma</w:t>
            </w:r>
          </w:p>
        </w:tc>
      </w:tr>
      <w:tr>
        <w:trPr>
          <w:trHeight w:val="375" w:hRule="atLeast"/>
        </w:trPr>
        <w:tc>
          <w:tcPr>
            <w:tcW w:w="104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783"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温度：-40度-85度</w:t>
            </w:r>
          </w:p>
        </w:tc>
      </w:tr>
      <w:tr>
        <w:trPr>
          <w:trHeight w:val="840" w:hRule="atLeast"/>
        </w:trPr>
        <w:tc>
          <w:tcPr>
            <w:tcW w:w="104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783" w:type="dxa"/>
            <w:tcBorders>
              <w:top w:val="nil"/>
              <w:left w:val="nil"/>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为保证整体传输系统稳定性，投标产品必须与前端百兆工业级收发器为同一品牌</w:t>
            </w:r>
          </w:p>
        </w:tc>
      </w:tr>
      <w:tr>
        <w:trPr>
          <w:trHeight w:val="440" w:hRule="atLeast"/>
        </w:trPr>
        <w:tc>
          <w:tcPr>
            <w:tcW w:w="9612" w:type="dxa"/>
            <w:gridSpan w:val="3"/>
            <w:tcBorders>
              <w:top w:val="single" w:color="auto" w:sz="4" w:space="0"/>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附表28：65寸防爆电视</w:t>
      </w:r>
    </w:p>
    <w:tbl>
      <w:tblPr>
        <w:tblW w:w="9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798"/>
        <w:gridCol w:w="7876"/>
      </w:tblGrid>
      <w:tr>
        <w:trPr>
          <w:trHeight w:val="551" w:hRule="atLeast"/>
        </w:trPr>
        <w:tc>
          <w:tcPr>
            <w:tcW w:w="92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87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39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屏幕尺寸</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65英寸 防爆</w:t>
            </w:r>
          </w:p>
        </w:tc>
      </w:tr>
      <w:tr>
        <w:trPr>
          <w:trHeight w:val="43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屏幕宽高比</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16；9</w:t>
            </w:r>
          </w:p>
        </w:tc>
      </w:tr>
      <w:tr>
        <w:trPr>
          <w:trHeight w:val="48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固有分辨率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4096 X 2160</w:t>
            </w:r>
          </w:p>
        </w:tc>
      </w:tr>
      <w:tr>
        <w:trPr>
          <w:trHeight w:val="109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显示面积 (Active) H x V</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1209.6（H）X 680.4（V）mm</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Pixel Pitch (mm)</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0.630(H) X 0.210(V)</w:t>
            </w:r>
          </w:p>
        </w:tc>
      </w:tr>
      <w:tr>
        <w:trPr>
          <w:trHeight w:val="450"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显示色彩</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8bit，16.7Million colors</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对比度</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4000;1</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可视角</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178°</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响应时间</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6ms</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9</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灯管寿命</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50000H</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10</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色温</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冷色，暖色,标准</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11</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视频输入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AV*2，视频输出</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AV OUT *1（Option），分量信号</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NC</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HDMI端口(选择)</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HDMI*2；USB接口(2.0)</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*2；</w:t>
            </w:r>
          </w:p>
        </w:tc>
      </w:tr>
      <w:tr>
        <w:trPr>
          <w:trHeight w:val="58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12</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信号输入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VGA DSB-15P；PnP 兼容性</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YES；建议使用分辨率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4096 X 2160 60HZ；音频输入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3.5mm耳机接口</w:t>
            </w:r>
          </w:p>
        </w:tc>
      </w:tr>
      <w:tr>
        <w:trPr>
          <w:trHeight w:val="1095" w:hRule="atLeast"/>
        </w:trPr>
        <w:tc>
          <w:tcPr>
            <w:tcW w:w="921"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13</w:t>
            </w:r>
          </w:p>
        </w:tc>
        <w:tc>
          <w:tcPr>
            <w:tcW w:w="787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信号输入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VGA DSB-15P；PnP 兼容性</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YES；建议使用分辨率</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1920*1080 60HZ；音频输入</w:t>
            </w:r>
            <w:r>
              <w:rPr>
                <w:rFonts w:hint="eastAsia" w:ascii="宋体" w:hAnsi="宋体" w:cs="Calibri"/>
                <w:b w:val="0"/>
                <w:bCs w:val="0"/>
                <w:color w:val="000000"/>
                <w:kern w:val="44"/>
                <w:sz w:val="24"/>
                <w:szCs w:val="24"/>
                <w:lang w:val="en-US" w:eastAsia="zh-CN"/>
              </w:rPr>
              <w:tab/>
            </w:r>
            <w:r>
              <w:rPr>
                <w:rFonts w:hint="eastAsia" w:ascii="宋体" w:hAnsi="宋体" w:cs="Calibri"/>
                <w:b w:val="0"/>
                <w:bCs w:val="0"/>
                <w:color w:val="000000"/>
                <w:kern w:val="44"/>
                <w:sz w:val="24"/>
                <w:szCs w:val="24"/>
                <w:lang w:val="en-US" w:eastAsia="zh-CN"/>
              </w:rPr>
              <w:t>3.5mm耳机接口</w:t>
            </w:r>
          </w:p>
        </w:tc>
      </w:tr>
      <w:tr>
        <w:trPr>
          <w:trHeight w:val="284" w:hRule="atLeast"/>
        </w:trPr>
        <w:tc>
          <w:tcPr>
            <w:tcW w:w="9595" w:type="dxa"/>
            <w:gridSpan w:val="3"/>
            <w:tcBorders>
              <w:top w:val="single" w:color="auto" w:sz="4" w:space="0"/>
              <w:left w:val="single" w:color="auto" w:sz="4" w:space="0"/>
              <w:bottom w:val="single" w:color="auto" w:sz="4" w:space="0"/>
              <w:right w:val="single" w:color="000000"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b/>
          <w:bCs/>
          <w:lang w:val="en-US" w:eastAsia="zh-CN"/>
        </w:rPr>
      </w:pPr>
      <w:r>
        <w:rPr>
          <w:rFonts w:hint="eastAsia" w:ascii="宋体" w:hAnsi="宋体"/>
          <w:b/>
          <w:bCs/>
          <w:color w:val="000000"/>
          <w:kern w:val="44"/>
          <w:sz w:val="24"/>
          <w:szCs w:val="24"/>
          <w:lang w:val="en-US" w:eastAsia="zh-CN"/>
        </w:rPr>
        <w:t>附表29：解码器</w:t>
      </w:r>
      <w:bookmarkEnd w:id="35"/>
    </w:p>
    <w:tbl>
      <w:tblPr>
        <w:tblW w:w="9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
        <w:gridCol w:w="803"/>
        <w:gridCol w:w="7931"/>
      </w:tblGrid>
      <w:tr>
        <w:trPr>
          <w:trHeight w:val="603" w:hRule="atLeast"/>
        </w:trPr>
        <w:tc>
          <w:tcPr>
            <w:tcW w:w="9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3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609"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采用嵌入式架构，专用Linux系统，使用DSP解码。为了设备稳定可靠运行，不得采用工控机或者PC机的X86架构。</w:t>
            </w:r>
          </w:p>
        </w:tc>
      </w:tr>
      <w:tr>
        <w:trPr>
          <w:trHeight w:val="1200"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2</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设备接入具有智能行为分析功能的摄像机，可解码显示智能行为分析信息，包括移动侦测、越界入侵、区域入侵、起身离开等，并上传报警信息。提供封面具有CNAS认证标识的公安部报告证明。</w:t>
            </w:r>
          </w:p>
        </w:tc>
      </w:tr>
      <w:tr>
        <w:trPr>
          <w:trHeight w:val="609"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3</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可通过APP客户端对设备输出的视频图像进行控制操作。提供封面具有CNAS认证标识的公安部报告证明。</w:t>
            </w:r>
          </w:p>
        </w:tc>
      </w:tr>
      <w:tr>
        <w:trPr>
          <w:trHeight w:val="1796"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4</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要求设备具备≥17个RJ45网络接口，1路语音输入，1路语音输出，1个RS232接口，1个RS485接口，8路报警输入，8路报警输出，1个VGA视频输入接口，1个DVI-I视频输入接口。输出口支持4个HDMI接口，支持8路模拟音频输出，支持4路模拟CVBS视频输出。提供封面具有CNAS认证标识的公安部报告证明。</w:t>
            </w:r>
          </w:p>
        </w:tc>
      </w:tr>
      <w:tr>
        <w:trPr>
          <w:trHeight w:val="609"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5</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具有1个电源指示灯，2个硬盘指示灯。</w:t>
            </w:r>
          </w:p>
        </w:tc>
      </w:tr>
      <w:tr>
        <w:trPr>
          <w:trHeight w:val="901"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6</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设备通过高温、低温、恒定湿热试验（高温55±2℃，低温-10±3℃，持续时间2H；相对湿度90%~95%、温度40±2℃，持续时间48H）。提供封面具有CNAS认证标识的公安部报告证明。</w:t>
            </w:r>
          </w:p>
        </w:tc>
      </w:tr>
      <w:tr>
        <w:trPr>
          <w:trHeight w:val="609"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7</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具有NTP校时及客户端软件手动校时两种校时方式。</w:t>
            </w:r>
          </w:p>
        </w:tc>
      </w:tr>
      <w:tr>
        <w:trPr>
          <w:trHeight w:val="901" w:hRule="atLeast"/>
        </w:trPr>
        <w:tc>
          <w:tcPr>
            <w:tcW w:w="92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p>
        </w:tc>
        <w:tc>
          <w:tcPr>
            <w:tcW w:w="80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8</w:t>
            </w:r>
          </w:p>
        </w:tc>
        <w:tc>
          <w:tcPr>
            <w:tcW w:w="793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可对以下编码格式的视频图像进行解码后输出：H.264、H.265、Smart264、Smart265、MPEG4视频图像。提供封面具有CNAS认证标识的公安部报告证明。</w:t>
            </w:r>
          </w:p>
        </w:tc>
      </w:tr>
      <w:tr>
        <w:trPr>
          <w:trHeight w:val="324" w:hRule="atLeast"/>
        </w:trPr>
        <w:tc>
          <w:tcPr>
            <w:tcW w:w="9659"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附表30：机柜</w:t>
      </w:r>
    </w:p>
    <w:tbl>
      <w:tblPr>
        <w:tblW w:w="9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808"/>
        <w:gridCol w:w="7980"/>
      </w:tblGrid>
      <w:tr>
        <w:trPr>
          <w:trHeight w:val="749" w:hRule="atLeast"/>
        </w:trPr>
        <w:tc>
          <w:tcPr>
            <w:tcW w:w="9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0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7980"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2970" w:hRule="atLeast"/>
        </w:trPr>
        <w:tc>
          <w:tcPr>
            <w:tcW w:w="931"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w:t>
            </w:r>
          </w:p>
        </w:tc>
        <w:tc>
          <w:tcPr>
            <w:tcW w:w="80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7980"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国标，黑色，5块托盘，1个8口PDU，尺寸精密,全数控精密加工。单开平板六角网孔前门,双开平板六角网孔后门。镀铝锌板材质方孔条与安装梁， 无锐边。三段式底板部件,中间盖板可按需打开,三段式快开侧门,每段可单独打开。各主要部件预置有接地钉，接地钉带护罩。前后门配高级典雅锁。方孔条与安装梁材料为耐指纹镀铝锌板;，其余为SPCC优质冷轧板，厚度：方孔条2.0mm， 安装梁1.5mm，其余1.2mm，承重能力≥1000KG。表面脱脂、陶化、静电喷塑处理。尺寸600*800*2000。</w:t>
            </w:r>
          </w:p>
        </w:tc>
      </w:tr>
      <w:tr>
        <w:trPr>
          <w:trHeight w:val="402" w:hRule="atLeast"/>
        </w:trPr>
        <w:tc>
          <w:tcPr>
            <w:tcW w:w="9719"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附表31：机柜</w:t>
      </w:r>
    </w:p>
    <w:tbl>
      <w:tblPr>
        <w:tblW w:w="9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811"/>
        <w:gridCol w:w="8013"/>
      </w:tblGrid>
      <w:tr>
        <w:trPr>
          <w:trHeight w:val="814" w:hRule="atLeast"/>
        </w:trPr>
        <w:tc>
          <w:tcPr>
            <w:tcW w:w="9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81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1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3228" w:hRule="atLeast"/>
        </w:trPr>
        <w:tc>
          <w:tcPr>
            <w:tcW w:w="935"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81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1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国标，黑色，3块托盘，1个8口PDU，尺寸精密,全数控精密加工。单开平板六角网孔前门,双开平板六角网孔后门。镀铝锌板材质方孔条与安装梁， 无锐边。三段式底板部件,中间盖板可按需打开,三段式快开侧门,每段可单独打开。各主要部件预置有接地钉，接地钉带护罩。前后门配高级典雅锁。方孔条与安装梁材料为耐指纹镀铝锌板;，其余为SPCC优质冷轧板，厚度：方孔条2.0mm， 安装梁1.5mm，其余1.2mm，承重能力≥1000KG。表面脱脂、陶化、静电喷塑处理。尺寸600*800*1200。</w:t>
            </w:r>
          </w:p>
        </w:tc>
      </w:tr>
      <w:tr>
        <w:trPr>
          <w:trHeight w:val="437" w:hRule="atLeast"/>
        </w:trPr>
        <w:tc>
          <w:tcPr>
            <w:tcW w:w="9759"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附表32：光缆及敷设</w:t>
      </w:r>
    </w:p>
    <w:tbl>
      <w:tblPr>
        <w:tblW w:w="9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
        <w:gridCol w:w="793"/>
        <w:gridCol w:w="8046"/>
      </w:tblGrid>
      <w:tr>
        <w:trPr>
          <w:trHeight w:val="762"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4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770" w:hRule="atLeast"/>
        </w:trPr>
        <w:tc>
          <w:tcPr>
            <w:tcW w:w="914"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46"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室外GYTA24芯及以上（每个设备箱用一备一）各汇聚点不低于12芯。（含熔接费、辅材、测试等配套材料）,数量满足现场使用需求</w:t>
            </w:r>
          </w:p>
        </w:tc>
      </w:tr>
      <w:tr>
        <w:trPr>
          <w:trHeight w:val="410" w:hRule="atLeast"/>
        </w:trPr>
        <w:tc>
          <w:tcPr>
            <w:tcW w:w="9753"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附表33：光缆终端盒</w:t>
      </w:r>
    </w:p>
    <w:tbl>
      <w:tblPr>
        <w:tblW w:w="9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791"/>
        <w:gridCol w:w="8035"/>
      </w:tblGrid>
      <w:tr>
        <w:trPr>
          <w:trHeight w:val="73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3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091" w:hRule="atLeast"/>
        </w:trPr>
        <w:tc>
          <w:tcPr>
            <w:tcW w:w="912"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1"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3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黑色，≥4口，优质冷轧钢板，光纤和尾纤弯曲半径不小于30mm，含光纤适配器（氧化锆陶瓷插芯，插入损耗≤0.2dB），数量满足现场使用需求。</w:t>
            </w:r>
          </w:p>
        </w:tc>
      </w:tr>
      <w:tr>
        <w:trPr>
          <w:trHeight w:val="392" w:hRule="atLeast"/>
        </w:trPr>
        <w:tc>
          <w:tcPr>
            <w:tcW w:w="9738"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附表34：机架式光缆终端盒</w:t>
      </w:r>
    </w:p>
    <w:tbl>
      <w:tblPr>
        <w:tblW w:w="9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788"/>
        <w:gridCol w:w="8057"/>
      </w:tblGrid>
      <w:tr>
        <w:trPr>
          <w:trHeight w:val="750" w:hRule="atLeast"/>
        </w:trPr>
        <w:tc>
          <w:tcPr>
            <w:tcW w:w="90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8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5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491" w:hRule="atLeast"/>
        </w:trPr>
        <w:tc>
          <w:tcPr>
            <w:tcW w:w="908"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采用优质冷轧钢板，表面涂装静电喷塑，塑料组件，抽拉式设计，每盘端口数量12位，19寸机架式安装，含12芯束状光纤，光纤适配器（氧化锆陶瓷插芯，插入损耗≤0.2dB）。数量满足现场使用需求。</w:t>
            </w:r>
          </w:p>
        </w:tc>
      </w:tr>
      <w:tr>
        <w:trPr>
          <w:trHeight w:val="403" w:hRule="atLeast"/>
        </w:trPr>
        <w:tc>
          <w:tcPr>
            <w:tcW w:w="9753"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附表35：跳线</w:t>
      </w:r>
    </w:p>
    <w:tbl>
      <w:tblPr>
        <w:tblW w:w="9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788"/>
        <w:gridCol w:w="8057"/>
      </w:tblGrid>
      <w:tr>
        <w:trPr>
          <w:trHeight w:val="806" w:hRule="atLeast"/>
        </w:trPr>
        <w:tc>
          <w:tcPr>
            <w:tcW w:w="90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8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57"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814" w:hRule="atLeast"/>
        </w:trPr>
        <w:tc>
          <w:tcPr>
            <w:tcW w:w="908"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8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57"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陶瓷插针，环保PVC材料，插入损耗≤0.2dB，回波损耗≥50dB光缆芯数全部熔接。3米-5米，数量满足现场使用需求。</w:t>
            </w:r>
          </w:p>
        </w:tc>
      </w:tr>
      <w:tr>
        <w:trPr>
          <w:trHeight w:val="433" w:hRule="atLeast"/>
        </w:trPr>
        <w:tc>
          <w:tcPr>
            <w:tcW w:w="9753"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附表36：电源线</w:t>
      </w:r>
    </w:p>
    <w:tbl>
      <w:tblPr>
        <w:tblW w:w="97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783"/>
        <w:gridCol w:w="8092"/>
      </w:tblGrid>
      <w:tr>
        <w:trPr>
          <w:trHeight w:val="829" w:hRule="atLeast"/>
        </w:trPr>
        <w:tc>
          <w:tcPr>
            <w:tcW w:w="90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8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92"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516" w:hRule="atLeast"/>
        </w:trPr>
        <w:tc>
          <w:tcPr>
            <w:tcW w:w="902"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83"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92"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RVV 2*1.5</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产品标准：GB/T 5023.（1~7）-2008 或JB/T 8734.（1~5）-1998标准的要求。</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 xml:space="preserve">产品特点：导体材料符合GB/T3956-2008标准的电缆导体，采用多支退火裸铜绞合成束方式，导体采用48支Φ0.2mm±0.012无氧铜丝结构，内绝缘直径/绝缘厚度值Φ2.9mm±0.05mm，  厚度0.7mm.外护套直径/厚度Φ7.5mm±0.05mm，厚度0.9mm，线缆工作温度：高温70℃，70℃时绝缘电阻最小值 0.009Ω/km.20℃时绝缘电阻最小值 12.8Ω/km，低温-25℃，高温70℃，成品电缆上，成缆节距：150mm（±5mm），绝缘延伸220%，护套延伸率280%，绝缘-材料采用聚氯乙烯（PVC），加填充绳4条，外包透明抗粘PET膜包在内导体上，绝缘层表面色泽均匀、无目力可见机械缺损。软电缆护套采用黑色聚氯乙烯（PVC）材料，护套层与缆芯适当贴紧，无目力可见针孔、裂痕、气泡和其它缺陷 。                                                  </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产品适用于额定电压300/300V及以下安防系统中的视频监控、防盗报警、可视对讲，门禁等系统用电源线、控制线及信号传输线。</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产品资质：3C品质认证；ISO国际标准化组织认证，国家检测报告</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数量满足现场使用需求。</w:t>
            </w:r>
          </w:p>
        </w:tc>
      </w:tr>
      <w:tr>
        <w:trPr>
          <w:trHeight w:val="445" w:hRule="atLeast"/>
        </w:trPr>
        <w:tc>
          <w:tcPr>
            <w:tcW w:w="9777"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附表37：超五类网线</w:t>
      </w:r>
    </w:p>
    <w:tbl>
      <w:tblPr>
        <w:tblW w:w="9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6"/>
        <w:gridCol w:w="778"/>
        <w:gridCol w:w="8088"/>
      </w:tblGrid>
      <w:tr>
        <w:trPr>
          <w:trHeight w:val="79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7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8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2178" w:hRule="atLeast"/>
        </w:trPr>
        <w:tc>
          <w:tcPr>
            <w:tcW w:w="896"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7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8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产品标准：ISO/IEC11801-A1-2008、TIA/EIA-568C</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性能：传输带宽≥100MHz，满足100/1000兆数据传输；铜芯材料采用优质99.99%纯度无氧铜实芯裸铜导体，线芯直径≥0.50mm，，绝缘材料采用优质高密度聚乙烯（HDPE），厚度0.2mm，护套材料采用环保新料PVC料，厚度为0.6mm,铜缆外径为5.2mm。绝缘直径为0.91mm节距数值：橙8.3;棕：10;绿：12.3;蓝：13.8.工作温度范围：-20 至 75度。</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物理阻抗100±10欧；最大相对互耦电容：5.6NF/100m；最大导体直流电阻：9.26欧/100米。</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产品用途：适用于综合布线网络ISDN、ATM155/622Mbps、百兆、千兆以太网等。</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产品资质：美国UL认证；ISO国际标准化组织认证，CPR认证,CE 认证,ROHS认证</w:t>
            </w:r>
          </w:p>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数量满足现场使用需求。</w:t>
            </w:r>
          </w:p>
        </w:tc>
      </w:tr>
      <w:tr>
        <w:trPr>
          <w:trHeight w:val="424" w:hRule="atLeast"/>
        </w:trPr>
        <w:tc>
          <w:tcPr>
            <w:tcW w:w="9762"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附表38：室外壁挂电源箱</w:t>
      </w:r>
    </w:p>
    <w:tbl>
      <w:tblPr>
        <w:tblW w:w="9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794"/>
        <w:gridCol w:w="8058"/>
      </w:tblGrid>
      <w:tr>
        <w:trPr>
          <w:trHeight w:val="742" w:hRule="atLeast"/>
        </w:trPr>
        <w:tc>
          <w:tcPr>
            <w:tcW w:w="9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4"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5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109" w:hRule="atLeast"/>
        </w:trPr>
        <w:tc>
          <w:tcPr>
            <w:tcW w:w="916"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4"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58"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定制，不锈钢，不小于500*400*250mm（最低标准），壁厚≥1.2mm 防尘防水，能容纳光缆终端盒、空开等，数量满足现场使用需求。</w:t>
            </w:r>
          </w:p>
        </w:tc>
      </w:tr>
      <w:tr>
        <w:trPr>
          <w:trHeight w:val="399" w:hRule="atLeast"/>
        </w:trPr>
        <w:tc>
          <w:tcPr>
            <w:tcW w:w="9768"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附表39：PVC线槽及敷设（只限室内使用）</w:t>
      </w:r>
    </w:p>
    <w:tbl>
      <w:tblPr>
        <w:tblW w:w="9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796"/>
        <w:gridCol w:w="8055"/>
      </w:tblGrid>
      <w:tr>
        <w:trPr>
          <w:trHeight w:val="656" w:hRule="atLeast"/>
        </w:trPr>
        <w:tc>
          <w:tcPr>
            <w:tcW w:w="9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6"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55"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980" w:hRule="atLeast"/>
        </w:trPr>
        <w:tc>
          <w:tcPr>
            <w:tcW w:w="917"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6"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55"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国标/白色，聚氯乙烯PVC电工线槽，39*19A加厚型，包含接头，转弯等，管径、长度满足现场使用需求。（仅限室内使用）数量满足现场使用需求。</w:t>
            </w:r>
          </w:p>
        </w:tc>
      </w:tr>
      <w:tr>
        <w:trPr>
          <w:trHeight w:val="352" w:hRule="atLeast"/>
        </w:trPr>
        <w:tc>
          <w:tcPr>
            <w:tcW w:w="9768"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附表40：穿线管及敷设（室外使用）</w:t>
      </w:r>
    </w:p>
    <w:tbl>
      <w:tblPr>
        <w:tblW w:w="9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799"/>
        <w:gridCol w:w="8033"/>
      </w:tblGrid>
      <w:tr>
        <w:trPr>
          <w:trHeight w:val="853" w:hRule="atLeast"/>
        </w:trPr>
        <w:tc>
          <w:tcPr>
            <w:tcW w:w="92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9"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33"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1275" w:hRule="atLeast"/>
        </w:trPr>
        <w:tc>
          <w:tcPr>
            <w:tcW w:w="921" w:type="dxa"/>
            <w:tcBorders>
              <w:top w:val="nil"/>
              <w:left w:val="single" w:color="auto" w:sz="4" w:space="0"/>
              <w:bottom w:val="single" w:color="auto" w:sz="4" w:space="0"/>
              <w:right w:val="single" w:color="auto" w:sz="4" w:space="0"/>
            </w:tcBorders>
            <w:vAlign w:val="bottom"/>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p>
        </w:tc>
        <w:tc>
          <w:tcPr>
            <w:tcW w:w="799"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33"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国标/KBG/JDG穿线管 镀锌管，20、25管壁厚≥1.0mm，32管壁厚≥1.2mm，包含接头，转弯等，管径、长度满足现场使用需求。（室外使用）数量满足现场使用需求。</w:t>
            </w:r>
          </w:p>
        </w:tc>
      </w:tr>
      <w:tr>
        <w:trPr>
          <w:trHeight w:val="459" w:hRule="atLeast"/>
        </w:trPr>
        <w:tc>
          <w:tcPr>
            <w:tcW w:w="9753"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附表41：系统集成</w:t>
      </w:r>
    </w:p>
    <w:tbl>
      <w:tblPr>
        <w:tblW w:w="9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798"/>
        <w:gridCol w:w="8051"/>
      </w:tblGrid>
      <w:tr>
        <w:trPr>
          <w:trHeight w:val="524" w:hRule="atLeast"/>
        </w:trPr>
        <w:tc>
          <w:tcPr>
            <w:tcW w:w="9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参数性质</w:t>
            </w:r>
          </w:p>
        </w:tc>
        <w:tc>
          <w:tcPr>
            <w:tcW w:w="798"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编号</w:t>
            </w:r>
          </w:p>
        </w:tc>
        <w:tc>
          <w:tcPr>
            <w:tcW w:w="8051" w:type="dxa"/>
            <w:tcBorders>
              <w:top w:val="single" w:color="auto" w:sz="4" w:space="0"/>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技术参数和性能指标</w:t>
            </w:r>
          </w:p>
        </w:tc>
      </w:tr>
      <w:tr>
        <w:trPr>
          <w:trHeight w:val="529" w:hRule="atLeast"/>
        </w:trPr>
        <w:tc>
          <w:tcPr>
            <w:tcW w:w="919" w:type="dxa"/>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w:t>
            </w:r>
          </w:p>
        </w:tc>
        <w:tc>
          <w:tcPr>
            <w:tcW w:w="798" w:type="dxa"/>
            <w:tcBorders>
              <w:top w:val="nil"/>
              <w:left w:val="nil"/>
              <w:bottom w:val="single" w:color="auto" w:sz="4" w:space="0"/>
              <w:right w:val="single" w:color="auto" w:sz="4" w:space="0"/>
            </w:tcBorders>
            <w:vAlign w:val="center"/>
          </w:tcPr>
          <w:p>
            <w:pPr>
              <w:spacing w:before="0" w:beforeAutospacing="0" w:after="0" w:afterAutospacing="0"/>
              <w:ind w:left="0" w:right="0"/>
              <w:jc w:val="center"/>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1</w:t>
            </w:r>
          </w:p>
        </w:tc>
        <w:tc>
          <w:tcPr>
            <w:tcW w:w="8051" w:type="dxa"/>
            <w:tcBorders>
              <w:top w:val="nil"/>
              <w:left w:val="nil"/>
              <w:bottom w:val="single" w:color="auto" w:sz="4" w:space="0"/>
              <w:right w:val="single" w:color="auto" w:sz="4"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本项目为交钥匙工程，中标单位需完成招标文件内所有设备的安装、调试等全部内容。所有室外挖沟回填深度不低于50CM；工字砖、水泥路面破坏按原貌恢复。摄像头全部接入旗教体局安防监控综合平台，含接入所需传输设备及接入授权，摄像头命名规则按照市教体局局要求统一设置；实时图像推送市教体局等费用。各汇聚点全部使用光缆传输；利用原有摄像头全部加装POE分离器；供电室内全部使用POE供电方式。包含原有监控设备整合拆除工作（拆除后的旧设备全部移交学校）；在实际安装过程中，如发现不能够形成独立有效的系统，缺少的设备、材料部分中标方应无偿补足、使系统能够正常运行。</w:t>
            </w:r>
          </w:p>
        </w:tc>
      </w:tr>
      <w:tr>
        <w:trPr>
          <w:trHeight w:val="282" w:hRule="atLeast"/>
        </w:trPr>
        <w:tc>
          <w:tcPr>
            <w:tcW w:w="9768" w:type="dxa"/>
            <w:gridSpan w:val="3"/>
            <w:tcBorders>
              <w:top w:val="single" w:color="auto" w:sz="8" w:space="0"/>
              <w:left w:val="single" w:color="auto" w:sz="8" w:space="0"/>
              <w:bottom w:val="single" w:color="auto" w:sz="8" w:space="0"/>
              <w:right w:val="single" w:color="000000" w:sz="8" w:space="0"/>
            </w:tcBorders>
            <w:vAlign w:val="center"/>
          </w:tcPr>
          <w:p>
            <w:pPr>
              <w:spacing w:before="0" w:beforeAutospacing="0" w:after="0" w:afterAutospacing="0"/>
              <w:ind w:left="0" w:right="0"/>
              <w:jc w:val="both"/>
              <w:outlineLvl w:val="0"/>
              <w:rPr>
                <w:rFonts w:hint="eastAsia" w:ascii="宋体" w:hAnsi="宋体" w:cs="Calibri"/>
                <w:b w:val="0"/>
                <w:bCs w:val="0"/>
                <w:color w:val="000000"/>
                <w:kern w:val="44"/>
                <w:sz w:val="24"/>
                <w:szCs w:val="24"/>
                <w:lang w:val="en-US" w:eastAsia="zh-CN"/>
              </w:rPr>
            </w:pPr>
            <w:r>
              <w:rPr>
                <w:rFonts w:hint="eastAsia" w:ascii="宋体" w:hAnsi="宋体" w:cs="Calibri"/>
                <w:b w:val="0"/>
                <w:bCs w:val="0"/>
                <w:color w:val="000000"/>
                <w:kern w:val="44"/>
                <w:sz w:val="24"/>
                <w:szCs w:val="24"/>
                <w:lang w:val="en-US" w:eastAsia="zh-CN"/>
              </w:rPr>
              <w:t>注：“参数性质”标“*”表示此参数为主要技术参数。</w:t>
            </w:r>
          </w:p>
        </w:tc>
      </w:tr>
    </w:tbl>
    <w:p>
      <w:pPr>
        <w:jc w:val="both"/>
        <w:outlineLvl w:val="0"/>
        <w:rPr>
          <w:rFonts w:hint="eastAsia" w:ascii="宋体" w:hAnsi="宋体"/>
          <w:b w:val="0"/>
          <w:bCs w:val="0"/>
          <w:color w:val="000000"/>
          <w:kern w:val="44"/>
          <w:sz w:val="24"/>
          <w:szCs w:val="24"/>
          <w:lang w:val="en-US" w:eastAsia="zh-CN"/>
        </w:rPr>
      </w:pP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三、其他要求</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1.系统施工要求</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（1）所有监控线缆必须遵照国家标准做好标识标记；</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（2）所有室外监控杆必须安装号牌，号牌应不宜被腐蚀及掉色，任何时间都可清晰显示杆件编号；</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（3）所有监控箱、机柜内必须明确标注内部走线方式、上联接口等信息；</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（4）项目完工后施工方提供完整的摄像机点位图、监控线路图、取电图等相关图纸、资料等；</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（5）室外线缆预埋开挖深度0.5米，宽度大于0.5米，部分区域涉及过路顶管工程，过路长度由投标公司自行勘测；所有开挖工程回填后必须在开挖上方做好标识标牌；</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2.所有软硬件系统与设备需接入教育体育局监控平台、公安网，经采购方协调，供货商需配合完成系统间对接，提供开放系统与接口，相关费用自行承担，并确保兼容性及设备性能。</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3.所配软件必须为正版，且质保期内须定期免费升级维护，否则由此引起的一切后果，均由供货商承担。</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4.投标人要承诺已经充分理解了招标建设方案和建设目标，投标方案能够满足项目建设目标。综合单价构成包括设备费、包装费、合格发票税费、装卸费、运输费、保险费、安装调试检测费、其它风险费用在内的全部费用。</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5.售后服务要求</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（1）本项目专业化强、系统集成度高，因此要求售后服务3年。</w:t>
      </w:r>
    </w:p>
    <w:p>
      <w:pPr>
        <w:jc w:val="both"/>
        <w:outlineLvl w:val="0"/>
        <w:rPr>
          <w:rFonts w:hint="eastAsia" w:ascii="宋体" w:hAnsi="宋体"/>
          <w:b w:val="0"/>
          <w:bCs w:val="0"/>
          <w:color w:val="000000"/>
          <w:kern w:val="44"/>
          <w:sz w:val="24"/>
          <w:szCs w:val="24"/>
          <w:lang w:val="en-US" w:eastAsia="zh-CN"/>
        </w:rPr>
      </w:pPr>
      <w:r>
        <w:rPr>
          <w:rFonts w:hint="eastAsia" w:ascii="宋体" w:hAnsi="宋体"/>
          <w:b w:val="0"/>
          <w:bCs w:val="0"/>
          <w:color w:val="000000"/>
          <w:kern w:val="44"/>
          <w:sz w:val="24"/>
          <w:szCs w:val="24"/>
          <w:lang w:val="en-US" w:eastAsia="zh-CN"/>
        </w:rPr>
        <w:t>（2）有本地化售后服务，4小时内响应解决问题，24小时在线服务技术支持，提供人员名单及固定电话。</w:t>
      </w:r>
    </w:p>
    <w:p>
      <w:pPr>
        <w:jc w:val="both"/>
        <w:outlineLvl w:val="0"/>
        <w:rPr>
          <w:rFonts w:hint="eastAsia" w:ascii="宋体" w:hAnsi="宋体"/>
          <w:b/>
          <w:bCs/>
          <w:color w:val="000000"/>
          <w:kern w:val="44"/>
          <w:sz w:val="24"/>
          <w:szCs w:val="24"/>
          <w:lang w:val="en-US" w:eastAsia="zh-CN"/>
        </w:rPr>
      </w:pPr>
      <w:r>
        <w:rPr>
          <w:rFonts w:hint="eastAsia" w:ascii="宋体" w:hAnsi="宋体"/>
          <w:b w:val="0"/>
          <w:bCs w:val="0"/>
          <w:color w:val="000000"/>
          <w:kern w:val="44"/>
          <w:sz w:val="24"/>
          <w:szCs w:val="24"/>
          <w:lang w:val="en-US" w:eastAsia="zh-CN"/>
        </w:rPr>
        <w:t>（3）售后服务内容主要有：①提供成交货物齐全的资料；②负责全面安装、调试；③提供及时、迅速、优质的售后服务，能快捷地提供货物的备品备件，并保证采购人能够及时买到货物所需的备品备件和易损件；④货物出现故障后，响应及排除故障时间；⑤详细培训计划：时间与地点、人数、内容、次数，提供对管理员进行免费培训，直至全部能熟练掌握使用。</w:t>
      </w:r>
      <w:bookmarkStart w:id="57" w:name="_GoBack"/>
      <w:bookmarkEnd w:id="57"/>
    </w:p>
    <w:p>
      <w:pPr>
        <w:jc w:val="both"/>
        <w:outlineLvl w:val="0"/>
        <w:rPr>
          <w:rFonts w:hint="eastAsia" w:ascii="宋体" w:hAnsi="宋体"/>
          <w:b/>
          <w:bCs/>
          <w:color w:val="000000"/>
          <w:kern w:val="44"/>
          <w:sz w:val="24"/>
          <w:szCs w:val="24"/>
          <w:lang w:val="en-US" w:eastAsia="zh-CN"/>
        </w:rPr>
      </w:pPr>
      <w:r>
        <w:rPr>
          <w:rFonts w:hint="eastAsia" w:ascii="宋体" w:hAnsi="宋体"/>
          <w:b/>
          <w:bCs/>
          <w:color w:val="000000"/>
          <w:kern w:val="44"/>
          <w:sz w:val="24"/>
          <w:szCs w:val="24"/>
          <w:lang w:val="en-US" w:eastAsia="zh-CN"/>
        </w:rPr>
        <w:t xml:space="preserve">                                      </w:t>
      </w:r>
    </w:p>
    <w:p>
      <w:pPr>
        <w:spacing w:line="240" w:lineRule="atLeast"/>
        <w:ind w:firstLine="560" w:firstLineChars="200"/>
        <w:rPr>
          <w:rFonts w:ascii="宋体" w:hAnsi="宋体"/>
          <w:szCs w:val="21"/>
        </w:rPr>
      </w:pPr>
    </w:p>
    <w:p>
      <w:pPr>
        <w:spacing w:line="240" w:lineRule="atLeast"/>
        <w:ind w:firstLine="482" w:firstLineChars="200"/>
        <w:rPr>
          <w:rFonts w:ascii="宋体" w:hAnsi="宋体" w:eastAsia="宋体"/>
          <w:b/>
          <w:sz w:val="24"/>
          <w:szCs w:val="24"/>
        </w:rPr>
      </w:pPr>
    </w:p>
    <w:p>
      <w:pPr>
        <w:jc w:val="both"/>
        <w:outlineLvl w:val="0"/>
        <w:rPr>
          <w:rFonts w:hint="eastAsia" w:ascii="宋体" w:hAnsi="宋体"/>
          <w:b/>
          <w:bCs/>
          <w:color w:val="000000"/>
          <w:kern w:val="44"/>
          <w:sz w:val="24"/>
          <w:szCs w:val="24"/>
        </w:rPr>
      </w:pPr>
    </w:p>
    <w:p>
      <w:pPr>
        <w:jc w:val="center"/>
        <w:outlineLvl w:val="0"/>
        <w:rPr>
          <w:rFonts w:ascii="宋体" w:hAnsi="宋体"/>
          <w:b/>
          <w:bCs/>
          <w:color w:val="000000"/>
          <w:kern w:val="44"/>
          <w:sz w:val="24"/>
          <w:szCs w:val="24"/>
        </w:rPr>
      </w:pPr>
      <w:r>
        <w:rPr>
          <w:rFonts w:hint="eastAsia" w:ascii="宋体" w:hAnsi="宋体"/>
          <w:b/>
          <w:bCs/>
          <w:color w:val="000000"/>
          <w:kern w:val="44"/>
          <w:sz w:val="24"/>
          <w:szCs w:val="24"/>
        </w:rPr>
        <w:t>第五章 投标人资格证明及相关文件要求</w:t>
      </w:r>
      <w:bookmarkEnd w:id="5"/>
      <w:bookmarkEnd w:id="6"/>
    </w:p>
    <w:p>
      <w:pPr>
        <w:spacing w:line="360" w:lineRule="auto"/>
        <w:jc w:val="center"/>
        <w:rPr>
          <w:rFonts w:ascii="宋体" w:hAnsi="宋体"/>
          <w:b/>
          <w:bCs/>
          <w:color w:val="000000"/>
          <w:kern w:val="44"/>
          <w:sz w:val="24"/>
          <w:szCs w:val="24"/>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投标人是企业（包括合伙企业），提供工商部门注册的有效“企业法人营业执照”或“营业执照”；投标人是事业单位，提供有效的“事业单位法人证书”；投标人是非企业专业服务机构的，提供执业许可证等证明文件；投标人是个体工商户的，提供有效的“个体工商户营业执照”；投标人是自然人，提供有效的自然人身份证明。</w:t>
      </w:r>
    </w:p>
    <w:p>
      <w:pPr>
        <w:spacing w:line="360" w:lineRule="auto"/>
        <w:ind w:firstLine="482" w:firstLineChars="201"/>
        <w:rPr>
          <w:rFonts w:ascii="宋体" w:hAnsi="宋体" w:cs="宋体"/>
          <w:sz w:val="24"/>
          <w:szCs w:val="24"/>
        </w:rPr>
      </w:pPr>
      <w:r>
        <w:rPr>
          <w:rFonts w:hAnsi="宋体"/>
          <w:sz w:val="24"/>
          <w:szCs w:val="24"/>
        </w:rPr>
        <w:t>2</w:t>
      </w:r>
      <w:r>
        <w:rPr>
          <w:rFonts w:hint="eastAsia" w:ascii="宋体" w:hAnsi="宋体" w:cs="宋体"/>
          <w:sz w:val="24"/>
          <w:szCs w:val="24"/>
        </w:rPr>
        <w:t>财务状况报告，应附经会计师事务所出具的财务审计报告或其基本开户银行出具的资信证明；（1.投标人是法人的审查会计师事务所出具的上一年度财务审计报告或基本开户银行近一年内出具的资信证明。2.投标人是部分其他组织或自然人的，审查银行近一年内出具的资信证明。）</w:t>
      </w:r>
    </w:p>
    <w:p>
      <w:pPr>
        <w:spacing w:line="360" w:lineRule="auto"/>
        <w:ind w:firstLine="482" w:firstLineChars="201"/>
        <w:rPr>
          <w:rFonts w:ascii="宋体" w:hAnsi="宋体"/>
          <w:sz w:val="24"/>
          <w:szCs w:val="24"/>
        </w:rPr>
      </w:pPr>
      <w:r>
        <w:rPr>
          <w:rFonts w:hint="eastAsia" w:ascii="宋体" w:hAnsi="宋体" w:cs="宋体"/>
          <w:sz w:val="24"/>
          <w:szCs w:val="24"/>
        </w:rPr>
        <w:t>3．投标人依法缴纳税收证明材料；(提供递交投标文件截止之日前六个月内（至少一个月）的良好缴纳税收的相关凭据。（以税务机关提供的纳税凭据或银行入账单为准）)注：依法免税或不需要缴纳社会保障资金的供应商，应提供相应文件证明其依法免税或不需要缴纳社会保障资金。</w:t>
      </w:r>
    </w:p>
    <w:p>
      <w:pPr>
        <w:spacing w:line="360" w:lineRule="auto"/>
        <w:ind w:firstLine="482" w:firstLineChars="201"/>
        <w:rPr>
          <w:rFonts w:ascii="宋体" w:hAnsi="宋体"/>
          <w:sz w:val="24"/>
          <w:szCs w:val="24"/>
        </w:rPr>
      </w:pPr>
      <w:r>
        <w:rPr>
          <w:rFonts w:ascii="宋体" w:hAnsi="宋体" w:cs="宋体"/>
          <w:sz w:val="24"/>
          <w:szCs w:val="24"/>
        </w:rPr>
        <w:t>4</w:t>
      </w:r>
      <w:r>
        <w:rPr>
          <w:rFonts w:hint="eastAsia" w:ascii="宋体" w:hAnsi="宋体" w:cs="宋体"/>
          <w:sz w:val="24"/>
          <w:szCs w:val="24"/>
        </w:rPr>
        <w:t>．投标人为企业员工缴纳社保资金的证明材料；(提供递交投标文件截止之日前六个月内（至少一个月）缴纳社会保险的凭证。（以社保机构出具的专用收据或社会保险缴纳清单为准）)注：依法免税或不需要缴纳社会保障资金的供应商，应提供相应文件证明其依法免税或不需要缴纳社会保障资金。</w:t>
      </w:r>
    </w:p>
    <w:p>
      <w:pPr>
        <w:spacing w:line="360" w:lineRule="auto"/>
        <w:ind w:firstLine="482" w:firstLineChars="201"/>
        <w:rPr>
          <w:rFonts w:ascii="宋体" w:hAnsi="宋体"/>
          <w:sz w:val="24"/>
          <w:szCs w:val="24"/>
        </w:rPr>
      </w:pPr>
      <w:r>
        <w:rPr>
          <w:rFonts w:ascii="宋体" w:hAnsi="宋体" w:cs="宋体"/>
          <w:sz w:val="24"/>
          <w:szCs w:val="24"/>
        </w:rPr>
        <w:t>5</w:t>
      </w:r>
      <w:r>
        <w:rPr>
          <w:rFonts w:hint="eastAsia" w:ascii="宋体" w:hAnsi="宋体" w:cs="宋体"/>
          <w:sz w:val="24"/>
          <w:szCs w:val="24"/>
        </w:rPr>
        <w:t>．投标人参加政府采购前三年内在经营活动中没有重大违法记录书面声明函；</w:t>
      </w:r>
    </w:p>
    <w:p>
      <w:pPr>
        <w:autoSpaceDE w:val="0"/>
        <w:autoSpaceDN w:val="0"/>
        <w:adjustRightInd w:val="0"/>
        <w:snapToGrid w:val="0"/>
        <w:spacing w:line="360" w:lineRule="auto"/>
        <w:ind w:right="32" w:firstLine="482" w:firstLineChars="201"/>
        <w:rPr>
          <w:rFonts w:ascii="宋体" w:hAnsi="宋体" w:cs="宋体"/>
          <w:sz w:val="24"/>
          <w:szCs w:val="24"/>
        </w:rPr>
      </w:pPr>
      <w:r>
        <w:rPr>
          <w:rFonts w:ascii="宋体" w:hAnsi="宋体" w:cs="宋体"/>
          <w:sz w:val="24"/>
          <w:szCs w:val="24"/>
        </w:rPr>
        <w:t>6</w:t>
      </w:r>
      <w:r>
        <w:rPr>
          <w:rFonts w:hint="eastAsia" w:ascii="宋体" w:hAnsi="宋体" w:cs="宋体"/>
          <w:sz w:val="24"/>
          <w:szCs w:val="24"/>
        </w:rPr>
        <w:t>.在“信用中国”网站(</w:t>
      </w:r>
      <w:r>
        <w:rPr>
          <w:rFonts w:hint="eastAsia"/>
          <w:sz w:val="24"/>
          <w:szCs w:val="24"/>
          <w:u w:val="single"/>
        </w:rPr>
        <w:t>http://www.creditchina.gov.cn</w:t>
      </w:r>
      <w:r>
        <w:rPr>
          <w:rFonts w:hint="eastAsia" w:ascii="宋体" w:hAnsi="宋体" w:cs="宋体"/>
          <w:sz w:val="24"/>
          <w:szCs w:val="24"/>
        </w:rPr>
        <w:t>)和“中国政府采购网”（</w:t>
      </w:r>
      <w:r>
        <w:rPr>
          <w:rFonts w:hint="eastAsia"/>
          <w:sz w:val="24"/>
          <w:szCs w:val="24"/>
          <w:u w:val="single"/>
        </w:rPr>
        <w:t>http://www.ccgp.gov.cn</w:t>
      </w:r>
      <w:r>
        <w:rPr>
          <w:rFonts w:hint="eastAsia" w:ascii="宋体" w:hAnsi="宋体" w:cs="宋体"/>
          <w:sz w:val="24"/>
          <w:szCs w:val="24"/>
        </w:rPr>
        <w:t>）查询投标人的信用记录截图。</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7.招标文件对投标人的其他资格要求。</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以上文件除要求提供“原件”以外，均应在投标文件中提供复印件并加盖投标人公章，未提供或提供的文件过期、失效的，均为无效投标。（具体要求详见本招标文件初步审查表）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能够真实反映投标人业绩的有效证明材料，如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rPr>
      </w:pPr>
      <w:bookmarkStart w:id="36" w:name="_Toc497408676"/>
      <w:r>
        <w:rPr>
          <w:rFonts w:hint="eastAsia" w:ascii="宋体" w:hAnsi="宋体"/>
          <w:b/>
          <w:bCs/>
          <w:color w:val="000000"/>
          <w:kern w:val="44"/>
          <w:sz w:val="24"/>
          <w:szCs w:val="24"/>
        </w:rPr>
        <w:t>第六章 评标办法（最低评标价法）</w:t>
      </w:r>
      <w:bookmarkEnd w:id="36"/>
    </w:p>
    <w:p>
      <w:pPr>
        <w:spacing w:line="360" w:lineRule="auto"/>
        <w:jc w:val="center"/>
        <w:rPr>
          <w:rFonts w:ascii="宋体" w:hAnsi="宋体"/>
          <w:b/>
          <w:bCs/>
          <w:color w:val="000000"/>
          <w:kern w:val="44"/>
          <w:sz w:val="24"/>
          <w:szCs w:val="24"/>
        </w:rPr>
      </w:pPr>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olor w:val="000000"/>
          <w:sz w:val="24"/>
          <w:szCs w:val="24"/>
        </w:rPr>
      </w:pPr>
      <w:r>
        <w:rPr>
          <w:rFonts w:hint="eastAsia" w:ascii="宋体" w:hAnsi="宋体" w:cs="宋体"/>
          <w:sz w:val="24"/>
          <w:szCs w:val="24"/>
        </w:rPr>
        <w:t>（一）最低评标价法评标</w:t>
      </w:r>
      <w:r>
        <w:rPr>
          <w:rFonts w:ascii="宋体" w:hAnsi="宋体" w:cs="宋体"/>
          <w:sz w:val="24"/>
          <w:szCs w:val="24"/>
        </w:rPr>
        <w:t>,</w:t>
      </w:r>
      <w:r>
        <w:rPr>
          <w:rFonts w:hint="eastAsia" w:ascii="宋体" w:hAnsi="宋体" w:cs="宋体"/>
          <w:sz w:val="24"/>
          <w:szCs w:val="24"/>
        </w:rPr>
        <w:t>即</w:t>
      </w:r>
      <w:r>
        <w:rPr>
          <w:rFonts w:hint="eastAsia" w:ascii="宋体" w:hAnsi="宋体" w:cs="宋体"/>
          <w:color w:val="000000"/>
          <w:sz w:val="24"/>
          <w:szCs w:val="24"/>
        </w:rPr>
        <w:t>在</w:t>
      </w:r>
      <w:r>
        <w:rPr>
          <w:rFonts w:hint="eastAsia" w:ascii="宋体" w:hAnsi="宋体" w:cs="宋体"/>
          <w:color w:val="000000"/>
          <w:kern w:val="0"/>
          <w:sz w:val="24"/>
          <w:szCs w:val="24"/>
        </w:rPr>
        <w:t>投标文件满足招标文件全部实质性要求且投标报价最低的投标人为中标人的评标方法。</w:t>
      </w:r>
      <w:r>
        <w:rPr>
          <w:rFonts w:ascii="宋体" w:hAnsi="宋体" w:cs="宋体"/>
          <w:color w:val="000000"/>
          <w:sz w:val="24"/>
          <w:szCs w:val="24"/>
        </w:rPr>
        <w:t xml:space="preserve"> </w:t>
      </w:r>
    </w:p>
    <w:p>
      <w:pPr>
        <w:widowControl/>
        <w:spacing w:line="360" w:lineRule="auto"/>
        <w:ind w:firstLine="482" w:firstLineChars="201"/>
        <w:rPr>
          <w:rFonts w:ascii="宋体" w:hAnsi="宋体"/>
          <w:color w:val="000000"/>
          <w:sz w:val="24"/>
          <w:szCs w:val="24"/>
        </w:rPr>
      </w:pPr>
      <w:r>
        <w:rPr>
          <w:rFonts w:hint="eastAsia" w:ascii="宋体" w:hAnsi="宋体" w:cs="宋体"/>
          <w:color w:val="000000"/>
          <w:sz w:val="24"/>
          <w:szCs w:val="24"/>
        </w:rPr>
        <w:t>（二）具体评审工作按照以下步骤进行。</w:t>
      </w:r>
    </w:p>
    <w:p>
      <w:pPr>
        <w:widowControl/>
        <w:spacing w:line="360" w:lineRule="auto"/>
        <w:ind w:firstLine="482" w:firstLineChars="201"/>
        <w:rPr>
          <w:rFonts w:ascii="宋体" w:hAnsi="宋体" w:cs="宋体"/>
          <w:color w:val="000000"/>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color w:val="000000"/>
          <w:kern w:val="0"/>
          <w:sz w:val="24"/>
          <w:szCs w:val="24"/>
        </w:rPr>
        <w:t>初审。初审分为资格性检查和符合性检查</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详见下附初审表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资格性检查。依据法律法规和招标文件的规定，对投标文件中的资格证明、投标保证金等进行审查，以确定投标人是否具备投标资格。</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color w:val="000000"/>
          <w:kern w:val="0"/>
          <w:sz w:val="24"/>
          <w:szCs w:val="24"/>
        </w:rPr>
        <w:t>评审结果为“通过”或“未通过”，未通过资格性检查、符合性检查的投标单位按无</w:t>
      </w:r>
      <w:r>
        <w:rPr>
          <w:rFonts w:hint="eastAsia" w:ascii="宋体" w:hAnsi="宋体" w:cs="宋体"/>
          <w:color w:val="000000"/>
          <w:sz w:val="24"/>
          <w:szCs w:val="24"/>
        </w:rPr>
        <w:t>效投标处理。</w:t>
      </w:r>
    </w:p>
    <w:p>
      <w:pPr>
        <w:numPr>
          <w:ilvl w:val="0"/>
          <w:numId w:val="2"/>
        </w:numPr>
        <w:spacing w:line="360" w:lineRule="auto"/>
        <w:ind w:firstLine="482" w:firstLineChars="201"/>
        <w:rPr>
          <w:rFonts w:ascii="宋体" w:hAnsi="宋体"/>
          <w:kern w:val="0"/>
          <w:sz w:val="24"/>
          <w:szCs w:val="24"/>
        </w:rPr>
      </w:pPr>
      <w:r>
        <w:rPr>
          <w:rFonts w:hint="eastAsia" w:ascii="宋体" w:hAnsi="宋体"/>
          <w:kern w:val="0"/>
          <w:sz w:val="24"/>
          <w:szCs w:val="24"/>
        </w:rPr>
        <w:t>技术参数比较。评审内容主要为投标货物的品牌、型号及主要技术参数满足程度和一般技术参数偏离程度等。</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根据投标企业提供的技术资料，由评标委员会逐项分别进行比较和评审。评审原则如下：</w:t>
      </w:r>
      <w:r>
        <w:rPr>
          <w:rFonts w:hint="eastAsia" w:ascii="宋体" w:hAnsi="宋体"/>
          <w:b/>
          <w:bCs/>
          <w:sz w:val="24"/>
          <w:szCs w:val="24"/>
        </w:rPr>
        <w:t>标“*”参数</w:t>
      </w:r>
      <w:r>
        <w:rPr>
          <w:rFonts w:hint="eastAsia" w:ascii="宋体" w:hAnsi="宋体"/>
          <w:b/>
          <w:bCs/>
          <w:kern w:val="0"/>
          <w:sz w:val="24"/>
          <w:szCs w:val="24"/>
        </w:rPr>
        <w:t>凡有</w:t>
      </w:r>
      <w:r>
        <w:rPr>
          <w:rFonts w:hint="eastAsia" w:ascii="宋体" w:hAnsi="宋体"/>
          <w:b/>
          <w:bCs/>
          <w:sz w:val="24"/>
          <w:szCs w:val="24"/>
        </w:rPr>
        <w:t>一项不满足的，属未实质性响应招标文件，按无效投标处理；一般技术参数偏离不能作为对投标人的否决依据，但不能有缺漏项，否则按无效投标处理。</w:t>
      </w:r>
    </w:p>
    <w:p>
      <w:pPr>
        <w:widowControl/>
        <w:numPr>
          <w:ilvl w:val="0"/>
          <w:numId w:val="2"/>
        </w:numPr>
        <w:spacing w:line="360" w:lineRule="auto"/>
        <w:ind w:firstLine="482" w:firstLineChars="201"/>
        <w:jc w:val="left"/>
        <w:rPr>
          <w:rFonts w:ascii="宋体" w:hAnsi="宋体"/>
          <w:sz w:val="24"/>
          <w:szCs w:val="24"/>
        </w:rPr>
      </w:pPr>
      <w:r>
        <w:rPr>
          <w:rFonts w:hint="eastAsia" w:ascii="宋体" w:hAnsi="宋体" w:cs="宋体"/>
          <w:color w:val="000000"/>
          <w:kern w:val="0"/>
          <w:sz w:val="24"/>
          <w:szCs w:val="24"/>
        </w:rPr>
        <w:t>价格比较。由评标委员会对</w:t>
      </w:r>
      <w:r>
        <w:rPr>
          <w:rFonts w:hint="eastAsia" w:ascii="宋体" w:hAnsi="宋体" w:cs="宋体"/>
          <w:kern w:val="0"/>
          <w:sz w:val="24"/>
          <w:szCs w:val="24"/>
        </w:rPr>
        <w:t>实质性响应的投标人的报价进行比较、排序。</w:t>
      </w:r>
      <w:r>
        <w:rPr>
          <w:rFonts w:hint="eastAsia" w:ascii="宋体" w:hAnsi="宋体" w:cs="宋体"/>
          <w:sz w:val="24"/>
          <w:szCs w:val="24"/>
        </w:rPr>
        <w:t>投标报价</w:t>
      </w:r>
      <w:r>
        <w:rPr>
          <w:rFonts w:hint="eastAsia" w:ascii="宋体" w:hAnsi="宋体"/>
          <w:sz w:val="24"/>
          <w:szCs w:val="24"/>
        </w:rPr>
        <w:t>相同的，按技术指标、售后服务条款、业绩的优劣顺序排列。</w:t>
      </w:r>
    </w:p>
    <w:p>
      <w:pPr>
        <w:spacing w:line="360" w:lineRule="auto"/>
        <w:ind w:firstLine="480" w:firstLineChars="200"/>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4. 投标文件满足招标文件全部实质性要求，且进行政府采购政策落实的价格扣除后，对投标报价进行由低到高排序，确定价格最低的投标人为中标人。</w:t>
      </w:r>
    </w:p>
    <w:p>
      <w:pPr>
        <w:spacing w:line="360" w:lineRule="auto"/>
        <w:ind w:firstLine="570"/>
        <w:rPr>
          <w:rFonts w:ascii="宋体" w:hAnsi="宋体" w:cs="宋体"/>
          <w:b/>
          <w:sz w:val="24"/>
          <w:szCs w:val="24"/>
        </w:rPr>
      </w:pPr>
      <w:r>
        <w:rPr>
          <w:rFonts w:hint="eastAsia" w:ascii="宋体" w:hAnsi="宋体" w:cs="宋体"/>
          <w:b/>
          <w:sz w:val="24"/>
          <w:szCs w:val="24"/>
        </w:rPr>
        <w:t>注：</w:t>
      </w:r>
    </w:p>
    <w:p>
      <w:pPr>
        <w:spacing w:line="360" w:lineRule="auto"/>
        <w:ind w:firstLine="570"/>
        <w:rPr>
          <w:rFonts w:ascii="宋体" w:hAnsi="宋体" w:cs="宋体"/>
          <w:sz w:val="24"/>
          <w:szCs w:val="24"/>
        </w:rPr>
      </w:pPr>
      <w:r>
        <w:rPr>
          <w:rFonts w:hint="eastAsia" w:ascii="宋体" w:hAnsi="宋体" w:cs="宋体"/>
          <w:sz w:val="24"/>
          <w:szCs w:val="24"/>
        </w:rPr>
        <w:t>1.提供核心产品为相同品牌的不同投标人参加同一合同项下投标的，以其中通过资格审查、符合性审查且报价最低的参加评标，其余按无效投标处理；投标报价相同的，按技术指标、售后服务条款、业绩的优劣顺序排列确定进入评审的投标人，其余按无效投标处理。</w:t>
      </w:r>
    </w:p>
    <w:p>
      <w:pPr>
        <w:spacing w:line="360" w:lineRule="auto"/>
        <w:ind w:firstLine="570"/>
        <w:rPr>
          <w:rFonts w:ascii="宋体" w:hAnsi="宋体" w:cs="宋体"/>
          <w:sz w:val="24"/>
          <w:szCs w:val="24"/>
        </w:rPr>
      </w:pPr>
      <w:r>
        <w:rPr>
          <w:rFonts w:hint="eastAsia" w:ascii="宋体" w:hAnsi="宋体" w:cs="宋体"/>
          <w:sz w:val="24"/>
          <w:szCs w:val="24"/>
        </w:rPr>
        <w:t>2.参与竞争的核心产品品牌不足</w:t>
      </w:r>
      <w:r>
        <w:rPr>
          <w:rFonts w:ascii="宋体" w:hAnsi="宋体" w:cs="宋体"/>
          <w:sz w:val="24"/>
          <w:szCs w:val="24"/>
        </w:rPr>
        <w:t>3</w:t>
      </w:r>
      <w:r>
        <w:rPr>
          <w:rFonts w:hint="eastAsia" w:ascii="宋体" w:hAnsi="宋体" w:cs="宋体"/>
          <w:sz w:val="24"/>
          <w:szCs w:val="24"/>
        </w:rPr>
        <w:t>个的，项目废标处理。</w:t>
      </w:r>
    </w:p>
    <w:p>
      <w:pPr>
        <w:widowControl/>
        <w:spacing w:line="360" w:lineRule="auto"/>
        <w:ind w:firstLine="600" w:firstLineChars="250"/>
        <w:jc w:val="left"/>
        <w:rPr>
          <w:rFonts w:ascii="宋体" w:hAnsi="宋体"/>
          <w:sz w:val="24"/>
          <w:szCs w:val="24"/>
        </w:rPr>
      </w:pPr>
      <w:r>
        <w:rPr>
          <w:rFonts w:hint="eastAsia" w:ascii="宋体" w:hAnsi="宋体" w:cs="宋体"/>
          <w:sz w:val="24"/>
          <w:szCs w:val="24"/>
        </w:rPr>
        <w:t>3.在同等条件下，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42"/>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rPr>
          <w:jc w:val="center"/>
        </w:trPr>
        <w:tc>
          <w:tcPr>
            <w:tcW w:w="602" w:type="dxa"/>
            <w:vAlign w:val="center"/>
          </w:tcPr>
          <w:p>
            <w:pPr>
              <w:snapToGrid w:val="0"/>
              <w:spacing w:before="0" w:beforeAutospacing="0" w:after="0" w:afterAutospacing="0"/>
              <w:ind w:left="0" w:right="0"/>
              <w:jc w:val="center"/>
              <w:rPr>
                <w:rFonts w:hint="default" w:ascii="宋体" w:hAnsi="宋体" w:cs="Calibri"/>
                <w:sz w:val="18"/>
                <w:szCs w:val="18"/>
              </w:rPr>
            </w:pPr>
            <w:r>
              <w:rPr>
                <w:rFonts w:hint="eastAsia" w:ascii="宋体" w:hAnsi="宋体" w:cs="Calibri"/>
                <w:sz w:val="18"/>
                <w:szCs w:val="18"/>
              </w:rPr>
              <w:t>序号</w:t>
            </w:r>
          </w:p>
        </w:tc>
        <w:tc>
          <w:tcPr>
            <w:tcW w:w="3828"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情形</w:t>
            </w:r>
          </w:p>
        </w:tc>
        <w:tc>
          <w:tcPr>
            <w:tcW w:w="2409"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价格扣除比例</w:t>
            </w:r>
          </w:p>
        </w:tc>
        <w:tc>
          <w:tcPr>
            <w:tcW w:w="2643"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计算公式</w:t>
            </w:r>
          </w:p>
        </w:tc>
      </w:tr>
      <w:tr>
        <w:trPr>
          <w:trHeight w:val="579" w:hRule="atLeast"/>
          <w:jc w:val="center"/>
        </w:trPr>
        <w:tc>
          <w:tcPr>
            <w:tcW w:w="602"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1</w:t>
            </w:r>
          </w:p>
        </w:tc>
        <w:tc>
          <w:tcPr>
            <w:tcW w:w="3828"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非联合体投标人</w:t>
            </w:r>
          </w:p>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（小型、微型企业）</w:t>
            </w:r>
          </w:p>
        </w:tc>
        <w:tc>
          <w:tcPr>
            <w:tcW w:w="2409"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6%</w:t>
            </w:r>
          </w:p>
        </w:tc>
        <w:tc>
          <w:tcPr>
            <w:tcW w:w="2643" w:type="dxa"/>
            <w:vMerge w:val="restart"/>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评标价＝投标总报价×（1-6%）</w:t>
            </w:r>
          </w:p>
        </w:tc>
      </w:tr>
      <w:tr>
        <w:trPr>
          <w:trHeight w:val="575" w:hRule="atLeast"/>
          <w:jc w:val="center"/>
        </w:trPr>
        <w:tc>
          <w:tcPr>
            <w:tcW w:w="602"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2</w:t>
            </w:r>
          </w:p>
        </w:tc>
        <w:tc>
          <w:tcPr>
            <w:tcW w:w="3828"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联合体各方均为小型、微型企业</w:t>
            </w:r>
          </w:p>
        </w:tc>
        <w:tc>
          <w:tcPr>
            <w:tcW w:w="2409"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6%（不再享受本表序号3的价格扣除）</w:t>
            </w:r>
          </w:p>
        </w:tc>
        <w:tc>
          <w:tcPr>
            <w:tcW w:w="2643" w:type="dxa"/>
            <w:vMerge w:val="continue"/>
            <w:vAlign w:val="top"/>
          </w:tcPr>
          <w:p>
            <w:pPr>
              <w:snapToGrid w:val="0"/>
              <w:spacing w:before="0" w:beforeAutospacing="0" w:after="0" w:afterAutospacing="0"/>
              <w:ind w:left="0" w:right="0"/>
              <w:jc w:val="center"/>
              <w:rPr>
                <w:rFonts w:hint="default" w:ascii="宋体" w:hAnsi="宋体" w:cs="Calibri"/>
                <w:sz w:val="24"/>
                <w:szCs w:val="24"/>
              </w:rPr>
            </w:pPr>
          </w:p>
        </w:tc>
      </w:tr>
      <w:tr>
        <w:trPr>
          <w:trHeight w:val="707" w:hRule="atLeast"/>
          <w:jc w:val="center"/>
        </w:trPr>
        <w:tc>
          <w:tcPr>
            <w:tcW w:w="602"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3</w:t>
            </w:r>
          </w:p>
        </w:tc>
        <w:tc>
          <w:tcPr>
            <w:tcW w:w="3828"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联合体一方为小型、微型企业且小型、微型企业协议合同金额占联合体协议合同总金额30%以上的</w:t>
            </w:r>
          </w:p>
        </w:tc>
        <w:tc>
          <w:tcPr>
            <w:tcW w:w="2409"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对联合体总金额扣除2%</w:t>
            </w:r>
          </w:p>
        </w:tc>
        <w:tc>
          <w:tcPr>
            <w:tcW w:w="2643" w:type="dxa"/>
            <w:vAlign w:val="center"/>
          </w:tcPr>
          <w:p>
            <w:pPr>
              <w:snapToGrid w:val="0"/>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评标价＝投标总报价×(1-2%)</w:t>
            </w:r>
          </w:p>
        </w:tc>
      </w:tr>
      <w:tr>
        <w:trPr>
          <w:trHeight w:val="707" w:hRule="atLeast"/>
          <w:jc w:val="center"/>
        </w:trPr>
        <w:tc>
          <w:tcPr>
            <w:tcW w:w="9482" w:type="dxa"/>
            <w:gridSpan w:val="4"/>
            <w:vAlign w:val="center"/>
          </w:tcPr>
          <w:p>
            <w:pPr>
              <w:snapToGrid w:val="0"/>
              <w:spacing w:before="0" w:beforeAutospacing="0" w:after="0" w:afterAutospacing="0"/>
              <w:ind w:left="0" w:right="0"/>
              <w:rPr>
                <w:rFonts w:hint="default" w:ascii="宋体" w:hAnsi="宋体" w:cs="Calibri"/>
                <w:b/>
                <w:sz w:val="21"/>
                <w:szCs w:val="21"/>
              </w:rPr>
            </w:pPr>
            <w:r>
              <w:rPr>
                <w:rFonts w:hint="eastAsia" w:ascii="宋体" w:hAnsi="宋体" w:cs="Calibri"/>
                <w:sz w:val="21"/>
                <w:szCs w:val="21"/>
              </w:rPr>
              <w:t>注：</w:t>
            </w:r>
            <w:r>
              <w:rPr>
                <w:rFonts w:hint="eastAsia" w:ascii="宋体" w:hAnsi="宋体" w:cs="Calibri"/>
                <w:b/>
                <w:sz w:val="21"/>
                <w:szCs w:val="21"/>
              </w:rPr>
              <w:t>（1）上述评标价仅用于计算价格评分，中标金额以实际投标价为准。</w:t>
            </w:r>
          </w:p>
          <w:p>
            <w:pPr>
              <w:widowControl/>
              <w:spacing w:before="0" w:beforeAutospacing="0" w:after="0" w:afterAutospacing="0"/>
              <w:ind w:left="0" w:right="0" w:firstLine="316" w:firstLineChars="150"/>
              <w:jc w:val="left"/>
              <w:rPr>
                <w:rFonts w:hint="default" w:ascii="宋体" w:hAnsi="宋体" w:cs="Calibri"/>
                <w:b/>
                <w:sz w:val="21"/>
                <w:szCs w:val="21"/>
              </w:rPr>
            </w:pPr>
            <w:r>
              <w:rPr>
                <w:rFonts w:hint="eastAsia" w:ascii="宋体" w:hAnsi="宋体" w:cs="Calibri"/>
                <w:b/>
                <w:sz w:val="21"/>
                <w:szCs w:val="21"/>
              </w:rPr>
              <w:t>（2）小型、微型企业是指投标人及其所投核心产品的制造商均为小型、微型企业。（如实填写后附《政府采购政策情况表》）</w:t>
            </w:r>
          </w:p>
          <w:p>
            <w:pPr>
              <w:widowControl/>
              <w:spacing w:before="0" w:beforeAutospacing="0" w:after="0" w:afterAutospacing="0"/>
              <w:ind w:left="0" w:right="0" w:firstLine="316" w:firstLineChars="150"/>
              <w:jc w:val="left"/>
              <w:rPr>
                <w:rFonts w:hint="default" w:ascii="宋体" w:hAnsi="宋体" w:cs="Calibri"/>
                <w:sz w:val="24"/>
                <w:szCs w:val="24"/>
              </w:rPr>
            </w:pPr>
            <w:r>
              <w:rPr>
                <w:rFonts w:hint="eastAsia" w:ascii="宋体" w:hAnsi="宋体" w:cs="Calibri"/>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37" w:name="OLE_LINK1"/>
      <w:bookmarkStart w:id="38" w:name="OLE_LINK9"/>
      <w:r>
        <w:rPr>
          <w:rFonts w:hint="eastAsia" w:ascii="宋体" w:hAnsi="宋体"/>
          <w:sz w:val="24"/>
          <w:szCs w:val="24"/>
        </w:rPr>
        <w:t>本项所称货物不包括使用大型企业注册商标的货物。</w:t>
      </w:r>
      <w:bookmarkEnd w:id="37"/>
      <w:bookmarkEnd w:id="38"/>
      <w:r>
        <w:rPr>
          <w:rFonts w:hint="eastAsia" w:ascii="宋体" w:hAnsi="宋体"/>
          <w:sz w:val="24"/>
          <w:szCs w:val="24"/>
        </w:rPr>
        <w:t>小型、微型企业提供中型企业制造的货物的，视同为中型企业。</w:t>
      </w:r>
    </w:p>
    <w:p>
      <w:pPr>
        <w:widowControl/>
        <w:wordWrap/>
        <w:adjustRightInd/>
        <w:snapToGrid/>
        <w:spacing w:line="360" w:lineRule="auto"/>
        <w:ind w:left="0" w:leftChars="0" w:firstLine="559" w:firstLineChars="233"/>
        <w:jc w:val="left"/>
        <w:textAlignment w:val="auto"/>
        <w:outlineLvl w:val="9"/>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39" w:name="OLE_LINK13"/>
      <w:bookmarkStart w:id="40" w:name="OLE_LINK14"/>
      <w:r>
        <w:rPr>
          <w:rFonts w:hint="eastAsia" w:ascii="宋体" w:hAnsi="宋体"/>
          <w:sz w:val="24"/>
          <w:szCs w:val="24"/>
        </w:rPr>
        <w:t>《残疾人福利性单位声明函》</w:t>
      </w:r>
      <w:bookmarkEnd w:id="39"/>
      <w:bookmarkEnd w:id="40"/>
      <w:r>
        <w:rPr>
          <w:rFonts w:hint="eastAsia" w:ascii="宋体" w:hAnsi="宋体"/>
          <w:sz w:val="24"/>
          <w:szCs w:val="24"/>
        </w:rPr>
        <w:t>为判定标准，否则不认定价格扣除。</w:t>
      </w:r>
    </w:p>
    <w:p>
      <w:pPr>
        <w:widowControl/>
        <w:wordWrap/>
        <w:adjustRightInd/>
        <w:snapToGrid/>
        <w:spacing w:line="360" w:lineRule="auto"/>
        <w:ind w:firstLine="600" w:firstLineChars="250"/>
        <w:jc w:val="left"/>
        <w:textAlignment w:val="auto"/>
        <w:outlineLvl w:val="9"/>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wordWrap/>
        <w:adjustRightInd/>
        <w:snapToGrid/>
        <w:spacing w:line="360" w:lineRule="auto"/>
        <w:ind w:left="0" w:leftChars="0" w:firstLine="559" w:firstLineChars="233"/>
        <w:jc w:val="left"/>
        <w:textAlignment w:val="auto"/>
        <w:outlineLvl w:val="9"/>
        <w:rPr>
          <w:rFonts w:hint="eastAsia" w:ascii="宋体" w:hAnsi="宋体"/>
          <w:sz w:val="24"/>
          <w:szCs w:val="24"/>
        </w:rPr>
      </w:pPr>
      <w:r>
        <w:rPr>
          <w:rFonts w:hint="eastAsia" w:ascii="宋体" w:hAnsi="宋体"/>
          <w:sz w:val="24"/>
          <w:szCs w:val="24"/>
          <w:lang w:val="en-US" w:eastAsia="zh-CN"/>
        </w:rPr>
        <w:t>（4）投标人通过“国家企业信用信息公示系（http://www.gsxt.gov.cn/index.html），点击“小微企业名录”（http://xwqy.gsxt.gov.cn）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r>
        <w:rPr>
          <w:rFonts w:hint="eastAsia" w:ascii="宋体" w:hAnsi="宋体"/>
          <w:sz w:val="24"/>
          <w:szCs w:val="24"/>
          <w:lang w:val="en-US" w:eastAsia="zh-CN"/>
        </w:rPr>
        <w:br/>
      </w:r>
      <w:r>
        <w:rPr>
          <w:rFonts w:hint="eastAsia" w:ascii="宋体" w:hAnsi="宋体"/>
          <w:sz w:val="24"/>
          <w:szCs w:val="24"/>
          <w:lang w:val="en-US" w:eastAsia="zh-CN"/>
        </w:rPr>
        <w:t xml:space="preserve">    （5）提供声明函不实或在政府采购活动中有违法违规行为的，取消其中标资格，并严格按照相关法律法规处理。</w:t>
      </w:r>
    </w:p>
    <w:p>
      <w:pPr>
        <w:spacing w:line="360" w:lineRule="auto"/>
        <w:rPr>
          <w:rFonts w:ascii="宋体" w:hAnsi="宋体"/>
          <w:b/>
          <w:sz w:val="24"/>
          <w:szCs w:val="24"/>
        </w:rPr>
      </w:pPr>
      <w:r>
        <w:rPr>
          <w:rFonts w:hint="eastAsia" w:ascii="宋体" w:hAnsi="宋体" w:cs="宋体"/>
          <w:b/>
          <w:color w:val="000000"/>
          <w:kern w:val="0"/>
          <w:sz w:val="24"/>
          <w:szCs w:val="24"/>
        </w:rPr>
        <w:t>初审表：</w:t>
      </w:r>
    </w:p>
    <w:tbl>
      <w:tblPr>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110"/>
        <w:gridCol w:w="6775"/>
      </w:tblGrid>
      <w:tr>
        <w:trPr>
          <w:cantSplit/>
          <w:trHeight w:val="555" w:hRule="atLeast"/>
          <w:jc w:val="center"/>
        </w:trPr>
        <w:tc>
          <w:tcPr>
            <w:tcW w:w="427" w:type="dxa"/>
            <w:vMerge w:val="restart"/>
            <w:tcBorders>
              <w:left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1"/>
                <w:szCs w:val="21"/>
              </w:rPr>
            </w:pPr>
            <w:r>
              <w:rPr>
                <w:rFonts w:hint="eastAsia" w:ascii="宋体" w:hAnsi="宋体" w:cs="Calibri"/>
                <w:sz w:val="21"/>
                <w:szCs w:val="21"/>
              </w:rPr>
              <w:t>资格性审查</w:t>
            </w:r>
          </w:p>
          <w:p>
            <w:pPr>
              <w:spacing w:before="0" w:beforeAutospacing="0" w:after="0" w:afterAutospacing="0"/>
              <w:ind w:left="0" w:right="0"/>
              <w:jc w:val="left"/>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具有独立承担民事责任的能力</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审查有效的营业执照或事业单位法人证书或执业许可证或自然人的身份证明。</w:t>
            </w:r>
          </w:p>
        </w:tc>
      </w:tr>
      <w:tr>
        <w:trPr>
          <w:cantSplit/>
          <w:trHeight w:val="1032" w:hRule="atLeast"/>
          <w:jc w:val="center"/>
        </w:trPr>
        <w:tc>
          <w:tcPr>
            <w:tcW w:w="427" w:type="dxa"/>
            <w:vMerge w:val="continue"/>
            <w:tcBorders>
              <w:left w:val="single" w:color="auto" w:sz="4" w:space="0"/>
              <w:right w:val="single" w:color="auto" w:sz="4" w:space="0"/>
            </w:tcBorders>
            <w:vAlign w:val="center"/>
          </w:tcPr>
          <w:p>
            <w:pPr>
              <w:widowControl/>
              <w:spacing w:before="0" w:beforeAutospacing="0" w:after="0" w:afterAutospacing="0"/>
              <w:ind w:left="0" w:right="0"/>
              <w:jc w:val="left"/>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具有良好的商业信誉和健全的财务会计制度</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1.投标人是法人的审查会计师事务所出具的上一年度财务审计报告或基本开户银行近一年内出具的资信证明。</w:t>
            </w:r>
          </w:p>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2.投标人是部分其他组织或自然人的，审查银行近一年内出具的资信证明。</w:t>
            </w:r>
          </w:p>
        </w:tc>
      </w:tr>
      <w:tr>
        <w:trPr>
          <w:cantSplit/>
          <w:trHeight w:val="1133" w:hRule="atLeast"/>
          <w:jc w:val="center"/>
        </w:trPr>
        <w:tc>
          <w:tcPr>
            <w:tcW w:w="427" w:type="dxa"/>
            <w:vMerge w:val="continue"/>
            <w:tcBorders>
              <w:left w:val="single" w:color="auto" w:sz="4" w:space="0"/>
              <w:right w:val="single" w:color="auto" w:sz="4" w:space="0"/>
            </w:tcBorders>
            <w:vAlign w:val="center"/>
          </w:tcPr>
          <w:p>
            <w:pPr>
              <w:widowControl/>
              <w:spacing w:before="0" w:beforeAutospacing="0" w:after="0" w:afterAutospacing="0"/>
              <w:ind w:left="0" w:right="0"/>
              <w:jc w:val="left"/>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有依法缴纳税收和社会保障资金的良好记录</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1.提供递交投标文件截止之日前六个月内（至少一个月）的良好缴纳税收的相关凭据。（以税务机关提供的纳税凭据或银行入账单为准）</w:t>
            </w:r>
          </w:p>
          <w:p>
            <w:pPr>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2.提供递交投标文件截止之日前六个月内（至少一个月）缴纳社会保险的凭证。（以社保机构出具的专用收据或社会保险缴纳清单为准）</w:t>
            </w:r>
          </w:p>
          <w:p>
            <w:pPr>
              <w:spacing w:before="0" w:beforeAutospacing="0" w:after="0" w:afterAutospacing="0"/>
              <w:ind w:left="0" w:right="0"/>
              <w:jc w:val="left"/>
              <w:rPr>
                <w:rFonts w:hint="default" w:ascii="宋体" w:hAnsi="宋体" w:cs="Calibri"/>
                <w:sz w:val="24"/>
                <w:szCs w:val="24"/>
              </w:rPr>
            </w:pPr>
            <w:r>
              <w:rPr>
                <w:rFonts w:hint="eastAsia" w:ascii="宋体" w:hAnsi="宋体" w:cs="宋体"/>
                <w:sz w:val="24"/>
                <w:szCs w:val="24"/>
              </w:rPr>
              <w:t>注：依法免税或不需要缴纳社会保障资金的投标人，应提供相应文件证明其依法免税或不需要缴纳社会保障资金。</w:t>
            </w:r>
          </w:p>
        </w:tc>
      </w:tr>
      <w:tr>
        <w:trPr>
          <w:cantSplit/>
          <w:trHeight w:val="437" w:hRule="atLeast"/>
          <w:jc w:val="center"/>
        </w:trPr>
        <w:tc>
          <w:tcPr>
            <w:tcW w:w="427" w:type="dxa"/>
            <w:vMerge w:val="continue"/>
            <w:tcBorders>
              <w:left w:val="single" w:color="auto" w:sz="4" w:space="0"/>
              <w:right w:val="single" w:color="auto" w:sz="4" w:space="0"/>
            </w:tcBorders>
            <w:vAlign w:val="center"/>
          </w:tcPr>
          <w:p>
            <w:pPr>
              <w:widowControl/>
              <w:spacing w:before="0" w:beforeAutospacing="0" w:after="0" w:afterAutospacing="0"/>
              <w:ind w:left="0" w:right="0"/>
              <w:jc w:val="left"/>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具有履行合同所必须的设备和专业技术能力</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经营范围符合采购需求</w:t>
            </w:r>
          </w:p>
        </w:tc>
      </w:tr>
      <w:tr>
        <w:trPr>
          <w:cantSplit/>
          <w:trHeight w:val="942" w:hRule="atLeast"/>
          <w:jc w:val="center"/>
        </w:trPr>
        <w:tc>
          <w:tcPr>
            <w:tcW w:w="427" w:type="dxa"/>
            <w:vMerge w:val="continue"/>
            <w:tcBorders>
              <w:left w:val="single" w:color="auto" w:sz="4" w:space="0"/>
              <w:right w:val="single" w:color="auto" w:sz="4" w:space="0"/>
            </w:tcBorders>
            <w:vAlign w:val="center"/>
          </w:tcPr>
          <w:p>
            <w:pPr>
              <w:widowControl/>
              <w:spacing w:before="0" w:beforeAutospacing="0" w:after="0" w:afterAutospacing="0"/>
              <w:ind w:left="0" w:right="0"/>
              <w:jc w:val="left"/>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参加采购活动前3年内，在经营活动中没有重大违法记录</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1.审查“参加本采购活动前3年内”投标人书面声明函；</w:t>
            </w:r>
          </w:p>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rPr>
          <w:cantSplit/>
          <w:trHeight w:val="176" w:hRule="atLeast"/>
          <w:jc w:val="center"/>
        </w:trPr>
        <w:tc>
          <w:tcPr>
            <w:tcW w:w="427" w:type="dxa"/>
            <w:vMerge w:val="continue"/>
            <w:tcBorders>
              <w:left w:val="single" w:color="auto" w:sz="4" w:space="0"/>
              <w:right w:val="single" w:color="auto" w:sz="4" w:space="0"/>
            </w:tcBorders>
            <w:vAlign w:val="center"/>
          </w:tcPr>
          <w:p>
            <w:pPr>
              <w:widowControl/>
              <w:spacing w:before="0" w:beforeAutospacing="0" w:after="0" w:afterAutospacing="0"/>
              <w:ind w:left="0" w:right="0"/>
              <w:jc w:val="left"/>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其他资质要求</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投标人必须具有</w:t>
            </w:r>
            <w:r>
              <w:rPr>
                <w:rFonts w:hint="eastAsia" w:ascii="宋体" w:hAnsi="宋体" w:cs="Calibri"/>
                <w:sz w:val="24"/>
                <w:szCs w:val="24"/>
                <w:lang w:eastAsia="zh-CN"/>
              </w:rPr>
              <w:t>“</w:t>
            </w:r>
            <w:r>
              <w:rPr>
                <w:rFonts w:hint="eastAsia" w:ascii="宋体" w:hAnsi="宋体" w:cs="Calibri"/>
                <w:sz w:val="24"/>
                <w:szCs w:val="24"/>
              </w:rPr>
              <w:t>电子与智能化工程专业承包贰级</w:t>
            </w:r>
            <w:r>
              <w:rPr>
                <w:rFonts w:hint="eastAsia" w:ascii="宋体" w:hAnsi="宋体" w:cs="Calibri"/>
                <w:sz w:val="24"/>
                <w:szCs w:val="24"/>
                <w:lang w:eastAsia="zh-CN"/>
              </w:rPr>
              <w:t>及</w:t>
            </w:r>
            <w:r>
              <w:rPr>
                <w:rFonts w:hint="eastAsia" w:ascii="宋体" w:hAnsi="宋体" w:cs="Calibri"/>
                <w:sz w:val="24"/>
                <w:szCs w:val="24"/>
              </w:rPr>
              <w:t>以上（</w:t>
            </w:r>
            <w:r>
              <w:rPr>
                <w:rFonts w:hint="eastAsia" w:ascii="宋体" w:hAnsi="宋体" w:cs="Calibri"/>
                <w:sz w:val="24"/>
                <w:szCs w:val="24"/>
                <w:lang w:eastAsia="zh-CN"/>
              </w:rPr>
              <w:t>含</w:t>
            </w:r>
            <w:r>
              <w:rPr>
                <w:rFonts w:hint="eastAsia" w:ascii="宋体" w:hAnsi="宋体" w:cs="Calibri"/>
                <w:sz w:val="24"/>
                <w:szCs w:val="24"/>
              </w:rPr>
              <w:t>贰级）证书</w:t>
            </w:r>
            <w:r>
              <w:rPr>
                <w:rFonts w:hint="eastAsia" w:ascii="宋体" w:hAnsi="宋体" w:cs="Calibri"/>
                <w:sz w:val="24"/>
                <w:szCs w:val="24"/>
                <w:lang w:eastAsia="zh-CN"/>
              </w:rPr>
              <w:t>”</w:t>
            </w:r>
            <w:r>
              <w:rPr>
                <w:rFonts w:hint="eastAsia" w:ascii="宋体" w:hAnsi="宋体" w:cs="Calibri"/>
                <w:sz w:val="24"/>
                <w:szCs w:val="24"/>
              </w:rPr>
              <w:t>。</w:t>
            </w:r>
          </w:p>
          <w:p>
            <w:pPr>
              <w:spacing w:before="0" w:beforeAutospacing="0" w:after="0" w:afterAutospacing="0"/>
              <w:ind w:left="0" w:right="0"/>
              <w:jc w:val="left"/>
              <w:rPr>
                <w:rFonts w:hint="default" w:ascii="宋体" w:hAnsi="宋体" w:cs="Calibri"/>
                <w:sz w:val="24"/>
                <w:szCs w:val="24"/>
              </w:rPr>
            </w:pPr>
          </w:p>
        </w:tc>
      </w:tr>
      <w:tr>
        <w:trPr>
          <w:cantSplit/>
          <w:trHeight w:val="565" w:hRule="atLeast"/>
          <w:jc w:val="center"/>
        </w:trPr>
        <w:tc>
          <w:tcPr>
            <w:tcW w:w="427" w:type="dxa"/>
            <w:vMerge w:val="restart"/>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r>
              <w:rPr>
                <w:rFonts w:hint="eastAsia" w:ascii="宋体" w:hAnsi="宋体" w:cs="Calibri"/>
                <w:sz w:val="21"/>
                <w:szCs w:val="21"/>
              </w:rPr>
              <w:t>符合性审查</w:t>
            </w:r>
          </w:p>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报名及保证金缴纳情况</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按要求进行网上报名、进行保证金缴纳。（审查汇款凭证）</w:t>
            </w:r>
          </w:p>
        </w:tc>
      </w:tr>
      <w:tr>
        <w:trPr>
          <w:cantSplit/>
          <w:trHeight w:val="565"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投标承诺书及法人授权委托书</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符合招标文件要求。（格式、填写要求、签署、盖章、委托人身份等）</w:t>
            </w:r>
          </w:p>
        </w:tc>
      </w:tr>
      <w:tr>
        <w:trPr>
          <w:cantSplit/>
          <w:trHeight w:val="283"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开标一览表</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符合招标文件要求。（格式、填写要求、签署、盖章等）</w:t>
            </w:r>
          </w:p>
        </w:tc>
      </w:tr>
      <w:tr>
        <w:trPr>
          <w:cantSplit/>
          <w:trHeight w:val="565"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投标文件规范性、符合性</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投标文件的编制、密封、装订、签署、盖章、涂改、删除、插字、公章使用等符合招标文件要求；投标文件的格式、文字、目录、页码等符合招标文件要求或对投标无实质性影响。</w:t>
            </w:r>
          </w:p>
        </w:tc>
      </w:tr>
      <w:tr>
        <w:trPr>
          <w:cantSplit/>
          <w:trHeight w:val="365"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投标有效期</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满足招标文件要求。</w:t>
            </w:r>
          </w:p>
        </w:tc>
      </w:tr>
      <w:tr>
        <w:trPr>
          <w:cantSplit/>
          <w:trHeight w:val="429"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主要商务条款</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满足招标文件关于交付使用时间、质保期、付款方式要求。</w:t>
            </w:r>
          </w:p>
        </w:tc>
      </w:tr>
      <w:tr>
        <w:trPr>
          <w:cantSplit/>
          <w:trHeight w:val="303"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附加条件</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投标文件中不含采购人不能接受的附加条件。</w:t>
            </w:r>
          </w:p>
        </w:tc>
      </w:tr>
      <w:tr>
        <w:trPr>
          <w:cantSplit/>
          <w:trHeight w:val="567"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联合体投标</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本项目不接受联合体投标。（如要求联合体投标，符合本招标文件对联合体投标的相关要求）</w:t>
            </w:r>
          </w:p>
        </w:tc>
      </w:tr>
      <w:tr>
        <w:trPr>
          <w:cantSplit/>
          <w:trHeight w:val="339"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vMerge w:val="restart"/>
            <w:tcBorders>
              <w:top w:val="single" w:color="auto" w:sz="4" w:space="0"/>
              <w:left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技术部分实质性内容</w:t>
            </w:r>
          </w:p>
        </w:tc>
        <w:tc>
          <w:tcPr>
            <w:tcW w:w="6775" w:type="dxa"/>
            <w:tcBorders>
              <w:top w:val="single" w:color="auto" w:sz="4" w:space="0"/>
              <w:left w:val="single" w:color="auto" w:sz="4" w:space="0"/>
              <w:right w:val="single" w:color="auto" w:sz="4" w:space="0"/>
            </w:tcBorders>
            <w:vAlign w:val="center"/>
          </w:tcPr>
          <w:p>
            <w:pPr>
              <w:snapToGrid w:val="0"/>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明确所投全部货物的产品品牌、型号；</w:t>
            </w:r>
          </w:p>
        </w:tc>
      </w:tr>
      <w:tr>
        <w:trPr>
          <w:cantSplit/>
          <w:trHeight w:val="415"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vMerge w:val="continue"/>
            <w:tcBorders>
              <w:left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p>
        </w:tc>
        <w:tc>
          <w:tcPr>
            <w:tcW w:w="6775" w:type="dxa"/>
            <w:tcBorders>
              <w:top w:val="single" w:color="auto" w:sz="4" w:space="0"/>
              <w:left w:val="single" w:color="auto" w:sz="4" w:space="0"/>
              <w:right w:val="single" w:color="auto" w:sz="4" w:space="0"/>
            </w:tcBorders>
            <w:vAlign w:val="center"/>
          </w:tcPr>
          <w:p>
            <w:pPr>
              <w:snapToGrid w:val="0"/>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主要技术参数指标（加“*”项）完全满足或优于招标文件要求。</w:t>
            </w:r>
          </w:p>
        </w:tc>
      </w:tr>
      <w:tr>
        <w:trPr>
          <w:cantSplit/>
          <w:trHeight w:val="217"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vMerge w:val="continue"/>
            <w:tcBorders>
              <w:left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p>
        </w:tc>
        <w:tc>
          <w:tcPr>
            <w:tcW w:w="6775" w:type="dxa"/>
            <w:tcBorders>
              <w:top w:val="single" w:color="auto" w:sz="4" w:space="0"/>
              <w:left w:val="single" w:color="auto" w:sz="4" w:space="0"/>
              <w:right w:val="single" w:color="auto" w:sz="4" w:space="0"/>
            </w:tcBorders>
            <w:vAlign w:val="center"/>
          </w:tcPr>
          <w:p>
            <w:pPr>
              <w:snapToGrid w:val="0"/>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所有投标产品的技术参数和性能指标逐一列出并提供相应的证明材料且标明页码。对招标原文件原文复制或只注明“符合”、“满足”等无具体证明材料，将视为不符合招标文件要标。</w:t>
            </w:r>
          </w:p>
        </w:tc>
      </w:tr>
      <w:tr>
        <w:trPr>
          <w:cantSplit/>
          <w:trHeight w:val="471"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投标报价</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只能有一个有效报价且不超过采购预算。</w:t>
            </w:r>
          </w:p>
        </w:tc>
      </w:tr>
      <w:tr>
        <w:trPr>
          <w:cantSplit/>
          <w:trHeight w:val="781" w:hRule="atLeast"/>
          <w:jc w:val="center"/>
        </w:trPr>
        <w:tc>
          <w:tcPr>
            <w:tcW w:w="427" w:type="dxa"/>
            <w:vMerge w:val="continue"/>
            <w:tcBorders>
              <w:left w:val="single" w:color="auto" w:sz="4" w:space="0"/>
              <w:right w:val="single" w:color="auto" w:sz="4" w:space="0"/>
            </w:tcBorders>
            <w:vAlign w:val="center"/>
          </w:tcPr>
          <w:p>
            <w:pPr>
              <w:spacing w:before="0" w:beforeAutospacing="0" w:after="0" w:afterAutospacing="0"/>
              <w:ind w:left="0" w:right="0"/>
              <w:rPr>
                <w:rFonts w:hint="default" w:ascii="宋体" w:hAnsi="宋体" w:cs="Calibri"/>
                <w:sz w:val="21"/>
                <w:szCs w:val="21"/>
              </w:rPr>
            </w:pPr>
          </w:p>
        </w:tc>
        <w:tc>
          <w:tcPr>
            <w:tcW w:w="3110"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其他要求</w:t>
            </w:r>
          </w:p>
        </w:tc>
        <w:tc>
          <w:tcPr>
            <w:tcW w:w="6775"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left"/>
              <w:rPr>
                <w:rFonts w:hint="default" w:ascii="宋体" w:hAnsi="宋体" w:cs="Calibri"/>
                <w:sz w:val="24"/>
                <w:szCs w:val="24"/>
              </w:rPr>
            </w:pPr>
            <w:r>
              <w:rPr>
                <w:rFonts w:hint="eastAsia" w:ascii="宋体" w:hAnsi="宋体" w:cs="Calibri"/>
                <w:sz w:val="24"/>
                <w:szCs w:val="24"/>
              </w:rPr>
              <w:t>招标文件要求的其他无效投标情形；围标、串标和法律法规规定的其它无效投标条款。</w:t>
            </w:r>
          </w:p>
        </w:tc>
      </w:tr>
    </w:tbl>
    <w:p>
      <w:pPr>
        <w:spacing w:line="360" w:lineRule="auto"/>
        <w:rPr>
          <w:rFonts w:ascii="宋体" w:hAnsi="宋体" w:cs="宋体"/>
          <w:b/>
          <w:color w:val="000000"/>
          <w:kern w:val="0"/>
          <w:sz w:val="24"/>
          <w:szCs w:val="24"/>
        </w:rPr>
      </w:pPr>
    </w:p>
    <w:p>
      <w:pPr>
        <w:spacing w:line="360" w:lineRule="auto"/>
        <w:rPr>
          <w:rFonts w:ascii="宋体" w:hAnsi="宋体"/>
          <w:color w:val="000000"/>
          <w:sz w:val="24"/>
          <w:szCs w:val="24"/>
        </w:rPr>
      </w:pPr>
      <w:r>
        <w:rPr>
          <w:rFonts w:ascii="宋体" w:hAnsi="宋体"/>
          <w:color w:val="000000"/>
          <w:sz w:val="24"/>
          <w:szCs w:val="24"/>
        </w:rPr>
        <w:br w:type="page"/>
      </w:r>
    </w:p>
    <w:p>
      <w:pPr>
        <w:pStyle w:val="4"/>
        <w:spacing w:line="360" w:lineRule="auto"/>
        <w:rPr>
          <w:rFonts w:ascii="宋体" w:hAnsi="宋体"/>
          <w:color w:val="000000"/>
          <w:sz w:val="24"/>
          <w:szCs w:val="24"/>
        </w:rPr>
      </w:pPr>
      <w:bookmarkStart w:id="41" w:name="_Toc497408663"/>
      <w:r>
        <w:rPr>
          <w:rFonts w:hint="eastAsia" w:ascii="宋体" w:hAnsi="宋体"/>
          <w:color w:val="000000"/>
          <w:sz w:val="24"/>
          <w:szCs w:val="24"/>
        </w:rPr>
        <w:t>第七章 投标文件格式与要求</w:t>
      </w:r>
      <w:bookmarkEnd w:id="41"/>
    </w:p>
    <w:p>
      <w:pPr>
        <w:rPr>
          <w:sz w:val="24"/>
          <w:szCs w:val="24"/>
        </w:rPr>
      </w:pPr>
    </w:p>
    <w:p>
      <w:pPr>
        <w:ind w:firstLine="720" w:firstLineChars="300"/>
        <w:rPr>
          <w:sz w:val="24"/>
          <w:szCs w:val="24"/>
        </w:rPr>
      </w:pPr>
      <w:r>
        <w:rPr>
          <w:rFonts w:hint="eastAsia"/>
          <w:sz w:val="24"/>
          <w:szCs w:val="24"/>
        </w:rPr>
        <w:t>投标人提供投标文件应当按照以下格式及要求进行编制，且应当不少于以下内容。</w:t>
      </w:r>
    </w:p>
    <w:p>
      <w:pPr>
        <w:spacing w:line="360" w:lineRule="auto"/>
        <w:rPr>
          <w:rFonts w:ascii="宋体" w:hAnsi="宋体"/>
          <w:b/>
          <w:bCs/>
          <w:color w:val="000000"/>
          <w:kern w:val="0"/>
          <w:sz w:val="24"/>
          <w:szCs w:val="24"/>
        </w:rPr>
      </w:pPr>
      <w:r>
        <w:rPr>
          <w:rFonts w:ascii="宋体" w:hAnsi="宋体"/>
          <w:b/>
          <w:bCs/>
          <w:color w:val="000000"/>
          <w:kern w:val="0"/>
          <w:sz w:val="24"/>
          <w:szCs w:val="24"/>
        </w:rPr>
        <w:br w:type="page"/>
      </w:r>
    </w:p>
    <w:p>
      <w:pPr>
        <w:spacing w:line="360" w:lineRule="auto"/>
        <w:jc w:val="left"/>
        <w:rPr>
          <w:rFonts w:ascii="宋体" w:hAnsi="宋体"/>
          <w:bCs/>
          <w:color w:val="000000"/>
          <w:kern w:val="0"/>
          <w:sz w:val="24"/>
          <w:szCs w:val="24"/>
        </w:rPr>
      </w:pPr>
      <w:r>
        <w:rPr>
          <w:rFonts w:hint="eastAsia" w:ascii="宋体" w:hAnsi="宋体"/>
          <w:b/>
          <w:bCs/>
          <w:color w:val="000000"/>
          <w:kern w:val="0"/>
          <w:sz w:val="24"/>
          <w:szCs w:val="24"/>
        </w:rPr>
        <w:t>格式一</w:t>
      </w:r>
      <w:r>
        <w:rPr>
          <w:rFonts w:hint="eastAsia" w:ascii="宋体" w:hAnsi="宋体"/>
          <w:bCs/>
          <w:color w:val="000000"/>
          <w:kern w:val="0"/>
          <w:sz w:val="24"/>
          <w:szCs w:val="24"/>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b/>
          <w:bCs/>
          <w:sz w:val="36"/>
          <w:szCs w:val="36"/>
        </w:rPr>
      </w:pPr>
      <w:r>
        <w:rPr>
          <w:rFonts w:hint="eastAsia" w:ascii="宋体" w:hAnsi="宋体" w:cs="宋体"/>
          <w:b/>
          <w:bCs/>
          <w:sz w:val="36"/>
          <w:szCs w:val="36"/>
        </w:rPr>
        <w:t>投标文件封面</w:t>
      </w:r>
    </w:p>
    <w:p>
      <w:pPr>
        <w:spacing w:line="360" w:lineRule="auto"/>
        <w:ind w:firstLine="1049" w:firstLineChars="201"/>
        <w:jc w:val="center"/>
        <w:rPr>
          <w:rFonts w:ascii="宋体" w:hAnsi="宋体"/>
          <w:b/>
          <w:bCs/>
          <w:sz w:val="52"/>
          <w:szCs w:val="52"/>
        </w:rPr>
      </w:pPr>
    </w:p>
    <w:p>
      <w:pPr>
        <w:spacing w:line="360" w:lineRule="auto"/>
        <w:ind w:firstLine="1049" w:firstLineChars="201"/>
        <w:jc w:val="center"/>
        <w:rPr>
          <w:rFonts w:ascii="宋体" w:hAnsi="宋体"/>
          <w:b/>
          <w:bCs/>
          <w:kern w:val="0"/>
          <w:sz w:val="52"/>
          <w:szCs w:val="52"/>
        </w:rPr>
      </w:pPr>
      <w:r>
        <w:rPr>
          <w:rFonts w:hint="eastAsia" w:ascii="宋体" w:hAnsi="宋体" w:cs="宋体"/>
          <w:b/>
          <w:bCs/>
          <w:kern w:val="0"/>
          <w:sz w:val="52"/>
          <w:szCs w:val="52"/>
        </w:rPr>
        <w:t>（项目名称）</w:t>
      </w:r>
    </w:p>
    <w:p>
      <w:pPr>
        <w:spacing w:line="360" w:lineRule="auto"/>
        <w:ind w:firstLine="1049" w:firstLineChars="201"/>
        <w:jc w:val="center"/>
        <w:rPr>
          <w:rFonts w:ascii="宋体" w:hAnsi="宋体"/>
          <w:b/>
          <w:bCs/>
          <w:kern w:val="0"/>
          <w:sz w:val="52"/>
          <w:szCs w:val="52"/>
        </w:rPr>
      </w:pPr>
      <w:r>
        <w:rPr>
          <w:rFonts w:hint="eastAsia" w:ascii="宋体" w:hAnsi="宋体" w:cs="宋体"/>
          <w:b/>
          <w:bCs/>
          <w:kern w:val="0"/>
          <w:sz w:val="52"/>
          <w:szCs w:val="52"/>
        </w:rPr>
        <w:t>投标文件</w:t>
      </w:r>
    </w:p>
    <w:p>
      <w:pPr>
        <w:spacing w:line="360" w:lineRule="auto"/>
        <w:ind w:firstLine="723" w:firstLineChars="201"/>
        <w:jc w:val="center"/>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723" w:firstLineChars="201"/>
        <w:rPr>
          <w:rFonts w:ascii="宋体" w:hAnsi="宋体"/>
          <w:sz w:val="36"/>
          <w:szCs w:val="36"/>
        </w:rPr>
      </w:pPr>
      <w:r>
        <w:rPr>
          <w:rFonts w:hint="eastAsia" w:ascii="宋体" w:hAnsi="宋体" w:cs="楷体_GB2312"/>
          <w:sz w:val="36"/>
          <w:szCs w:val="36"/>
        </w:rPr>
        <w:t>项目编号：</w:t>
      </w:r>
    </w:p>
    <w:p>
      <w:pPr>
        <w:spacing w:line="360" w:lineRule="auto"/>
        <w:ind w:firstLine="723" w:firstLineChars="201"/>
        <w:rPr>
          <w:rFonts w:ascii="宋体" w:hAnsi="宋体"/>
          <w:b/>
          <w:bCs/>
          <w:kern w:val="0"/>
          <w:sz w:val="36"/>
          <w:szCs w:val="36"/>
        </w:rPr>
      </w:pPr>
      <w:r>
        <w:rPr>
          <w:rFonts w:hint="eastAsia" w:ascii="宋体" w:hAnsi="宋体" w:cs="楷体_GB2312"/>
          <w:sz w:val="36"/>
          <w:szCs w:val="36"/>
        </w:rPr>
        <w:t>包号：第包</w:t>
      </w:r>
      <w:r>
        <w:rPr>
          <w:rFonts w:hint="eastAsia" w:ascii="宋体" w:hAnsi="宋体" w:cs="方正楷体简体"/>
          <w:szCs w:val="28"/>
        </w:rPr>
        <w:t>（</w:t>
      </w:r>
      <w:r>
        <w:rPr>
          <w:rFonts w:hint="eastAsia" w:ascii="宋体" w:hAnsi="宋体" w:cs="宋体"/>
          <w:kern w:val="0"/>
          <w:szCs w:val="28"/>
        </w:rPr>
        <w:t>项目无分包时不需填写）</w:t>
      </w:r>
    </w:p>
    <w:p>
      <w:pPr>
        <w:spacing w:line="360" w:lineRule="auto"/>
        <w:rPr>
          <w:rFonts w:ascii="宋体" w:hAnsi="宋体"/>
          <w:kern w:val="0"/>
          <w:szCs w:val="28"/>
        </w:rPr>
      </w:pPr>
    </w:p>
    <w:p>
      <w:pPr>
        <w:spacing w:line="360" w:lineRule="auto"/>
        <w:rPr>
          <w:rFonts w:ascii="宋体" w:hAnsi="宋体"/>
          <w:kern w:val="0"/>
          <w:szCs w:val="28"/>
        </w:rPr>
      </w:pPr>
    </w:p>
    <w:p>
      <w:pPr>
        <w:spacing w:line="360" w:lineRule="auto"/>
        <w:ind w:firstLine="723" w:firstLineChars="201"/>
        <w:jc w:val="center"/>
        <w:rPr>
          <w:rFonts w:ascii="宋体" w:hAnsi="宋体"/>
          <w:sz w:val="36"/>
          <w:szCs w:val="36"/>
        </w:rPr>
      </w:pPr>
      <w:r>
        <w:rPr>
          <w:rFonts w:hint="eastAsia" w:ascii="宋体" w:hAnsi="宋体" w:cs="楷体_GB2312"/>
          <w:sz w:val="36"/>
          <w:szCs w:val="36"/>
        </w:rPr>
        <w:t>（投标人名称）</w:t>
      </w:r>
    </w:p>
    <w:p>
      <w:pPr>
        <w:spacing w:line="360" w:lineRule="auto"/>
        <w:ind w:firstLine="723" w:firstLineChars="201"/>
        <w:jc w:val="center"/>
        <w:rPr>
          <w:rFonts w:ascii="宋体" w:hAnsi="宋体"/>
          <w:sz w:val="36"/>
          <w:szCs w:val="36"/>
        </w:rPr>
      </w:pPr>
    </w:p>
    <w:p>
      <w:pPr>
        <w:spacing w:line="360" w:lineRule="auto"/>
        <w:ind w:firstLine="723" w:firstLineChars="201"/>
        <w:jc w:val="center"/>
        <w:rPr>
          <w:rFonts w:ascii="宋体" w:hAnsi="宋体"/>
          <w:sz w:val="36"/>
          <w:szCs w:val="36"/>
        </w:rPr>
      </w:pPr>
    </w:p>
    <w:p>
      <w:pPr>
        <w:spacing w:line="360" w:lineRule="auto"/>
        <w:ind w:firstLine="723" w:firstLineChars="201"/>
        <w:jc w:val="center"/>
        <w:rPr>
          <w:rFonts w:ascii="宋体" w:hAnsi="宋体"/>
          <w:sz w:val="36"/>
          <w:szCs w:val="36"/>
        </w:rPr>
      </w:pPr>
      <w:r>
        <w:rPr>
          <w:rFonts w:hint="eastAsia" w:ascii="宋体" w:hAnsi="宋体" w:cs="楷体_GB2312"/>
          <w:sz w:val="36"/>
          <w:szCs w:val="36"/>
        </w:rPr>
        <w:t>年月日</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 xml:space="preserve">格式二：                 </w:t>
      </w:r>
    </w:p>
    <w:p>
      <w:pPr>
        <w:spacing w:line="360" w:lineRule="auto"/>
        <w:jc w:val="center"/>
        <w:rPr>
          <w:rFonts w:ascii="宋体" w:hAnsi="宋体"/>
          <w:color w:val="000000"/>
          <w:sz w:val="24"/>
          <w:szCs w:val="24"/>
        </w:rPr>
      </w:pPr>
      <w:r>
        <w:rPr>
          <w:rFonts w:hint="eastAsia" w:ascii="宋体" w:hAnsi="宋体"/>
          <w:color w:val="000000"/>
          <w:sz w:val="24"/>
          <w:szCs w:val="24"/>
        </w:rPr>
        <w:t>投标文件目录</w:t>
      </w:r>
    </w:p>
    <w:p>
      <w:pPr>
        <w:spacing w:line="360" w:lineRule="auto"/>
        <w:rPr>
          <w:rFonts w:ascii="宋体" w:hAnsi="宋体"/>
          <w:color w:val="000000"/>
          <w:sz w:val="24"/>
          <w:szCs w:val="24"/>
        </w:rPr>
      </w:pPr>
      <w:r>
        <w:rPr>
          <w:rFonts w:hint="eastAsia" w:ascii="宋体" w:hAnsi="宋体"/>
          <w:color w:val="000000"/>
          <w:sz w:val="24"/>
          <w:szCs w:val="24"/>
        </w:rPr>
        <w:t>一. 投标承诺书………………………………………………………</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color w:val="000000"/>
          <w:sz w:val="24"/>
          <w:szCs w:val="24"/>
        </w:rPr>
      </w:pPr>
      <w:r>
        <w:rPr>
          <w:rFonts w:hint="eastAsia" w:ascii="宋体" w:hAnsi="宋体"/>
          <w:color w:val="000000"/>
          <w:sz w:val="24"/>
          <w:szCs w:val="24"/>
        </w:rPr>
        <w:t>二. 开标一览表……………………………………………………</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color w:val="000000"/>
          <w:sz w:val="24"/>
          <w:szCs w:val="24"/>
        </w:rPr>
      </w:pPr>
      <w:r>
        <w:rPr>
          <w:rFonts w:hint="eastAsia" w:ascii="宋体" w:hAnsi="宋体"/>
          <w:color w:val="000000"/>
          <w:sz w:val="24"/>
          <w:szCs w:val="24"/>
        </w:rPr>
        <w:t>三. 法定代表人身份证明……………………………………………………</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sz w:val="24"/>
          <w:szCs w:val="24"/>
        </w:rPr>
      </w:pPr>
      <w:r>
        <w:rPr>
          <w:rFonts w:hint="eastAsia" w:ascii="宋体" w:hAnsi="宋体"/>
          <w:color w:val="000000"/>
          <w:sz w:val="24"/>
          <w:szCs w:val="24"/>
        </w:rPr>
        <w:t>四.</w:t>
      </w:r>
      <w:r>
        <w:rPr>
          <w:rFonts w:ascii="宋体" w:hAnsi="宋体"/>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sz w:val="24"/>
          <w:szCs w:val="24"/>
        </w:rPr>
      </w:pPr>
      <w:r>
        <w:rPr>
          <w:rFonts w:hint="eastAsia" w:ascii="宋体" w:hAnsi="宋体"/>
          <w:color w:val="000000"/>
          <w:sz w:val="24"/>
          <w:szCs w:val="24"/>
        </w:rPr>
        <w:t>五.</w:t>
      </w:r>
      <w:r>
        <w:rPr>
          <w:rFonts w:ascii="宋体" w:hAnsi="宋体"/>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bCs/>
          <w:sz w:val="24"/>
          <w:szCs w:val="24"/>
        </w:rPr>
      </w:pPr>
      <w:r>
        <w:rPr>
          <w:rFonts w:hint="eastAsia" w:ascii="宋体" w:hAnsi="宋体"/>
          <w:color w:val="000000"/>
          <w:sz w:val="24"/>
          <w:szCs w:val="24"/>
        </w:rPr>
        <w:t>六.</w:t>
      </w:r>
      <w:r>
        <w:rPr>
          <w:rFonts w:ascii="宋体" w:hAnsi="宋体"/>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七.</w:t>
      </w:r>
      <w:r>
        <w:rPr>
          <w:rFonts w:ascii="宋体" w:hAnsi="宋体"/>
          <w:bCs/>
          <w:sz w:val="24"/>
          <w:szCs w:val="24"/>
        </w:rPr>
        <w:t>联合体协议书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八.投标货物分项报价明细表……………………………………</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九.投标货物情况介绍表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十.技术规格响应表………………………………………………</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color w:val="000000"/>
          <w:sz w:val="24"/>
          <w:szCs w:val="24"/>
        </w:rPr>
      </w:pPr>
      <w:r>
        <w:rPr>
          <w:rFonts w:hint="eastAsia" w:ascii="宋体" w:hAnsi="宋体"/>
          <w:color w:val="000000"/>
          <w:sz w:val="24"/>
          <w:szCs w:val="24"/>
        </w:rPr>
        <w:t>十一.售后服务承诺及方案  ………………………………………</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十二.商务规格响应表…………………………………………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十三.投标人业绩情况表…………………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十四.投标人基本情况表……………………………………………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 xml:space="preserve">十五.上一年度财务会计制度… </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十六.缴纳税收的凭据</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十七.缴纳社会保险的凭据………………………………………</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jc w:val="left"/>
        <w:rPr>
          <w:rFonts w:ascii="宋体" w:hAnsi="宋体"/>
          <w:color w:val="000000"/>
          <w:sz w:val="24"/>
          <w:szCs w:val="24"/>
        </w:rPr>
      </w:pPr>
      <w:r>
        <w:rPr>
          <w:rFonts w:hint="eastAsia" w:ascii="宋体" w:hAnsi="宋体"/>
          <w:color w:val="000000"/>
          <w:sz w:val="24"/>
          <w:szCs w:val="24"/>
        </w:rPr>
        <w:t>十八.参加政府采购前三年内在经营活动中无重大违法记录书面声明</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十九.政府采购政策情况表</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w:t>
      </w:r>
      <w:r>
        <w:rPr>
          <w:rFonts w:hint="eastAsia" w:ascii="宋体" w:hAnsi="宋体"/>
          <w:color w:val="000000"/>
          <w:sz w:val="24"/>
          <w:szCs w:val="24"/>
          <w:lang w:val="en-US" w:eastAsia="zh-CN"/>
        </w:rPr>
        <w:t>二</w:t>
      </w:r>
      <w:r>
        <w:rPr>
          <w:rFonts w:hint="eastAsia" w:ascii="宋体" w:hAnsi="宋体"/>
          <w:color w:val="000000"/>
          <w:sz w:val="24"/>
          <w:szCs w:val="24"/>
        </w:rPr>
        <w:t>.各类证明材料…………………………………………………</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b/>
          <w:color w:val="000000"/>
          <w:sz w:val="24"/>
          <w:szCs w:val="24"/>
        </w:rPr>
      </w:pPr>
      <w:bookmarkStart w:id="42" w:name="_Toc482026547"/>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格式三：</w:t>
      </w:r>
      <w:bookmarkEnd w:id="42"/>
    </w:p>
    <w:p>
      <w:pPr>
        <w:spacing w:line="360" w:lineRule="auto"/>
        <w:ind w:firstLine="3975" w:firstLineChars="1650"/>
        <w:jc w:val="left"/>
        <w:rPr>
          <w:rFonts w:ascii="宋体" w:hAnsi="宋体"/>
          <w:b/>
          <w:bCs/>
          <w:color w:val="000000"/>
          <w:sz w:val="24"/>
          <w:szCs w:val="24"/>
        </w:rPr>
      </w:pPr>
      <w:r>
        <w:rPr>
          <w:rFonts w:hint="eastAsia" w:ascii="宋体" w:hAnsi="宋体"/>
          <w:b/>
          <w:bCs/>
          <w:color w:val="000000"/>
          <w:sz w:val="24"/>
          <w:szCs w:val="24"/>
        </w:rPr>
        <w:t>投标承诺书</w:t>
      </w:r>
    </w:p>
    <w:p>
      <w:pPr>
        <w:spacing w:line="360" w:lineRule="auto"/>
        <w:rPr>
          <w:rFonts w:ascii="宋体" w:hAnsi="宋体"/>
          <w:color w:val="000000"/>
          <w:sz w:val="24"/>
          <w:szCs w:val="24"/>
        </w:rPr>
      </w:pPr>
      <w:r>
        <w:rPr>
          <w:rFonts w:hint="eastAsia" w:ascii="宋体" w:hAnsi="宋体"/>
          <w:color w:val="000000"/>
          <w:sz w:val="24"/>
          <w:szCs w:val="24"/>
        </w:rPr>
        <w:t xml:space="preserve">（采购单位名称）： </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1.按照已收到的项目（项目编号：）招标文件要求，经我方</w:t>
      </w:r>
      <w:r>
        <w:rPr>
          <w:rFonts w:hint="eastAsia" w:ascii="宋体" w:hAnsi="宋体"/>
          <w:color w:val="000000"/>
          <w:sz w:val="24"/>
          <w:szCs w:val="24"/>
          <w:u w:val="single"/>
        </w:rPr>
        <w:t xml:space="preserve"> （投标人名称） </w:t>
      </w:r>
      <w:r>
        <w:rPr>
          <w:rFonts w:hint="eastAsia" w:ascii="宋体" w:hAnsi="宋体"/>
          <w:color w:val="000000"/>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color w:val="000000"/>
          <w:sz w:val="24"/>
          <w:szCs w:val="24"/>
        </w:rPr>
      </w:pPr>
      <w:r>
        <w:rPr>
          <w:rFonts w:hint="eastAsia" w:ascii="宋体" w:hAnsi="宋体"/>
          <w:color w:val="000000"/>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4. 我方将严格遵守《中华人民共和国政府采购法》、《</w:t>
      </w:r>
      <w:r>
        <w:rPr>
          <w:rFonts w:ascii="宋体" w:hAnsi="宋体"/>
          <w:color w:val="000000"/>
          <w:sz w:val="24"/>
          <w:szCs w:val="24"/>
        </w:rPr>
        <w:t>中华人民共和国合同法</w:t>
      </w:r>
      <w:r>
        <w:rPr>
          <w:rFonts w:hint="eastAsia" w:ascii="宋体" w:hAnsi="宋体"/>
          <w:color w:val="000000"/>
          <w:sz w:val="24"/>
          <w:szCs w:val="24"/>
        </w:rPr>
        <w:t>》等有关法律、法规规定，如有违反，无条件接受相关部门的处罚；</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5. 我方同意提供</w:t>
      </w:r>
      <w:r>
        <w:rPr>
          <w:rFonts w:hint="eastAsia" w:ascii="宋体" w:hAnsi="宋体"/>
          <w:color w:val="000000"/>
          <w:kern w:val="0"/>
          <w:sz w:val="24"/>
          <w:szCs w:val="24"/>
        </w:rPr>
        <w:t>按照贵方</w:t>
      </w:r>
      <w:r>
        <w:rPr>
          <w:rFonts w:hint="eastAsia" w:ascii="宋体" w:hAnsi="宋体"/>
          <w:color w:val="000000"/>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（2）中标后，无正当理由不与招标人签订合同；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（3）在签订合同时，向招标人提出附加条件；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（4）不按照招标文件要求提交履约保证金；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（5）要求修改、补充和撤销投标文件的实质性内容；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（6）要求更改招标文件和中标结果公告的实质性内容；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color w:val="000000"/>
          <w:sz w:val="24"/>
          <w:szCs w:val="24"/>
        </w:rPr>
      </w:pPr>
      <w:r>
        <w:rPr>
          <w:rFonts w:hint="eastAsia" w:ascii="宋体" w:hAnsi="宋体"/>
          <w:color w:val="000000"/>
          <w:kern w:val="0"/>
          <w:sz w:val="24"/>
          <w:szCs w:val="24"/>
        </w:rPr>
        <w:t xml:space="preserve">详细地址：                        </w:t>
      </w:r>
      <w:r>
        <w:rPr>
          <w:rFonts w:hint="eastAsia" w:ascii="宋体" w:hAnsi="宋体"/>
          <w:color w:val="000000"/>
          <w:sz w:val="24"/>
          <w:szCs w:val="24"/>
        </w:rPr>
        <w:t>邮政编码：</w:t>
      </w:r>
    </w:p>
    <w:p>
      <w:pPr>
        <w:autoSpaceDE w:val="0"/>
        <w:autoSpaceDN w:val="0"/>
        <w:adjustRightInd w:val="0"/>
        <w:spacing w:line="360" w:lineRule="auto"/>
        <w:ind w:right="246" w:firstLine="720" w:firstLineChars="300"/>
        <w:rPr>
          <w:rFonts w:ascii="宋体" w:hAnsi="宋体"/>
          <w:color w:val="000000"/>
          <w:kern w:val="0"/>
          <w:sz w:val="24"/>
          <w:szCs w:val="24"/>
        </w:rPr>
      </w:pPr>
      <w:r>
        <w:rPr>
          <w:rFonts w:hint="eastAsia" w:ascii="宋体" w:hAnsi="宋体"/>
          <w:color w:val="000000"/>
          <w:kern w:val="0"/>
          <w:sz w:val="24"/>
          <w:szCs w:val="24"/>
        </w:rPr>
        <w:t>电    话：                        电子函件：</w:t>
      </w:r>
    </w:p>
    <w:p>
      <w:pPr>
        <w:autoSpaceDE w:val="0"/>
        <w:autoSpaceDN w:val="0"/>
        <w:adjustRightInd w:val="0"/>
        <w:spacing w:line="360" w:lineRule="auto"/>
        <w:ind w:right="246" w:firstLine="720" w:firstLineChars="300"/>
        <w:rPr>
          <w:rFonts w:ascii="宋体" w:hAnsi="宋体"/>
          <w:color w:val="000000"/>
          <w:sz w:val="24"/>
          <w:szCs w:val="24"/>
        </w:rPr>
      </w:pPr>
      <w:r>
        <w:rPr>
          <w:rFonts w:hint="eastAsia" w:ascii="宋体" w:hAnsi="宋体"/>
          <w:color w:val="000000"/>
          <w:sz w:val="24"/>
          <w:szCs w:val="24"/>
        </w:rPr>
        <w:t>投标人开户银行：                  账号/行号：</w:t>
      </w:r>
    </w:p>
    <w:p>
      <w:pPr>
        <w:adjustRightInd w:val="0"/>
        <w:snapToGrid w:val="0"/>
        <w:spacing w:line="360" w:lineRule="auto"/>
        <w:ind w:firstLine="720" w:firstLineChars="300"/>
        <w:rPr>
          <w:rFonts w:ascii="宋体" w:hAnsi="宋体"/>
          <w:color w:val="000000"/>
          <w:sz w:val="24"/>
          <w:szCs w:val="24"/>
        </w:rPr>
      </w:pPr>
      <w:r>
        <w:rPr>
          <w:rFonts w:hint="eastAsia" w:ascii="宋体" w:hAnsi="宋体"/>
          <w:color w:val="000000"/>
          <w:sz w:val="24"/>
          <w:szCs w:val="24"/>
        </w:rPr>
        <w:t>投标人法人签字：</w:t>
      </w:r>
    </w:p>
    <w:p>
      <w:pPr>
        <w:widowControl/>
        <w:ind w:firstLine="720" w:firstLineChars="300"/>
        <w:jc w:val="left"/>
        <w:rPr>
          <w:rFonts w:ascii="宋体" w:hAnsi="宋体"/>
          <w:color w:val="000000"/>
          <w:sz w:val="24"/>
          <w:szCs w:val="24"/>
        </w:rPr>
      </w:pPr>
      <w:r>
        <w:rPr>
          <w:rFonts w:hint="eastAsia" w:ascii="宋体" w:hAnsi="宋体"/>
          <w:color w:val="000000"/>
          <w:sz w:val="24"/>
          <w:szCs w:val="24"/>
        </w:rPr>
        <w:t>投标人法人授权代表签字：（加盖公章）              年 月  日</w:t>
      </w:r>
      <w:r>
        <w:rPr>
          <w:rFonts w:ascii="宋体" w:hAnsi="宋体"/>
          <w:color w:val="000000"/>
          <w:sz w:val="24"/>
          <w:szCs w:val="24"/>
        </w:rPr>
        <w:br w:type="page"/>
      </w:r>
    </w:p>
    <w:p>
      <w:pPr>
        <w:spacing w:line="360" w:lineRule="auto"/>
        <w:rPr>
          <w:rFonts w:ascii="宋体" w:hAnsi="宋体"/>
          <w:b/>
          <w:bCs/>
          <w:color w:val="000000"/>
          <w:kern w:val="0"/>
          <w:sz w:val="24"/>
          <w:szCs w:val="24"/>
        </w:rPr>
      </w:pPr>
      <w:r>
        <w:rPr>
          <w:rFonts w:hint="eastAsia" w:hAnsi="宋体"/>
          <w:b/>
          <w:bCs/>
          <w:color w:val="000000"/>
          <w:sz w:val="24"/>
          <w:szCs w:val="24"/>
        </w:rPr>
        <w:t>格式四：</w:t>
      </w:r>
    </w:p>
    <w:p>
      <w:pPr>
        <w:adjustRightInd w:val="0"/>
        <w:snapToGrid w:val="0"/>
        <w:spacing w:line="360" w:lineRule="auto"/>
        <w:jc w:val="center"/>
        <w:rPr>
          <w:rFonts w:ascii="宋体" w:hAnsi="宋体"/>
          <w:b/>
          <w:bCs/>
          <w:color w:val="000000"/>
          <w:sz w:val="24"/>
          <w:szCs w:val="24"/>
        </w:rPr>
      </w:pPr>
      <w:r>
        <w:rPr>
          <w:rFonts w:hint="eastAsia" w:ascii="宋体" w:hAnsi="宋体"/>
          <w:b/>
          <w:bCs/>
          <w:color w:val="000000"/>
          <w:sz w:val="24"/>
          <w:szCs w:val="24"/>
        </w:rPr>
        <w:t>开标一览表</w:t>
      </w:r>
    </w:p>
    <w:p>
      <w:pPr>
        <w:pStyle w:val="24"/>
        <w:spacing w:line="360" w:lineRule="auto"/>
        <w:ind w:left="57" w:right="57" w:firstLine="57"/>
        <w:rPr>
          <w:rFonts w:hAnsi="宋体"/>
          <w:bCs/>
          <w:color w:val="000000"/>
          <w:sz w:val="24"/>
          <w:szCs w:val="24"/>
        </w:rPr>
      </w:pPr>
    </w:p>
    <w:p>
      <w:pPr>
        <w:pStyle w:val="24"/>
        <w:spacing w:line="360" w:lineRule="auto"/>
        <w:ind w:left="57" w:right="57" w:firstLine="57"/>
        <w:rPr>
          <w:rFonts w:hAnsi="宋体"/>
          <w:color w:val="000000"/>
          <w:sz w:val="24"/>
          <w:szCs w:val="24"/>
        </w:rPr>
      </w:pPr>
      <w:r>
        <w:rPr>
          <w:rFonts w:hint="eastAsia" w:hAnsi="宋体"/>
          <w:color w:val="000000"/>
          <w:sz w:val="24"/>
          <w:szCs w:val="24"/>
        </w:rPr>
        <w:t>投标人名称（加盖公章）</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项目名称、包号：                          项目编号：</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rPr>
          <w:trHeight w:val="589" w:hRule="atLeast"/>
        </w:trPr>
        <w:tc>
          <w:tcPr>
            <w:tcW w:w="3757" w:type="dxa"/>
            <w:vAlign w:val="center"/>
          </w:tcPr>
          <w:p>
            <w:pPr>
              <w:spacing w:before="0" w:beforeAutospacing="0" w:after="0" w:afterAutospacing="0" w:line="360" w:lineRule="auto"/>
              <w:ind w:left="0" w:right="0" w:firstLine="240" w:firstLineChars="100"/>
              <w:jc w:val="center"/>
              <w:rPr>
                <w:rFonts w:hint="default" w:ascii="宋体" w:hAnsi="宋体" w:cs="Calibri"/>
                <w:color w:val="000000"/>
                <w:sz w:val="24"/>
                <w:szCs w:val="24"/>
              </w:rPr>
            </w:pPr>
            <w:r>
              <w:rPr>
                <w:rFonts w:hint="eastAsia" w:ascii="宋体" w:hAnsi="宋体" w:cs="Calibri"/>
                <w:color w:val="000000"/>
                <w:sz w:val="24"/>
                <w:szCs w:val="24"/>
              </w:rPr>
              <w:t>投标总报价（元）</w:t>
            </w:r>
          </w:p>
        </w:tc>
        <w:tc>
          <w:tcPr>
            <w:tcW w:w="1997"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交付使用时间</w:t>
            </w:r>
          </w:p>
        </w:tc>
        <w:tc>
          <w:tcPr>
            <w:tcW w:w="1997"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售后服务网点</w:t>
            </w:r>
          </w:p>
        </w:tc>
        <w:tc>
          <w:tcPr>
            <w:tcW w:w="1877"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质保期（年）</w:t>
            </w:r>
          </w:p>
        </w:tc>
      </w:tr>
      <w:tr>
        <w:trPr>
          <w:trHeight w:val="940" w:hRule="atLeast"/>
        </w:trPr>
        <w:tc>
          <w:tcPr>
            <w:tcW w:w="3757" w:type="dxa"/>
            <w:vAlign w:val="center"/>
          </w:tcPr>
          <w:p>
            <w:pPr>
              <w:spacing w:before="0" w:beforeAutospacing="0" w:after="0" w:afterAutospacing="0" w:line="360" w:lineRule="auto"/>
              <w:ind w:left="0" w:right="0"/>
              <w:jc w:val="left"/>
              <w:rPr>
                <w:rFonts w:hint="default" w:ascii="宋体" w:hAnsi="宋体" w:cs="Calibri"/>
                <w:color w:val="000000"/>
                <w:sz w:val="24"/>
                <w:szCs w:val="24"/>
              </w:rPr>
            </w:pPr>
            <w:r>
              <w:rPr>
                <w:rFonts w:hint="eastAsia" w:ascii="宋体" w:hAnsi="宋体" w:cs="Calibri"/>
                <w:color w:val="000000"/>
                <w:sz w:val="24"/>
                <w:szCs w:val="24"/>
              </w:rPr>
              <w:t>大写：</w:t>
            </w:r>
          </w:p>
        </w:tc>
        <w:tc>
          <w:tcPr>
            <w:tcW w:w="1997" w:type="dxa"/>
            <w:vMerge w:val="restart"/>
            <w:vAlign w:val="center"/>
          </w:tcPr>
          <w:p>
            <w:pPr>
              <w:spacing w:before="0" w:beforeAutospacing="0" w:after="0" w:afterAutospacing="0" w:line="360" w:lineRule="auto"/>
              <w:ind w:left="57" w:right="57" w:firstLine="57"/>
              <w:jc w:val="center"/>
              <w:outlineLvl w:val="0"/>
              <w:rPr>
                <w:rFonts w:hint="default" w:ascii="宋体" w:hAnsi="宋体" w:cs="Calibri"/>
                <w:color w:val="000000"/>
                <w:sz w:val="24"/>
                <w:szCs w:val="24"/>
              </w:rPr>
            </w:pPr>
          </w:p>
        </w:tc>
        <w:tc>
          <w:tcPr>
            <w:tcW w:w="1997" w:type="dxa"/>
            <w:vMerge w:val="restart"/>
            <w:vAlign w:val="center"/>
          </w:tcPr>
          <w:p>
            <w:pPr>
              <w:spacing w:before="0" w:beforeAutospacing="0" w:after="0" w:afterAutospacing="0" w:line="360" w:lineRule="auto"/>
              <w:ind w:left="57" w:right="57" w:firstLine="57"/>
              <w:jc w:val="center"/>
              <w:outlineLvl w:val="0"/>
              <w:rPr>
                <w:rFonts w:hint="default" w:ascii="宋体" w:hAnsi="宋体" w:cs="Calibri"/>
                <w:color w:val="000000"/>
                <w:sz w:val="24"/>
                <w:szCs w:val="24"/>
              </w:rPr>
            </w:pPr>
          </w:p>
        </w:tc>
        <w:tc>
          <w:tcPr>
            <w:tcW w:w="1877" w:type="dxa"/>
            <w:vMerge w:val="restart"/>
            <w:vAlign w:val="top"/>
          </w:tcPr>
          <w:p>
            <w:pPr>
              <w:spacing w:before="0" w:beforeAutospacing="0" w:after="0" w:afterAutospacing="0" w:line="360" w:lineRule="auto"/>
              <w:ind w:left="57" w:right="57" w:firstLine="57"/>
              <w:jc w:val="center"/>
              <w:outlineLvl w:val="0"/>
              <w:rPr>
                <w:rFonts w:hint="default" w:ascii="宋体" w:hAnsi="宋体" w:cs="Calibri"/>
                <w:color w:val="000000"/>
                <w:sz w:val="24"/>
                <w:szCs w:val="24"/>
              </w:rPr>
            </w:pPr>
          </w:p>
        </w:tc>
      </w:tr>
      <w:tr>
        <w:trPr>
          <w:trHeight w:val="940" w:hRule="atLeast"/>
        </w:trPr>
        <w:tc>
          <w:tcPr>
            <w:tcW w:w="3757" w:type="dxa"/>
            <w:vAlign w:val="center"/>
          </w:tcPr>
          <w:p>
            <w:pPr>
              <w:spacing w:before="0" w:beforeAutospacing="0" w:after="0" w:afterAutospacing="0" w:line="360" w:lineRule="auto"/>
              <w:ind w:left="0" w:right="0"/>
              <w:jc w:val="left"/>
              <w:rPr>
                <w:rFonts w:hint="default" w:ascii="宋体" w:hAnsi="宋体" w:cs="Calibri"/>
                <w:color w:val="000000"/>
                <w:sz w:val="24"/>
                <w:szCs w:val="24"/>
              </w:rPr>
            </w:pPr>
            <w:r>
              <w:rPr>
                <w:rFonts w:hint="eastAsia" w:ascii="宋体" w:hAnsi="宋体" w:cs="Calibri"/>
                <w:color w:val="000000"/>
                <w:sz w:val="24"/>
                <w:szCs w:val="24"/>
              </w:rPr>
              <w:t>小写：</w:t>
            </w:r>
          </w:p>
        </w:tc>
        <w:tc>
          <w:tcPr>
            <w:tcW w:w="1997" w:type="dxa"/>
            <w:vMerge w:val="continue"/>
            <w:vAlign w:val="center"/>
          </w:tcPr>
          <w:p>
            <w:pPr>
              <w:spacing w:before="0" w:beforeAutospacing="0" w:after="0" w:afterAutospacing="0" w:line="360" w:lineRule="auto"/>
              <w:ind w:left="57" w:right="57" w:firstLine="57"/>
              <w:jc w:val="center"/>
              <w:outlineLvl w:val="0"/>
              <w:rPr>
                <w:rFonts w:hint="default" w:ascii="宋体" w:hAnsi="宋体" w:cs="Calibri"/>
                <w:color w:val="000000"/>
                <w:sz w:val="24"/>
                <w:szCs w:val="24"/>
              </w:rPr>
            </w:pPr>
          </w:p>
        </w:tc>
        <w:tc>
          <w:tcPr>
            <w:tcW w:w="1997" w:type="dxa"/>
            <w:vMerge w:val="continue"/>
            <w:vAlign w:val="center"/>
          </w:tcPr>
          <w:p>
            <w:pPr>
              <w:spacing w:before="0" w:beforeAutospacing="0" w:after="0" w:afterAutospacing="0" w:line="360" w:lineRule="auto"/>
              <w:ind w:left="57" w:right="57" w:firstLine="57"/>
              <w:jc w:val="center"/>
              <w:outlineLvl w:val="0"/>
              <w:rPr>
                <w:rFonts w:hint="default" w:ascii="宋体" w:hAnsi="宋体" w:cs="Calibri"/>
                <w:color w:val="000000"/>
                <w:sz w:val="24"/>
                <w:szCs w:val="24"/>
              </w:rPr>
            </w:pPr>
          </w:p>
        </w:tc>
        <w:tc>
          <w:tcPr>
            <w:tcW w:w="1877" w:type="dxa"/>
            <w:vMerge w:val="continue"/>
            <w:vAlign w:val="top"/>
          </w:tcPr>
          <w:p>
            <w:pPr>
              <w:spacing w:before="0" w:beforeAutospacing="0" w:after="0" w:afterAutospacing="0" w:line="360" w:lineRule="auto"/>
              <w:ind w:left="57" w:right="57" w:firstLine="57"/>
              <w:jc w:val="center"/>
              <w:outlineLvl w:val="0"/>
              <w:rPr>
                <w:rFonts w:hint="default" w:ascii="宋体" w:hAnsi="宋体" w:cs="Calibri"/>
                <w:color w:val="000000"/>
                <w:sz w:val="24"/>
                <w:szCs w:val="24"/>
              </w:rPr>
            </w:pPr>
          </w:p>
        </w:tc>
      </w:tr>
    </w:tbl>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s="Courier New"/>
          <w:color w:val="000000"/>
          <w:kern w:val="0"/>
          <w:sz w:val="24"/>
          <w:szCs w:val="24"/>
        </w:rPr>
      </w:pPr>
      <w:r>
        <w:rPr>
          <w:rFonts w:hint="eastAsia" w:ascii="宋体" w:hAnsi="宋体"/>
          <w:color w:val="000000"/>
          <w:sz w:val="24"/>
          <w:szCs w:val="24"/>
        </w:rPr>
        <w:t>说明：1．所有价格均系用人民币表示，单位为元。</w:t>
      </w:r>
    </w:p>
    <w:p>
      <w:pPr>
        <w:adjustRightInd w:val="0"/>
        <w:snapToGrid w:val="0"/>
        <w:spacing w:line="360" w:lineRule="auto"/>
        <w:ind w:firstLine="720" w:firstLineChars="300"/>
        <w:rPr>
          <w:rFonts w:ascii="宋体" w:hAnsi="宋体" w:cs="Courier New"/>
          <w:color w:val="000000"/>
          <w:kern w:val="0"/>
          <w:sz w:val="24"/>
          <w:szCs w:val="24"/>
        </w:rPr>
      </w:pPr>
      <w:r>
        <w:rPr>
          <w:rFonts w:hint="eastAsia" w:ascii="宋体" w:hAnsi="宋体" w:cs="Courier New"/>
          <w:color w:val="000000"/>
          <w:kern w:val="0"/>
          <w:sz w:val="24"/>
          <w:szCs w:val="24"/>
        </w:rPr>
        <w:t>2．价格应按照“投标人须知”的要求报价。</w:t>
      </w:r>
    </w:p>
    <w:p>
      <w:pPr>
        <w:adjustRightInd w:val="0"/>
        <w:snapToGrid w:val="0"/>
        <w:spacing w:line="360" w:lineRule="auto"/>
        <w:ind w:firstLine="720" w:firstLineChars="300"/>
        <w:rPr>
          <w:rFonts w:ascii="宋体" w:hAnsi="宋体" w:cs="Courier New"/>
          <w:color w:val="000000"/>
          <w:kern w:val="0"/>
          <w:sz w:val="24"/>
          <w:szCs w:val="24"/>
        </w:rPr>
      </w:pPr>
      <w:r>
        <w:rPr>
          <w:rFonts w:hint="eastAsia" w:ascii="宋体" w:hAnsi="宋体" w:cs="Courier New"/>
          <w:color w:val="000000"/>
          <w:kern w:val="0"/>
          <w:sz w:val="24"/>
          <w:szCs w:val="24"/>
        </w:rPr>
        <w:t>3．格式、内容和签署、盖章必须完整。</w:t>
      </w:r>
    </w:p>
    <w:p>
      <w:pPr>
        <w:adjustRightInd w:val="0"/>
        <w:snapToGrid w:val="0"/>
        <w:spacing w:line="360" w:lineRule="auto"/>
        <w:ind w:firstLine="720" w:firstLineChars="300"/>
        <w:rPr>
          <w:rFonts w:ascii="宋体" w:hAnsi="宋体"/>
          <w:color w:val="000000"/>
          <w:sz w:val="24"/>
          <w:szCs w:val="24"/>
        </w:rPr>
      </w:pPr>
      <w:r>
        <w:rPr>
          <w:rFonts w:hint="eastAsia" w:ascii="宋体" w:hAnsi="宋体" w:cs="Courier New"/>
          <w:color w:val="000000"/>
          <w:kern w:val="0"/>
          <w:sz w:val="24"/>
          <w:szCs w:val="24"/>
        </w:rPr>
        <w:t>4.《</w:t>
      </w:r>
      <w:r>
        <w:rPr>
          <w:rFonts w:hint="eastAsia" w:ascii="宋体" w:hAnsi="宋体"/>
          <w:color w:val="000000"/>
          <w:sz w:val="24"/>
          <w:szCs w:val="24"/>
        </w:rPr>
        <w:t>开标一览表</w:t>
      </w:r>
      <w:r>
        <w:rPr>
          <w:rFonts w:hint="eastAsia" w:ascii="宋体" w:hAnsi="宋体" w:cs="Courier New"/>
          <w:color w:val="000000"/>
          <w:kern w:val="0"/>
          <w:sz w:val="24"/>
          <w:szCs w:val="24"/>
        </w:rPr>
        <w:t>》中所填写内容与投标文件中内容不一致的，以开标一览表为准。</w:t>
      </w:r>
    </w:p>
    <w:p>
      <w:pPr>
        <w:adjustRightInd w:val="0"/>
        <w:snapToGrid w:val="0"/>
        <w:spacing w:line="360" w:lineRule="auto"/>
        <w:ind w:firstLine="720" w:firstLineChars="300"/>
        <w:rPr>
          <w:rFonts w:ascii="宋体" w:hAnsi="宋体" w:cs="Courier New"/>
          <w:color w:val="000000"/>
          <w:kern w:val="0"/>
          <w:sz w:val="24"/>
          <w:szCs w:val="24"/>
        </w:rPr>
      </w:pPr>
    </w:p>
    <w:p>
      <w:pPr>
        <w:spacing w:line="360" w:lineRule="auto"/>
        <w:ind w:right="240"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r>
        <w:rPr>
          <w:rFonts w:hint="eastAsia" w:ascii="宋体" w:hAnsi="宋体"/>
          <w:color w:val="000000"/>
          <w:sz w:val="24"/>
          <w:szCs w:val="24"/>
        </w:rPr>
        <w:t>法定代表人或法人授权代表（签字）：</w:t>
      </w:r>
    </w:p>
    <w:p>
      <w:pPr>
        <w:adjustRightInd w:val="0"/>
        <w:snapToGrid w:val="0"/>
        <w:spacing w:line="360" w:lineRule="auto"/>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年    月     日</w:t>
      </w:r>
    </w:p>
    <w:p>
      <w:pPr>
        <w:widowControl/>
        <w:jc w:val="left"/>
        <w:rPr>
          <w:rFonts w:ascii="宋体" w:hAnsi="宋体"/>
          <w:color w:val="000000"/>
          <w:sz w:val="24"/>
          <w:szCs w:val="24"/>
        </w:rPr>
      </w:pPr>
      <w:r>
        <w:rPr>
          <w:rFonts w:ascii="宋体" w:hAnsi="宋体"/>
          <w:color w:val="000000"/>
          <w:sz w:val="24"/>
          <w:szCs w:val="24"/>
        </w:rPr>
        <w:br w:type="page"/>
      </w:r>
    </w:p>
    <w:p>
      <w:pPr>
        <w:spacing w:line="360" w:lineRule="auto"/>
        <w:rPr>
          <w:rFonts w:ascii="宋体" w:hAnsi="宋体"/>
          <w:b/>
          <w:sz w:val="24"/>
          <w:szCs w:val="24"/>
        </w:rPr>
      </w:pPr>
      <w:bookmarkStart w:id="43" w:name="_Toc496001220"/>
      <w:bookmarkStart w:id="44" w:name="_Toc482026549"/>
      <w:r>
        <w:rPr>
          <w:rFonts w:hint="eastAsia" w:ascii="宋体" w:hAnsi="宋体"/>
          <w:b/>
          <w:sz w:val="24"/>
          <w:szCs w:val="24"/>
        </w:rPr>
        <w:t>格式五：</w:t>
      </w:r>
    </w:p>
    <w:p>
      <w:pPr>
        <w:spacing w:line="360" w:lineRule="auto"/>
        <w:ind w:firstLine="420"/>
        <w:jc w:val="center"/>
        <w:rPr>
          <w:rFonts w:ascii="宋体" w:hAnsi="宋体"/>
          <w:b/>
          <w:bCs/>
          <w:sz w:val="24"/>
          <w:szCs w:val="24"/>
        </w:rPr>
      </w:pPr>
      <w:r>
        <w:rPr>
          <w:rFonts w:ascii="宋体" w:hAnsi="宋体"/>
          <w:b/>
          <w:bCs/>
          <w:sz w:val="24"/>
          <w:szCs w:val="24"/>
        </w:rPr>
        <w:t>法定代表人身份证明</w:t>
      </w:r>
    </w:p>
    <w:p>
      <w:pPr>
        <w:spacing w:line="360" w:lineRule="auto"/>
        <w:rPr>
          <w:rFonts w:ascii="宋体" w:hAnsi="宋体"/>
          <w:sz w:val="24"/>
          <w:szCs w:val="24"/>
        </w:rPr>
      </w:pPr>
      <w:r>
        <w:rPr>
          <w:rFonts w:ascii="宋体" w:hAnsi="宋体"/>
          <w:sz w:val="24"/>
          <w:szCs w:val="24"/>
        </w:rPr>
        <w:t>投标人名称：</w:t>
      </w:r>
      <w:r>
        <w:rPr>
          <w:rFonts w:hint="eastAsia" w:ascii="宋体" w:hAnsi="宋体"/>
          <w:sz w:val="24"/>
          <w:szCs w:val="24"/>
        </w:rPr>
        <w:t>__________________________</w:t>
      </w:r>
    </w:p>
    <w:p>
      <w:pPr>
        <w:spacing w:line="360" w:lineRule="auto"/>
        <w:rPr>
          <w:rFonts w:ascii="宋体" w:hAnsi="宋体"/>
          <w:sz w:val="24"/>
          <w:szCs w:val="24"/>
        </w:rPr>
      </w:pPr>
      <w:r>
        <w:rPr>
          <w:rFonts w:ascii="宋体" w:hAnsi="宋体"/>
          <w:sz w:val="24"/>
          <w:szCs w:val="24"/>
        </w:rPr>
        <w:t>姓名：</w:t>
      </w:r>
      <w:r>
        <w:rPr>
          <w:rFonts w:hint="eastAsia" w:ascii="宋体" w:hAnsi="宋体"/>
          <w:sz w:val="24"/>
          <w:szCs w:val="24"/>
        </w:rPr>
        <w:t>_______________</w:t>
      </w:r>
      <w:r>
        <w:rPr>
          <w:rFonts w:ascii="宋体" w:hAnsi="宋体"/>
          <w:sz w:val="24"/>
          <w:szCs w:val="24"/>
        </w:rPr>
        <w:t>性别：</w:t>
      </w:r>
      <w:r>
        <w:rPr>
          <w:rFonts w:hint="eastAsia" w:ascii="宋体" w:hAnsi="宋体"/>
          <w:sz w:val="24"/>
          <w:szCs w:val="24"/>
        </w:rPr>
        <w:t>______________</w:t>
      </w:r>
      <w:r>
        <w:rPr>
          <w:rFonts w:ascii="宋体" w:hAnsi="宋体"/>
          <w:sz w:val="24"/>
          <w:szCs w:val="24"/>
        </w:rPr>
        <w:t>年龄：</w:t>
      </w:r>
      <w:r>
        <w:rPr>
          <w:rFonts w:hint="eastAsia" w:ascii="宋体" w:hAnsi="宋体"/>
          <w:sz w:val="24"/>
          <w:szCs w:val="24"/>
        </w:rPr>
        <w:t>_____________</w:t>
      </w:r>
      <w:r>
        <w:rPr>
          <w:rFonts w:ascii="宋体" w:hAnsi="宋体"/>
          <w:sz w:val="24"/>
          <w:szCs w:val="24"/>
        </w:rPr>
        <w:t>职务：</w:t>
      </w:r>
      <w:r>
        <w:rPr>
          <w:rFonts w:hint="eastAsia" w:ascii="宋体" w:hAnsi="宋体"/>
          <w:sz w:val="24"/>
          <w:szCs w:val="24"/>
        </w:rPr>
        <w:t>______________</w:t>
      </w:r>
      <w:r>
        <w:rPr>
          <w:rFonts w:ascii="宋体" w:hAnsi="宋体"/>
          <w:sz w:val="24"/>
          <w:szCs w:val="24"/>
        </w:rPr>
        <w:t>系</w:t>
      </w:r>
      <w:r>
        <w:rPr>
          <w:rFonts w:hint="eastAsia" w:ascii="宋体" w:hAnsi="宋体"/>
          <w:sz w:val="24"/>
          <w:szCs w:val="24"/>
        </w:rPr>
        <w:t>_________________</w:t>
      </w:r>
      <w:r>
        <w:rPr>
          <w:rFonts w:ascii="宋体" w:hAnsi="宋体"/>
          <w:sz w:val="24"/>
          <w:szCs w:val="24"/>
        </w:rPr>
        <w:t xml:space="preserve">（投标人名称）的法定代表人。 </w:t>
      </w:r>
    </w:p>
    <w:p>
      <w:pPr>
        <w:spacing w:line="360" w:lineRule="auto"/>
        <w:ind w:firstLine="480" w:firstLineChars="200"/>
        <w:rPr>
          <w:rFonts w:ascii="宋体" w:hAnsi="宋体"/>
          <w:sz w:val="24"/>
          <w:szCs w:val="24"/>
        </w:rPr>
      </w:pPr>
      <w:r>
        <w:rPr>
          <w:rFonts w:ascii="宋体" w:hAnsi="宋体"/>
          <w:sz w:val="24"/>
          <w:szCs w:val="24"/>
        </w:rPr>
        <w:t xml:space="preserve">特此证明。 </w:t>
      </w:r>
    </w:p>
    <w:p>
      <w:pPr>
        <w:spacing w:line="360" w:lineRule="auto"/>
        <w:ind w:firstLine="480" w:firstLineChars="200"/>
        <w:rPr>
          <w:rFonts w:ascii="宋体" w:hAnsi="宋体"/>
          <w:sz w:val="24"/>
          <w:szCs w:val="24"/>
        </w:rPr>
      </w:pPr>
      <w:r>
        <w:rPr>
          <w:rFonts w:ascii="宋体" w:hAnsi="宋体"/>
          <w:sz w:val="24"/>
          <w:szCs w:val="24"/>
        </w:rPr>
        <w:t>附：法定代表人身份证复印件。</w:t>
      </w:r>
    </w:p>
    <w:p>
      <w:pPr>
        <w:spacing w:line="360" w:lineRule="auto"/>
        <w:ind w:firstLine="360" w:firstLineChars="150"/>
        <w:rPr>
          <w:rFonts w:ascii="宋体" w:hAnsi="宋体"/>
          <w:sz w:val="24"/>
          <w:szCs w:val="24"/>
        </w:rPr>
      </w:pPr>
      <w:r>
        <w:rPr>
          <w:rFonts w:ascii="宋体" w:hAnsi="宋体"/>
          <w:sz w:val="24"/>
          <w:szCs w:val="24"/>
        </w:rPr>
        <w:t xml:space="preserve"> 注：本身份证明需由投标人加盖单位公章。</w:t>
      </w:r>
    </w:p>
    <w:p>
      <w:pPr>
        <w:spacing w:line="360" w:lineRule="auto"/>
        <w:rPr>
          <w:rFonts w:ascii="宋体" w:hAnsi="宋体"/>
          <w:sz w:val="24"/>
          <w:szCs w:val="24"/>
        </w:rPr>
      </w:pPr>
    </w:p>
    <w:p>
      <w:pPr>
        <w:spacing w:line="360" w:lineRule="auto"/>
        <w:rPr>
          <w:rFonts w:ascii="宋体" w:hAnsi="宋体"/>
          <w:sz w:val="24"/>
          <w:szCs w:val="24"/>
        </w:rPr>
      </w:pP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rPr>
          <w:trHeight w:val="2397" w:hRule="atLeast"/>
        </w:trPr>
        <w:tc>
          <w:tcPr>
            <w:tcW w:w="4814" w:type="dxa"/>
            <w:vAlign w:val="top"/>
          </w:tcPr>
          <w:p>
            <w:pPr>
              <w:spacing w:before="0" w:beforeAutospacing="0" w:after="0" w:afterAutospacing="0"/>
              <w:ind w:left="0" w:right="0"/>
              <w:jc w:val="center"/>
              <w:rPr>
                <w:rFonts w:hint="default" w:ascii="宋体" w:hAnsi="宋体" w:cs="Calibri"/>
                <w:sz w:val="24"/>
                <w:szCs w:val="24"/>
              </w:rPr>
            </w:pPr>
          </w:p>
          <w:p>
            <w:pPr>
              <w:spacing w:before="0" w:beforeAutospacing="0" w:after="0" w:afterAutospacing="0"/>
              <w:ind w:left="0" w:right="0"/>
              <w:rPr>
                <w:rFonts w:hint="default" w:ascii="宋体" w:hAnsi="宋体" w:cs="Calibri"/>
                <w:sz w:val="24"/>
                <w:szCs w:val="24"/>
              </w:rPr>
            </w:pPr>
          </w:p>
          <w:p>
            <w:pPr>
              <w:spacing w:before="0" w:beforeAutospacing="0" w:after="0" w:afterAutospacing="0"/>
              <w:ind w:left="0" w:right="0" w:firstLine="960" w:firstLineChars="400"/>
              <w:rPr>
                <w:rFonts w:hint="default" w:ascii="宋体" w:hAnsi="宋体" w:cs="Calibri"/>
                <w:sz w:val="24"/>
                <w:szCs w:val="24"/>
              </w:rPr>
            </w:pPr>
            <w:r>
              <w:rPr>
                <w:rFonts w:hint="eastAsia" w:ascii="宋体" w:hAnsi="宋体" w:cs="Calibri"/>
                <w:sz w:val="24"/>
                <w:szCs w:val="24"/>
              </w:rPr>
              <w:t>法定代表人身份证扫描件</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（本证件需直接扫描，不允许粘贴）</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正面</w:t>
            </w:r>
          </w:p>
        </w:tc>
        <w:tc>
          <w:tcPr>
            <w:tcW w:w="4814" w:type="dxa"/>
            <w:vAlign w:val="top"/>
          </w:tcPr>
          <w:p>
            <w:pPr>
              <w:spacing w:before="0" w:beforeAutospacing="0" w:after="0" w:afterAutospacing="0"/>
              <w:ind w:left="0" w:right="0"/>
              <w:jc w:val="center"/>
              <w:rPr>
                <w:rFonts w:hint="default" w:ascii="宋体" w:hAnsi="宋体" w:cs="Calibri"/>
                <w:sz w:val="24"/>
                <w:szCs w:val="24"/>
              </w:rPr>
            </w:pPr>
          </w:p>
          <w:p>
            <w:pPr>
              <w:spacing w:before="0" w:beforeAutospacing="0" w:after="0" w:afterAutospacing="0"/>
              <w:ind w:left="0" w:right="0"/>
              <w:rPr>
                <w:rFonts w:hint="default" w:ascii="宋体" w:hAnsi="宋体" w:cs="Calibri"/>
                <w:sz w:val="24"/>
                <w:szCs w:val="24"/>
              </w:rPr>
            </w:pPr>
          </w:p>
          <w:p>
            <w:pPr>
              <w:spacing w:before="0" w:beforeAutospacing="0" w:after="0" w:afterAutospacing="0"/>
              <w:ind w:left="0" w:right="0" w:firstLine="960" w:firstLineChars="400"/>
              <w:rPr>
                <w:rFonts w:hint="default" w:ascii="宋体" w:hAnsi="宋体" w:cs="Calibri"/>
                <w:sz w:val="24"/>
                <w:szCs w:val="24"/>
              </w:rPr>
            </w:pPr>
            <w:r>
              <w:rPr>
                <w:rFonts w:hint="eastAsia" w:ascii="宋体" w:hAnsi="宋体" w:cs="Calibri"/>
                <w:sz w:val="24"/>
                <w:szCs w:val="24"/>
              </w:rPr>
              <w:t>法定代表人身份证扫描件</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（本证件需直接扫描，不允许粘贴）</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反面</w:t>
            </w:r>
          </w:p>
        </w:tc>
      </w:tr>
    </w:tbl>
    <w:p>
      <w:pPr>
        <w:spacing w:line="360" w:lineRule="auto"/>
        <w:rPr>
          <w:rFonts w:ascii="宋体" w:hAnsi="宋体"/>
          <w:sz w:val="24"/>
          <w:szCs w:val="24"/>
        </w:rPr>
      </w:pPr>
    </w:p>
    <w:p>
      <w:pPr>
        <w:spacing w:line="360" w:lineRule="auto"/>
        <w:ind w:firstLine="4920" w:firstLineChars="2050"/>
        <w:rPr>
          <w:rFonts w:ascii="宋体" w:hAnsi="宋体"/>
          <w:sz w:val="24"/>
          <w:szCs w:val="24"/>
        </w:rPr>
      </w:pPr>
    </w:p>
    <w:p>
      <w:pPr>
        <w:spacing w:line="360" w:lineRule="auto"/>
        <w:rPr>
          <w:rFonts w:ascii="宋体" w:hAnsi="宋体"/>
          <w:sz w:val="24"/>
          <w:szCs w:val="24"/>
        </w:rPr>
      </w:pPr>
      <w:r>
        <w:rPr>
          <w:rFonts w:ascii="宋体" w:hAnsi="宋体"/>
          <w:sz w:val="24"/>
          <w:szCs w:val="24"/>
        </w:rPr>
        <w:t>投标人：</w:t>
      </w:r>
      <w:r>
        <w:rPr>
          <w:rFonts w:hint="eastAsia" w:ascii="宋体" w:hAnsi="宋体"/>
          <w:sz w:val="24"/>
          <w:szCs w:val="24"/>
        </w:rPr>
        <w:t>_________________</w:t>
      </w:r>
      <w:r>
        <w:rPr>
          <w:rFonts w:ascii="宋体" w:hAnsi="宋体"/>
          <w:sz w:val="24"/>
          <w:szCs w:val="24"/>
        </w:rPr>
        <w:t>（盖单位章）</w:t>
      </w:r>
    </w:p>
    <w:p>
      <w:pPr>
        <w:spacing w:line="360" w:lineRule="auto"/>
        <w:rPr>
          <w:rFonts w:ascii="宋体" w:hAnsi="宋体"/>
          <w:sz w:val="24"/>
          <w:szCs w:val="24"/>
        </w:rPr>
      </w:pPr>
      <w:r>
        <w:rPr>
          <w:rFonts w:hint="eastAsia" w:ascii="宋体" w:hAnsi="宋体"/>
          <w:sz w:val="24"/>
          <w:szCs w:val="24"/>
        </w:rPr>
        <w:t>_______</w:t>
      </w:r>
      <w:r>
        <w:rPr>
          <w:rFonts w:ascii="宋体" w:hAnsi="宋体"/>
          <w:sz w:val="24"/>
          <w:szCs w:val="24"/>
        </w:rPr>
        <w:t>年</w:t>
      </w:r>
      <w:r>
        <w:rPr>
          <w:rFonts w:hint="eastAsia" w:ascii="宋体" w:hAnsi="宋体"/>
          <w:sz w:val="24"/>
          <w:szCs w:val="24"/>
        </w:rPr>
        <w:t>______</w:t>
      </w:r>
      <w:r>
        <w:rPr>
          <w:rFonts w:ascii="宋体" w:hAnsi="宋体"/>
          <w:sz w:val="24"/>
          <w:szCs w:val="24"/>
        </w:rPr>
        <w:t>月</w:t>
      </w:r>
      <w:r>
        <w:rPr>
          <w:rFonts w:hint="eastAsia" w:ascii="宋体" w:hAnsi="宋体"/>
          <w:sz w:val="24"/>
          <w:szCs w:val="24"/>
        </w:rPr>
        <w:t>_______</w:t>
      </w:r>
      <w:r>
        <w:rPr>
          <w:rFonts w:ascii="宋体" w:hAnsi="宋体"/>
          <w:sz w:val="24"/>
          <w:szCs w:val="24"/>
        </w:rPr>
        <w:t xml:space="preserve">日 </w:t>
      </w:r>
    </w:p>
    <w:p>
      <w:pPr>
        <w:spacing w:line="360" w:lineRule="auto"/>
        <w:jc w:val="center"/>
        <w:rPr>
          <w:rFonts w:ascii="宋体" w:hAnsi="宋体"/>
          <w:b/>
          <w:sz w:val="24"/>
          <w:szCs w:val="24"/>
        </w:rPr>
      </w:pPr>
    </w:p>
    <w:p>
      <w:pPr>
        <w:widowControl/>
        <w:spacing w:line="360" w:lineRule="auto"/>
        <w:jc w:val="left"/>
        <w:rPr>
          <w:rFonts w:ascii="宋体" w:hAnsi="宋体"/>
          <w:sz w:val="24"/>
          <w:szCs w:val="24"/>
        </w:rPr>
      </w:pPr>
      <w:r>
        <w:rPr>
          <w:rFonts w:ascii="宋体" w:hAnsi="宋体"/>
          <w:sz w:val="24"/>
          <w:szCs w:val="24"/>
        </w:rPr>
        <w:br w:type="page"/>
      </w:r>
    </w:p>
    <w:p>
      <w:pPr>
        <w:spacing w:line="360" w:lineRule="auto"/>
        <w:rPr>
          <w:rFonts w:ascii="宋体" w:hAnsi="宋体"/>
          <w:b/>
          <w:sz w:val="24"/>
          <w:szCs w:val="24"/>
        </w:rPr>
      </w:pPr>
      <w:r>
        <w:rPr>
          <w:rFonts w:hint="eastAsia" w:ascii="宋体" w:hAnsi="宋体"/>
          <w:b/>
          <w:sz w:val="24"/>
          <w:szCs w:val="24"/>
        </w:rPr>
        <w:t>格式六：</w:t>
      </w:r>
    </w:p>
    <w:p>
      <w:pPr>
        <w:spacing w:line="360" w:lineRule="auto"/>
        <w:ind w:firstLine="420"/>
        <w:jc w:val="center"/>
        <w:rPr>
          <w:rFonts w:ascii="宋体" w:hAnsi="宋体"/>
          <w:b/>
          <w:bCs/>
          <w:sz w:val="24"/>
          <w:szCs w:val="24"/>
        </w:rPr>
      </w:pPr>
      <w:r>
        <w:rPr>
          <w:rFonts w:ascii="宋体" w:hAnsi="宋体"/>
          <w:b/>
          <w:bCs/>
          <w:sz w:val="24"/>
          <w:szCs w:val="24"/>
        </w:rPr>
        <w:t>授权委托人身份证明</w:t>
      </w:r>
    </w:p>
    <w:p>
      <w:pPr>
        <w:spacing w:line="360" w:lineRule="auto"/>
        <w:rPr>
          <w:rFonts w:ascii="宋体" w:hAnsi="宋体"/>
          <w:sz w:val="24"/>
          <w:szCs w:val="24"/>
        </w:rPr>
      </w:pPr>
      <w:r>
        <w:rPr>
          <w:rFonts w:ascii="宋体" w:hAnsi="宋体"/>
          <w:sz w:val="24"/>
          <w:szCs w:val="24"/>
        </w:rPr>
        <w:t>投标人名称：</w:t>
      </w:r>
      <w:r>
        <w:rPr>
          <w:rFonts w:hint="eastAsia" w:ascii="宋体" w:hAnsi="宋体"/>
          <w:sz w:val="24"/>
          <w:szCs w:val="24"/>
        </w:rPr>
        <w:t>__________________________</w:t>
      </w:r>
    </w:p>
    <w:p>
      <w:pPr>
        <w:spacing w:line="360" w:lineRule="auto"/>
        <w:rPr>
          <w:rFonts w:ascii="宋体" w:hAnsi="宋体"/>
          <w:sz w:val="24"/>
          <w:szCs w:val="24"/>
        </w:rPr>
      </w:pPr>
      <w:r>
        <w:rPr>
          <w:rFonts w:ascii="宋体" w:hAnsi="宋体"/>
          <w:sz w:val="24"/>
          <w:szCs w:val="24"/>
        </w:rPr>
        <w:t>姓名：</w:t>
      </w:r>
      <w:r>
        <w:rPr>
          <w:rFonts w:hint="eastAsia" w:ascii="宋体" w:hAnsi="宋体"/>
          <w:sz w:val="24"/>
          <w:szCs w:val="24"/>
        </w:rPr>
        <w:t>_______________</w:t>
      </w:r>
      <w:r>
        <w:rPr>
          <w:rFonts w:ascii="宋体" w:hAnsi="宋体"/>
          <w:sz w:val="24"/>
          <w:szCs w:val="24"/>
        </w:rPr>
        <w:t>性别：</w:t>
      </w:r>
      <w:r>
        <w:rPr>
          <w:rFonts w:hint="eastAsia" w:ascii="宋体" w:hAnsi="宋体"/>
          <w:sz w:val="24"/>
          <w:szCs w:val="24"/>
        </w:rPr>
        <w:t>______________</w:t>
      </w:r>
      <w:r>
        <w:rPr>
          <w:rFonts w:ascii="宋体" w:hAnsi="宋体"/>
          <w:sz w:val="24"/>
          <w:szCs w:val="24"/>
        </w:rPr>
        <w:t>年龄：</w:t>
      </w:r>
      <w:r>
        <w:rPr>
          <w:rFonts w:hint="eastAsia" w:ascii="宋体" w:hAnsi="宋体"/>
          <w:sz w:val="24"/>
          <w:szCs w:val="24"/>
        </w:rPr>
        <w:t>_____________</w:t>
      </w:r>
      <w:r>
        <w:rPr>
          <w:rFonts w:ascii="宋体" w:hAnsi="宋体"/>
          <w:sz w:val="24"/>
          <w:szCs w:val="24"/>
        </w:rPr>
        <w:t>职务：</w:t>
      </w:r>
      <w:r>
        <w:rPr>
          <w:rFonts w:hint="eastAsia" w:ascii="宋体" w:hAnsi="宋体"/>
          <w:sz w:val="24"/>
          <w:szCs w:val="24"/>
        </w:rPr>
        <w:t>______________</w:t>
      </w:r>
      <w:r>
        <w:rPr>
          <w:rFonts w:ascii="宋体" w:hAnsi="宋体"/>
          <w:sz w:val="24"/>
          <w:szCs w:val="24"/>
        </w:rPr>
        <w:t>系</w:t>
      </w:r>
      <w:r>
        <w:rPr>
          <w:rFonts w:hint="eastAsia" w:ascii="宋体" w:hAnsi="宋体"/>
          <w:sz w:val="24"/>
          <w:szCs w:val="24"/>
        </w:rPr>
        <w:t>_________________</w:t>
      </w:r>
      <w:r>
        <w:rPr>
          <w:rFonts w:ascii="宋体" w:hAnsi="宋体"/>
          <w:sz w:val="24"/>
          <w:szCs w:val="24"/>
        </w:rPr>
        <w:t>（投标人名称）的</w:t>
      </w:r>
      <w:r>
        <w:rPr>
          <w:rFonts w:hint="eastAsia" w:ascii="宋体" w:hAnsi="宋体"/>
          <w:sz w:val="24"/>
          <w:szCs w:val="24"/>
        </w:rPr>
        <w:t>授权委托</w:t>
      </w:r>
      <w:r>
        <w:rPr>
          <w:rFonts w:ascii="宋体" w:hAnsi="宋体"/>
          <w:sz w:val="24"/>
          <w:szCs w:val="24"/>
        </w:rPr>
        <w:t xml:space="preserve">人。 </w:t>
      </w:r>
    </w:p>
    <w:p>
      <w:pPr>
        <w:spacing w:line="360" w:lineRule="auto"/>
        <w:ind w:firstLine="480" w:firstLineChars="200"/>
        <w:rPr>
          <w:rFonts w:ascii="宋体" w:hAnsi="宋体"/>
          <w:sz w:val="24"/>
          <w:szCs w:val="24"/>
        </w:rPr>
      </w:pPr>
      <w:r>
        <w:rPr>
          <w:rFonts w:ascii="宋体" w:hAnsi="宋体"/>
          <w:sz w:val="24"/>
          <w:szCs w:val="24"/>
        </w:rPr>
        <w:t xml:space="preserve">特此证明。 </w:t>
      </w:r>
    </w:p>
    <w:p>
      <w:pPr>
        <w:spacing w:line="360" w:lineRule="auto"/>
        <w:ind w:firstLine="480" w:firstLineChars="200"/>
        <w:rPr>
          <w:rFonts w:ascii="宋体" w:hAnsi="宋体"/>
          <w:sz w:val="24"/>
          <w:szCs w:val="24"/>
        </w:rPr>
      </w:pPr>
      <w:r>
        <w:rPr>
          <w:rFonts w:ascii="宋体" w:hAnsi="宋体"/>
          <w:sz w:val="24"/>
          <w:szCs w:val="24"/>
        </w:rPr>
        <w:t>附：</w:t>
      </w:r>
      <w:r>
        <w:rPr>
          <w:rFonts w:hint="eastAsia" w:ascii="宋体" w:hAnsi="宋体"/>
          <w:sz w:val="24"/>
          <w:szCs w:val="24"/>
        </w:rPr>
        <w:t>授权委托</w:t>
      </w:r>
      <w:r>
        <w:rPr>
          <w:rFonts w:ascii="宋体" w:hAnsi="宋体"/>
          <w:sz w:val="24"/>
          <w:szCs w:val="24"/>
        </w:rPr>
        <w:t>人身份证复印件。</w:t>
      </w:r>
    </w:p>
    <w:p>
      <w:pPr>
        <w:spacing w:line="360" w:lineRule="auto"/>
        <w:ind w:firstLine="360" w:firstLineChars="150"/>
        <w:rPr>
          <w:rFonts w:ascii="宋体" w:hAnsi="宋体"/>
          <w:sz w:val="24"/>
          <w:szCs w:val="24"/>
        </w:rPr>
      </w:pPr>
      <w:r>
        <w:rPr>
          <w:rFonts w:ascii="宋体" w:hAnsi="宋体"/>
          <w:sz w:val="24"/>
          <w:szCs w:val="24"/>
        </w:rPr>
        <w:t xml:space="preserve"> 注：本身份证明需由投标人加盖单位公章。</w:t>
      </w:r>
    </w:p>
    <w:p>
      <w:pPr>
        <w:spacing w:line="360" w:lineRule="auto"/>
        <w:ind w:firstLine="4920" w:firstLineChars="2050"/>
        <w:rPr>
          <w:rFonts w:ascii="宋体" w:hAnsi="宋体"/>
          <w:sz w:val="24"/>
          <w:szCs w:val="24"/>
        </w:rPr>
      </w:pPr>
    </w:p>
    <w:p>
      <w:pPr>
        <w:spacing w:line="360" w:lineRule="auto"/>
        <w:ind w:firstLine="4920" w:firstLineChars="2050"/>
        <w:rPr>
          <w:rFonts w:ascii="宋体" w:hAnsi="宋体"/>
          <w:sz w:val="24"/>
          <w:szCs w:val="24"/>
        </w:rPr>
      </w:pP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rPr>
          <w:trHeight w:val="2397" w:hRule="atLeast"/>
        </w:trPr>
        <w:tc>
          <w:tcPr>
            <w:tcW w:w="4814" w:type="dxa"/>
            <w:vAlign w:val="top"/>
          </w:tcPr>
          <w:p>
            <w:pPr>
              <w:spacing w:before="0" w:beforeAutospacing="0" w:after="0" w:afterAutospacing="0"/>
              <w:ind w:left="0" w:right="0"/>
              <w:jc w:val="center"/>
              <w:rPr>
                <w:rFonts w:hint="default" w:ascii="宋体" w:hAnsi="宋体" w:cs="Calibri"/>
                <w:sz w:val="24"/>
                <w:szCs w:val="24"/>
              </w:rPr>
            </w:pPr>
          </w:p>
          <w:p>
            <w:pPr>
              <w:spacing w:before="0" w:beforeAutospacing="0" w:after="0" w:afterAutospacing="0"/>
              <w:ind w:left="0" w:right="0"/>
              <w:rPr>
                <w:rFonts w:hint="default" w:ascii="宋体" w:hAnsi="宋体" w:cs="Calibri"/>
                <w:sz w:val="24"/>
                <w:szCs w:val="24"/>
              </w:rPr>
            </w:pPr>
          </w:p>
          <w:p>
            <w:pPr>
              <w:spacing w:before="0" w:beforeAutospacing="0" w:after="0" w:afterAutospacing="0"/>
              <w:ind w:left="0" w:right="0" w:firstLine="960" w:firstLineChars="400"/>
              <w:rPr>
                <w:rFonts w:hint="default" w:ascii="宋体" w:hAnsi="宋体" w:cs="Calibri"/>
                <w:sz w:val="24"/>
                <w:szCs w:val="24"/>
              </w:rPr>
            </w:pPr>
            <w:r>
              <w:rPr>
                <w:rFonts w:hint="eastAsia" w:ascii="宋体" w:hAnsi="宋体" w:cs="Calibri"/>
                <w:sz w:val="24"/>
                <w:szCs w:val="24"/>
              </w:rPr>
              <w:t>授权委托人身份证扫描件</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（本证件需直接扫描，不允许粘贴）</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正面</w:t>
            </w:r>
          </w:p>
        </w:tc>
        <w:tc>
          <w:tcPr>
            <w:tcW w:w="4814" w:type="dxa"/>
            <w:vAlign w:val="top"/>
          </w:tcPr>
          <w:p>
            <w:pPr>
              <w:spacing w:before="0" w:beforeAutospacing="0" w:after="0" w:afterAutospacing="0"/>
              <w:ind w:left="0" w:right="0"/>
              <w:jc w:val="center"/>
              <w:rPr>
                <w:rFonts w:hint="default" w:ascii="宋体" w:hAnsi="宋体" w:cs="Calibri"/>
                <w:sz w:val="24"/>
                <w:szCs w:val="24"/>
              </w:rPr>
            </w:pPr>
          </w:p>
          <w:p>
            <w:pPr>
              <w:spacing w:before="0" w:beforeAutospacing="0" w:after="0" w:afterAutospacing="0"/>
              <w:ind w:left="0" w:right="0"/>
              <w:rPr>
                <w:rFonts w:hint="default" w:ascii="宋体" w:hAnsi="宋体" w:cs="Calibri"/>
                <w:sz w:val="24"/>
                <w:szCs w:val="24"/>
              </w:rPr>
            </w:pPr>
          </w:p>
          <w:p>
            <w:pPr>
              <w:spacing w:before="0" w:beforeAutospacing="0" w:after="0" w:afterAutospacing="0"/>
              <w:ind w:left="0" w:right="0" w:firstLine="960" w:firstLineChars="400"/>
              <w:rPr>
                <w:rFonts w:hint="default" w:ascii="宋体" w:hAnsi="宋体" w:cs="Calibri"/>
                <w:sz w:val="24"/>
                <w:szCs w:val="24"/>
              </w:rPr>
            </w:pPr>
            <w:r>
              <w:rPr>
                <w:rFonts w:hint="eastAsia" w:ascii="宋体" w:hAnsi="宋体" w:cs="Calibri"/>
                <w:sz w:val="24"/>
                <w:szCs w:val="24"/>
              </w:rPr>
              <w:t>授权委托人身份证扫描件</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（本证件需直接扫描，不允许粘贴）</w:t>
            </w:r>
          </w:p>
          <w:p>
            <w:pPr>
              <w:spacing w:before="0" w:beforeAutospacing="0" w:after="0" w:afterAutospacing="0"/>
              <w:ind w:left="0" w:right="0"/>
              <w:jc w:val="center"/>
              <w:rPr>
                <w:rFonts w:hint="default" w:ascii="宋体" w:hAnsi="宋体" w:cs="Calibri"/>
                <w:sz w:val="24"/>
                <w:szCs w:val="24"/>
              </w:rPr>
            </w:pPr>
            <w:r>
              <w:rPr>
                <w:rFonts w:hint="eastAsia" w:ascii="宋体" w:hAnsi="宋体" w:cs="Calibri"/>
                <w:sz w:val="24"/>
                <w:szCs w:val="24"/>
              </w:rPr>
              <w:t>反面</w:t>
            </w:r>
          </w:p>
        </w:tc>
      </w:tr>
    </w:tbl>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投标人：</w:t>
      </w:r>
      <w:r>
        <w:rPr>
          <w:rFonts w:hint="eastAsia" w:ascii="宋体" w:hAnsi="宋体"/>
          <w:sz w:val="24"/>
          <w:szCs w:val="24"/>
        </w:rPr>
        <w:t>_________________</w:t>
      </w:r>
      <w:r>
        <w:rPr>
          <w:rFonts w:ascii="宋体" w:hAnsi="宋体"/>
          <w:sz w:val="24"/>
          <w:szCs w:val="24"/>
        </w:rPr>
        <w:t>（盖单位章）</w:t>
      </w:r>
    </w:p>
    <w:p>
      <w:pPr>
        <w:spacing w:line="360" w:lineRule="auto"/>
        <w:jc w:val="left"/>
        <w:rPr>
          <w:rFonts w:ascii="宋体" w:hAnsi="宋体"/>
          <w:b/>
          <w:sz w:val="24"/>
          <w:szCs w:val="24"/>
        </w:rPr>
      </w:pPr>
      <w:r>
        <w:rPr>
          <w:rFonts w:hint="eastAsia" w:ascii="宋体" w:hAnsi="宋体"/>
          <w:sz w:val="24"/>
          <w:szCs w:val="24"/>
        </w:rPr>
        <w:t>_______</w:t>
      </w:r>
      <w:r>
        <w:rPr>
          <w:rFonts w:ascii="宋体" w:hAnsi="宋体"/>
          <w:sz w:val="24"/>
          <w:szCs w:val="24"/>
        </w:rPr>
        <w:t>年</w:t>
      </w:r>
      <w:r>
        <w:rPr>
          <w:rFonts w:hint="eastAsia" w:ascii="宋体" w:hAnsi="宋体"/>
          <w:sz w:val="24"/>
          <w:szCs w:val="24"/>
        </w:rPr>
        <w:t>______</w:t>
      </w:r>
      <w:r>
        <w:rPr>
          <w:rFonts w:ascii="宋体" w:hAnsi="宋体"/>
          <w:sz w:val="24"/>
          <w:szCs w:val="24"/>
        </w:rPr>
        <w:t>月</w:t>
      </w:r>
      <w:r>
        <w:rPr>
          <w:rFonts w:hint="eastAsia" w:ascii="宋体" w:hAnsi="宋体"/>
          <w:sz w:val="24"/>
          <w:szCs w:val="24"/>
        </w:rPr>
        <w:t>_______</w:t>
      </w:r>
      <w:r>
        <w:rPr>
          <w:rFonts w:ascii="宋体" w:hAnsi="宋体"/>
          <w:sz w:val="24"/>
          <w:szCs w:val="24"/>
        </w:rPr>
        <w:t>日</w:t>
      </w:r>
      <w:r>
        <w:rPr>
          <w:rFonts w:ascii="宋体" w:hAnsi="宋体"/>
          <w:sz w:val="24"/>
          <w:szCs w:val="24"/>
        </w:rPr>
        <w:br w:type="page"/>
      </w:r>
      <w:r>
        <w:rPr>
          <w:rFonts w:hint="eastAsia" w:ascii="宋体" w:hAnsi="宋体"/>
          <w:b/>
          <w:sz w:val="24"/>
          <w:szCs w:val="24"/>
        </w:rPr>
        <w:t>格式七：</w:t>
      </w:r>
      <w:bookmarkEnd w:id="43"/>
    </w:p>
    <w:p>
      <w:pPr>
        <w:spacing w:line="360" w:lineRule="auto"/>
        <w:jc w:val="center"/>
        <w:rPr>
          <w:rFonts w:ascii="宋体" w:hAnsi="宋体"/>
          <w:b/>
          <w:bCs/>
          <w:sz w:val="24"/>
          <w:szCs w:val="24"/>
        </w:rPr>
      </w:pPr>
      <w:r>
        <w:rPr>
          <w:rFonts w:ascii="宋体" w:hAnsi="宋体"/>
          <w:b/>
          <w:bCs/>
          <w:sz w:val="24"/>
          <w:szCs w:val="24"/>
        </w:rPr>
        <w:t>授权委托书</w:t>
      </w:r>
    </w:p>
    <w:p>
      <w:pPr>
        <w:spacing w:line="360" w:lineRule="auto"/>
        <w:ind w:firstLine="5160" w:firstLineChars="2150"/>
        <w:jc w:val="center"/>
        <w:rPr>
          <w:rFonts w:ascii="宋体" w:hAnsi="宋体"/>
          <w:sz w:val="24"/>
          <w:szCs w:val="24"/>
        </w:rPr>
      </w:pPr>
    </w:p>
    <w:p>
      <w:pPr>
        <w:spacing w:line="360" w:lineRule="auto"/>
        <w:ind w:firstLine="360" w:firstLineChars="150"/>
        <w:rPr>
          <w:rFonts w:ascii="宋体" w:hAnsi="宋体"/>
          <w:sz w:val="24"/>
          <w:szCs w:val="24"/>
        </w:rPr>
      </w:pPr>
      <w:r>
        <w:rPr>
          <w:rFonts w:ascii="宋体" w:hAnsi="宋体"/>
          <w:sz w:val="24"/>
          <w:szCs w:val="24"/>
        </w:rPr>
        <w:t>本人</w:t>
      </w:r>
      <w:r>
        <w:rPr>
          <w:rFonts w:hint="eastAsia" w:ascii="宋体" w:hAnsi="宋体"/>
          <w:sz w:val="24"/>
          <w:szCs w:val="24"/>
        </w:rPr>
        <w:t>_________________</w:t>
      </w:r>
      <w:r>
        <w:rPr>
          <w:rFonts w:ascii="宋体" w:hAnsi="宋体"/>
          <w:sz w:val="24"/>
          <w:szCs w:val="24"/>
        </w:rPr>
        <w:t>（姓名）系</w:t>
      </w:r>
      <w:r>
        <w:rPr>
          <w:rFonts w:hint="eastAsia" w:ascii="宋体" w:hAnsi="宋体"/>
          <w:sz w:val="24"/>
          <w:szCs w:val="24"/>
        </w:rPr>
        <w:t>_________________</w:t>
      </w:r>
      <w:r>
        <w:rPr>
          <w:rFonts w:ascii="宋体" w:hAnsi="宋体"/>
          <w:sz w:val="24"/>
          <w:szCs w:val="24"/>
        </w:rPr>
        <w:t>（投标人名称）的法定代表人，现委托</w:t>
      </w:r>
      <w:r>
        <w:rPr>
          <w:rFonts w:hint="eastAsia" w:ascii="宋体" w:hAnsi="宋体"/>
          <w:sz w:val="24"/>
          <w:szCs w:val="24"/>
        </w:rPr>
        <w:t>_________________</w:t>
      </w:r>
      <w:r>
        <w:rPr>
          <w:rFonts w:ascii="宋体" w:hAnsi="宋体"/>
          <w:sz w:val="24"/>
          <w:szCs w:val="24"/>
        </w:rPr>
        <w:t>（姓名）为我方代理人。代理人根据授权，以我方名义签署、澄清确认、递 交、撤回、修改招标项目投标文件、签订合同和处理有关事宜，其法律后果由我方承担。委托期限：</w:t>
      </w:r>
      <w:r>
        <w:rPr>
          <w:rFonts w:hint="eastAsia" w:ascii="宋体" w:hAnsi="宋体"/>
          <w:sz w:val="24"/>
          <w:szCs w:val="24"/>
        </w:rPr>
        <w:t>_________________</w:t>
      </w:r>
      <w:r>
        <w:rPr>
          <w:rFonts w:ascii="宋体" w:hAnsi="宋体"/>
          <w:sz w:val="24"/>
          <w:szCs w:val="24"/>
        </w:rPr>
        <w:t>。</w:t>
      </w:r>
    </w:p>
    <w:p>
      <w:pPr>
        <w:spacing w:line="360" w:lineRule="auto"/>
        <w:ind w:firstLine="360" w:firstLineChars="150"/>
        <w:rPr>
          <w:rFonts w:ascii="宋体" w:hAnsi="宋体"/>
          <w:sz w:val="24"/>
          <w:szCs w:val="24"/>
        </w:rPr>
      </w:pPr>
      <w:r>
        <w:rPr>
          <w:rFonts w:ascii="宋体" w:hAnsi="宋体"/>
          <w:sz w:val="24"/>
          <w:szCs w:val="24"/>
        </w:rPr>
        <w:t xml:space="preserve"> 代理人无转委托权。 </w:t>
      </w:r>
    </w:p>
    <w:p>
      <w:pPr>
        <w:spacing w:line="360" w:lineRule="auto"/>
        <w:ind w:firstLine="480" w:firstLineChars="200"/>
        <w:rPr>
          <w:rFonts w:ascii="宋体" w:hAnsi="宋体"/>
          <w:sz w:val="24"/>
          <w:szCs w:val="24"/>
        </w:rPr>
      </w:pPr>
      <w:r>
        <w:rPr>
          <w:rFonts w:ascii="宋体" w:hAnsi="宋体"/>
          <w:sz w:val="24"/>
          <w:szCs w:val="24"/>
        </w:rPr>
        <w:t xml:space="preserve">注：本授权委托书需由投标人加盖单位公章并由其法定代表人和委托代理人签字。 </w:t>
      </w:r>
    </w:p>
    <w:p>
      <w:pPr>
        <w:spacing w:line="360" w:lineRule="auto"/>
        <w:ind w:firstLine="480" w:firstLineChars="200"/>
        <w:rPr>
          <w:rFonts w:ascii="宋体" w:hAnsi="宋体"/>
          <w:sz w:val="24"/>
          <w:szCs w:val="24"/>
        </w:rPr>
      </w:pPr>
      <w:r>
        <w:rPr>
          <w:rFonts w:ascii="宋体" w:hAnsi="宋体"/>
          <w:sz w:val="24"/>
          <w:szCs w:val="24"/>
        </w:rPr>
        <w:t>投 标 人：</w:t>
      </w:r>
      <w:r>
        <w:rPr>
          <w:rFonts w:hint="eastAsia" w:ascii="宋体" w:hAnsi="宋体"/>
          <w:sz w:val="24"/>
          <w:szCs w:val="24"/>
        </w:rPr>
        <w:t>_________________</w:t>
      </w:r>
      <w:r>
        <w:rPr>
          <w:rFonts w:ascii="宋体" w:hAnsi="宋体"/>
          <w:sz w:val="24"/>
          <w:szCs w:val="24"/>
        </w:rPr>
        <w:t xml:space="preserve">（盖单位章） </w:t>
      </w:r>
    </w:p>
    <w:p>
      <w:pPr>
        <w:spacing w:line="360" w:lineRule="auto"/>
        <w:ind w:firstLine="480" w:firstLineChars="200"/>
        <w:rPr>
          <w:rFonts w:ascii="宋体" w:hAnsi="宋体"/>
          <w:sz w:val="24"/>
          <w:szCs w:val="24"/>
        </w:rPr>
      </w:pPr>
      <w:r>
        <w:rPr>
          <w:rFonts w:ascii="宋体" w:hAnsi="宋体"/>
          <w:sz w:val="24"/>
          <w:szCs w:val="24"/>
        </w:rPr>
        <w:t>法定代表人：</w:t>
      </w:r>
      <w:r>
        <w:rPr>
          <w:rFonts w:hint="eastAsia" w:ascii="宋体" w:hAnsi="宋体"/>
          <w:sz w:val="24"/>
          <w:szCs w:val="24"/>
        </w:rPr>
        <w:t>_________________</w:t>
      </w:r>
      <w:r>
        <w:rPr>
          <w:rFonts w:ascii="宋体" w:hAnsi="宋体"/>
          <w:sz w:val="24"/>
          <w:szCs w:val="24"/>
        </w:rPr>
        <w:t xml:space="preserve">（签字） </w:t>
      </w:r>
    </w:p>
    <w:p>
      <w:pPr>
        <w:spacing w:line="360" w:lineRule="auto"/>
        <w:ind w:firstLine="480" w:firstLineChars="200"/>
        <w:rPr>
          <w:rFonts w:ascii="宋体" w:hAnsi="宋体"/>
          <w:sz w:val="24"/>
          <w:szCs w:val="24"/>
        </w:rPr>
      </w:pPr>
      <w:r>
        <w:rPr>
          <w:rFonts w:ascii="宋体" w:hAnsi="宋体"/>
          <w:sz w:val="24"/>
          <w:szCs w:val="24"/>
        </w:rPr>
        <w:t>身份证号码：</w:t>
      </w:r>
      <w:r>
        <w:rPr>
          <w:rFonts w:hint="eastAsia" w:ascii="宋体" w:hAnsi="宋体"/>
          <w:sz w:val="24"/>
          <w:szCs w:val="24"/>
        </w:rPr>
        <w:t>_________________</w:t>
      </w:r>
    </w:p>
    <w:p>
      <w:pPr>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_________________</w:t>
      </w:r>
      <w:r>
        <w:rPr>
          <w:rFonts w:ascii="宋体" w:hAnsi="宋体"/>
          <w:sz w:val="24"/>
          <w:szCs w:val="24"/>
        </w:rPr>
        <w:t xml:space="preserve">（签字） </w:t>
      </w:r>
    </w:p>
    <w:p>
      <w:pPr>
        <w:spacing w:line="360" w:lineRule="auto"/>
        <w:ind w:firstLine="480" w:firstLineChars="200"/>
        <w:rPr>
          <w:rFonts w:ascii="宋体" w:hAnsi="宋体"/>
          <w:sz w:val="24"/>
          <w:szCs w:val="24"/>
        </w:rPr>
      </w:pPr>
      <w:r>
        <w:rPr>
          <w:rFonts w:ascii="宋体" w:hAnsi="宋体"/>
          <w:sz w:val="24"/>
          <w:szCs w:val="24"/>
        </w:rPr>
        <w:t>身份证号码：</w:t>
      </w:r>
      <w:r>
        <w:rPr>
          <w:rFonts w:hint="eastAsia" w:ascii="宋体" w:hAnsi="宋体"/>
          <w:sz w:val="24"/>
          <w:szCs w:val="24"/>
        </w:rPr>
        <w:t>_________________</w:t>
      </w:r>
    </w:p>
    <w:p>
      <w:pPr>
        <w:pStyle w:val="24"/>
        <w:spacing w:line="360" w:lineRule="auto"/>
        <w:ind w:right="57"/>
        <w:rPr>
          <w:rFonts w:hAnsi="宋体"/>
          <w:color w:val="000000"/>
          <w:sz w:val="24"/>
          <w:szCs w:val="24"/>
        </w:rPr>
      </w:pPr>
      <w:r>
        <w:rPr>
          <w:rFonts w:hint="eastAsia" w:hAnsi="宋体"/>
          <w:sz w:val="24"/>
          <w:szCs w:val="24"/>
          <w:u w:val="single"/>
        </w:rPr>
        <w:t>_____</w:t>
      </w:r>
      <w:r>
        <w:rPr>
          <w:rFonts w:hAnsi="宋体"/>
          <w:sz w:val="24"/>
          <w:szCs w:val="24"/>
        </w:rPr>
        <w:t>年</w:t>
      </w:r>
      <w:r>
        <w:rPr>
          <w:rFonts w:hint="eastAsia" w:hAnsi="宋体"/>
          <w:sz w:val="24"/>
          <w:szCs w:val="24"/>
          <w:u w:val="single"/>
        </w:rPr>
        <w:t>______</w:t>
      </w:r>
      <w:r>
        <w:rPr>
          <w:rFonts w:hAnsi="宋体"/>
          <w:sz w:val="24"/>
          <w:szCs w:val="24"/>
        </w:rPr>
        <w:t>月</w:t>
      </w:r>
      <w:r>
        <w:rPr>
          <w:rFonts w:hint="eastAsia" w:hAnsi="宋体"/>
          <w:sz w:val="24"/>
          <w:szCs w:val="24"/>
          <w:u w:val="single"/>
        </w:rPr>
        <w:t>______</w:t>
      </w:r>
      <w:r>
        <w:rPr>
          <w:rFonts w:hAnsi="宋体"/>
          <w:sz w:val="24"/>
          <w:szCs w:val="24"/>
        </w:rPr>
        <w:t>日</w:t>
      </w:r>
    </w:p>
    <w:p>
      <w:pPr>
        <w:spacing w:line="360" w:lineRule="auto"/>
        <w:rPr>
          <w:rFonts w:ascii="宋体" w:hAnsi="宋体"/>
          <w:color w:val="000000"/>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widowControl/>
        <w:spacing w:line="360" w:lineRule="auto"/>
        <w:jc w:val="left"/>
        <w:rPr>
          <w:rFonts w:ascii="宋体" w:hAnsi="宋体"/>
          <w:sz w:val="24"/>
          <w:szCs w:val="24"/>
        </w:rPr>
      </w:pPr>
      <w:r>
        <w:rPr>
          <w:rFonts w:ascii="宋体" w:hAnsi="宋体"/>
          <w:sz w:val="24"/>
          <w:szCs w:val="24"/>
        </w:rPr>
        <w:br w:type="page"/>
      </w:r>
    </w:p>
    <w:p>
      <w:pPr>
        <w:widowControl/>
        <w:spacing w:line="360" w:lineRule="auto"/>
        <w:jc w:val="left"/>
        <w:rPr>
          <w:rFonts w:ascii="宋体" w:hAnsi="宋体"/>
          <w:b/>
          <w:sz w:val="24"/>
          <w:szCs w:val="24"/>
        </w:rPr>
      </w:pPr>
      <w:r>
        <w:rPr>
          <w:rFonts w:hint="eastAsia" w:ascii="宋体" w:hAnsi="宋体"/>
          <w:b/>
          <w:bCs/>
          <w:sz w:val="24"/>
          <w:szCs w:val="24"/>
        </w:rPr>
        <w:t>格式八：</w:t>
      </w:r>
    </w:p>
    <w:p>
      <w:pPr>
        <w:spacing w:line="360" w:lineRule="auto"/>
        <w:jc w:val="center"/>
        <w:rPr>
          <w:rFonts w:ascii="宋体" w:hAnsi="宋体"/>
          <w:b/>
          <w:sz w:val="24"/>
          <w:szCs w:val="24"/>
        </w:rPr>
      </w:pPr>
      <w:r>
        <w:rPr>
          <w:rFonts w:ascii="宋体" w:hAnsi="宋体"/>
          <w:b/>
          <w:sz w:val="24"/>
          <w:szCs w:val="24"/>
        </w:rPr>
        <w:t>投标保证金</w:t>
      </w:r>
    </w:p>
    <w:p>
      <w:pPr>
        <w:spacing w:line="360" w:lineRule="auto"/>
        <w:jc w:val="left"/>
        <w:rPr>
          <w:rFonts w:ascii="宋体" w:hAnsi="宋体"/>
          <w:sz w:val="24"/>
          <w:szCs w:val="24"/>
        </w:rPr>
      </w:pPr>
      <w:r>
        <w:rPr>
          <w:rFonts w:ascii="宋体" w:hAnsi="宋体"/>
          <w:sz w:val="24"/>
          <w:szCs w:val="24"/>
        </w:rPr>
        <w:t>投标人应在此提供</w:t>
      </w:r>
      <w:r>
        <w:rPr>
          <w:rFonts w:hint="eastAsia" w:ascii="宋体" w:hAnsi="宋体"/>
          <w:sz w:val="24"/>
          <w:szCs w:val="24"/>
        </w:rPr>
        <w:t>保证金</w:t>
      </w:r>
      <w:r>
        <w:rPr>
          <w:rFonts w:ascii="宋体" w:hAnsi="宋体"/>
          <w:sz w:val="24"/>
          <w:szCs w:val="24"/>
        </w:rPr>
        <w:t xml:space="preserve">汇款凭证的复印件。 </w:t>
      </w:r>
    </w:p>
    <w:p>
      <w:pPr>
        <w:widowControl/>
        <w:jc w:val="left"/>
        <w:rPr>
          <w:rFonts w:ascii="宋体" w:hAnsi="宋体"/>
          <w:sz w:val="24"/>
          <w:szCs w:val="24"/>
        </w:rPr>
      </w:pPr>
      <w:r>
        <w:rPr>
          <w:rFonts w:ascii="宋体" w:hAnsi="宋体"/>
          <w:sz w:val="24"/>
          <w:szCs w:val="24"/>
        </w:rPr>
        <w:br w:type="page"/>
      </w:r>
    </w:p>
    <w:p>
      <w:pPr>
        <w:widowControl/>
        <w:spacing w:line="360" w:lineRule="auto"/>
        <w:jc w:val="left"/>
        <w:rPr>
          <w:rFonts w:ascii="宋体" w:hAnsi="宋体"/>
          <w:b/>
          <w:sz w:val="24"/>
          <w:szCs w:val="24"/>
        </w:rPr>
      </w:pPr>
      <w:r>
        <w:rPr>
          <w:rFonts w:hint="eastAsia" w:ascii="宋体" w:hAnsi="宋体"/>
          <w:b/>
          <w:sz w:val="24"/>
          <w:szCs w:val="24"/>
        </w:rPr>
        <w:t>格式九：</w:t>
      </w:r>
    </w:p>
    <w:p>
      <w:pPr>
        <w:spacing w:line="360" w:lineRule="auto"/>
        <w:jc w:val="center"/>
        <w:rPr>
          <w:rFonts w:ascii="宋体" w:hAnsi="宋体"/>
          <w:b/>
          <w:sz w:val="24"/>
          <w:szCs w:val="24"/>
        </w:rPr>
      </w:pPr>
      <w:r>
        <w:rPr>
          <w:rFonts w:ascii="宋体" w:hAnsi="宋体"/>
          <w:b/>
          <w:sz w:val="24"/>
          <w:szCs w:val="24"/>
        </w:rPr>
        <w:t>联合体协议书</w:t>
      </w:r>
      <w:r>
        <w:rPr>
          <w:rFonts w:hint="eastAsia" w:ascii="宋体" w:hAnsi="宋体"/>
          <w:bCs/>
          <w:sz w:val="24"/>
          <w:szCs w:val="24"/>
        </w:rPr>
        <w:t>（非联合体投标此项附空表）</w:t>
      </w:r>
    </w:p>
    <w:p>
      <w:pPr>
        <w:spacing w:line="360" w:lineRule="auto"/>
        <w:jc w:val="left"/>
        <w:rPr>
          <w:rFonts w:ascii="宋体" w:hAnsi="宋体"/>
          <w:sz w:val="24"/>
          <w:szCs w:val="24"/>
        </w:rPr>
      </w:pPr>
      <w:r>
        <w:rPr>
          <w:rFonts w:hint="eastAsia" w:ascii="宋体" w:hAnsi="宋体"/>
          <w:sz w:val="24"/>
          <w:szCs w:val="24"/>
        </w:rPr>
        <w:t xml:space="preserve">    ______________________________</w:t>
      </w:r>
      <w:r>
        <w:rPr>
          <w:rFonts w:ascii="宋体" w:hAnsi="宋体"/>
          <w:sz w:val="24"/>
          <w:szCs w:val="24"/>
        </w:rPr>
        <w:t>（所有成员单位名称）自愿组成</w:t>
      </w:r>
      <w:r>
        <w:rPr>
          <w:rFonts w:hint="eastAsia" w:ascii="宋体" w:hAnsi="宋体"/>
          <w:sz w:val="24"/>
          <w:szCs w:val="24"/>
        </w:rPr>
        <w:t>_________________</w:t>
      </w:r>
      <w:r>
        <w:rPr>
          <w:rFonts w:ascii="宋体" w:hAnsi="宋体"/>
          <w:sz w:val="24"/>
          <w:szCs w:val="24"/>
        </w:rPr>
        <w:t>（联合体名称）联合体，共同参加</w:t>
      </w:r>
      <w:r>
        <w:rPr>
          <w:rFonts w:hint="eastAsia" w:ascii="宋体" w:hAnsi="宋体"/>
          <w:sz w:val="24"/>
          <w:szCs w:val="24"/>
        </w:rPr>
        <w:t>_________________</w:t>
      </w:r>
      <w:r>
        <w:rPr>
          <w:rFonts w:ascii="宋体" w:hAnsi="宋体"/>
          <w:sz w:val="24"/>
          <w:szCs w:val="24"/>
        </w:rPr>
        <w:t xml:space="preserve">（项目名称）招标项目投标。现就联合体投标事宜订立如下协议。 </w:t>
      </w:r>
    </w:p>
    <w:p>
      <w:pPr>
        <w:spacing w:line="360" w:lineRule="auto"/>
        <w:jc w:val="left"/>
        <w:rPr>
          <w:rFonts w:ascii="宋体" w:hAnsi="宋体"/>
          <w:sz w:val="24"/>
          <w:szCs w:val="24"/>
        </w:rPr>
      </w:pPr>
      <w:r>
        <w:rPr>
          <w:rFonts w:ascii="宋体" w:hAnsi="宋体"/>
          <w:sz w:val="24"/>
          <w:szCs w:val="24"/>
        </w:rPr>
        <w:t xml:space="preserve">1. （某成员单位名称）为 （联合体名称）牵头人。 </w:t>
      </w:r>
    </w:p>
    <w:p>
      <w:pPr>
        <w:spacing w:line="360" w:lineRule="auto"/>
        <w:jc w:val="left"/>
        <w:rPr>
          <w:rFonts w:ascii="宋体" w:hAnsi="宋体"/>
          <w:sz w:val="24"/>
          <w:szCs w:val="24"/>
        </w:rPr>
      </w:pPr>
      <w:r>
        <w:rPr>
          <w:rFonts w:ascii="宋体" w:hAnsi="宋体"/>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宋体" w:hAnsi="宋体"/>
          <w:sz w:val="24"/>
          <w:szCs w:val="24"/>
        </w:rPr>
      </w:pPr>
      <w:r>
        <w:rPr>
          <w:rFonts w:ascii="宋体" w:hAnsi="宋体"/>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宋体" w:hAnsi="宋体"/>
          <w:sz w:val="24"/>
          <w:szCs w:val="24"/>
        </w:rPr>
      </w:pPr>
      <w:r>
        <w:rPr>
          <w:rFonts w:ascii="宋体" w:hAnsi="宋体"/>
          <w:sz w:val="24"/>
          <w:szCs w:val="24"/>
        </w:rPr>
        <w:t>4. 联合体各成员单位内部的职责分工如下：</w:t>
      </w:r>
      <w:r>
        <w:rPr>
          <w:rFonts w:hint="eastAsia" w:ascii="宋体" w:hAnsi="宋体"/>
          <w:sz w:val="24"/>
          <w:szCs w:val="24"/>
        </w:rPr>
        <w:t>_________________</w:t>
      </w:r>
      <w:r>
        <w:rPr>
          <w:rFonts w:ascii="宋体" w:hAnsi="宋体"/>
          <w:sz w:val="24"/>
          <w:szCs w:val="24"/>
        </w:rPr>
        <w:t xml:space="preserve">。 </w:t>
      </w:r>
    </w:p>
    <w:p>
      <w:pPr>
        <w:spacing w:line="360" w:lineRule="auto"/>
        <w:jc w:val="left"/>
        <w:rPr>
          <w:rFonts w:ascii="宋体" w:hAnsi="宋体"/>
          <w:sz w:val="24"/>
          <w:szCs w:val="24"/>
        </w:rPr>
      </w:pPr>
      <w:r>
        <w:rPr>
          <w:rFonts w:ascii="宋体" w:hAnsi="宋体"/>
          <w:sz w:val="24"/>
          <w:szCs w:val="24"/>
        </w:rPr>
        <w:t xml:space="preserve">5. 本协议书自所有成员单位法定代表人或其委托代理人签字或盖单位章之日起生效，合同履行完毕后自动失效。 </w:t>
      </w:r>
    </w:p>
    <w:p>
      <w:pPr>
        <w:spacing w:line="360" w:lineRule="auto"/>
        <w:jc w:val="left"/>
        <w:rPr>
          <w:rFonts w:ascii="宋体" w:hAnsi="宋体"/>
          <w:sz w:val="24"/>
          <w:szCs w:val="24"/>
        </w:rPr>
      </w:pPr>
      <w:r>
        <w:rPr>
          <w:rFonts w:ascii="宋体" w:hAnsi="宋体"/>
          <w:sz w:val="24"/>
          <w:szCs w:val="24"/>
        </w:rPr>
        <w:t>6. 本协议书一式</w:t>
      </w:r>
      <w:r>
        <w:rPr>
          <w:rFonts w:hint="eastAsia" w:ascii="宋体" w:hAnsi="宋体"/>
          <w:sz w:val="24"/>
          <w:szCs w:val="24"/>
        </w:rPr>
        <w:t>______</w:t>
      </w:r>
      <w:r>
        <w:rPr>
          <w:rFonts w:ascii="宋体" w:hAnsi="宋体"/>
          <w:sz w:val="24"/>
          <w:szCs w:val="24"/>
        </w:rPr>
        <w:t xml:space="preserve">份，联合体成员和招标人各执一份。 </w:t>
      </w:r>
    </w:p>
    <w:p>
      <w:pPr>
        <w:spacing w:line="360" w:lineRule="auto"/>
        <w:jc w:val="left"/>
        <w:rPr>
          <w:rFonts w:ascii="宋体" w:hAnsi="宋体"/>
          <w:sz w:val="24"/>
          <w:szCs w:val="24"/>
        </w:rPr>
      </w:pPr>
      <w:r>
        <w:rPr>
          <w:rFonts w:ascii="宋体" w:hAnsi="宋体"/>
          <w:sz w:val="24"/>
          <w:szCs w:val="24"/>
        </w:rPr>
        <w:t xml:space="preserve">协议书由法定代表人签字的，应附法定代表人身份证明；由委托代理人签字的，应附授权委托书。 </w:t>
      </w:r>
    </w:p>
    <w:p>
      <w:pPr>
        <w:spacing w:line="360" w:lineRule="auto"/>
        <w:jc w:val="left"/>
        <w:rPr>
          <w:rFonts w:ascii="宋体" w:hAnsi="宋体"/>
          <w:sz w:val="24"/>
          <w:szCs w:val="24"/>
        </w:rPr>
      </w:pPr>
      <w:r>
        <w:rPr>
          <w:rFonts w:ascii="宋体" w:hAnsi="宋体"/>
          <w:sz w:val="24"/>
          <w:szCs w:val="24"/>
        </w:rPr>
        <w:t>联合体牵头人名称：</w:t>
      </w:r>
      <w:r>
        <w:rPr>
          <w:rFonts w:hint="eastAsia" w:ascii="宋体" w:hAnsi="宋体"/>
          <w:sz w:val="24"/>
          <w:szCs w:val="24"/>
        </w:rPr>
        <w:t>_________________</w:t>
      </w:r>
      <w:r>
        <w:rPr>
          <w:rFonts w:ascii="宋体" w:hAnsi="宋体"/>
          <w:sz w:val="24"/>
          <w:szCs w:val="24"/>
        </w:rPr>
        <w:t xml:space="preserve">（盖单位章） </w:t>
      </w:r>
    </w:p>
    <w:p>
      <w:pPr>
        <w:spacing w:line="360" w:lineRule="auto"/>
        <w:jc w:val="left"/>
        <w:rPr>
          <w:rFonts w:ascii="宋体" w:hAnsi="宋体"/>
          <w:sz w:val="24"/>
          <w:szCs w:val="24"/>
        </w:rPr>
      </w:pPr>
      <w:r>
        <w:rPr>
          <w:rFonts w:ascii="宋体" w:hAnsi="宋体"/>
          <w:sz w:val="24"/>
          <w:szCs w:val="24"/>
        </w:rPr>
        <w:t>法定代表人或其委托代理人：</w:t>
      </w:r>
      <w:r>
        <w:rPr>
          <w:rFonts w:hint="eastAsia" w:ascii="宋体" w:hAnsi="宋体"/>
          <w:sz w:val="24"/>
          <w:szCs w:val="24"/>
        </w:rPr>
        <w:t>_________________</w:t>
      </w:r>
      <w:r>
        <w:rPr>
          <w:rFonts w:ascii="宋体" w:hAnsi="宋体"/>
          <w:sz w:val="24"/>
          <w:szCs w:val="24"/>
        </w:rPr>
        <w:t xml:space="preserve">（签字） </w:t>
      </w:r>
    </w:p>
    <w:p>
      <w:pPr>
        <w:spacing w:line="360" w:lineRule="auto"/>
        <w:jc w:val="left"/>
        <w:rPr>
          <w:rFonts w:ascii="宋体" w:hAnsi="宋体"/>
          <w:sz w:val="24"/>
          <w:szCs w:val="24"/>
        </w:rPr>
      </w:pPr>
    </w:p>
    <w:p>
      <w:pPr>
        <w:spacing w:line="360" w:lineRule="auto"/>
        <w:jc w:val="left"/>
        <w:rPr>
          <w:rFonts w:ascii="宋体" w:hAnsi="宋体"/>
          <w:sz w:val="24"/>
          <w:szCs w:val="24"/>
        </w:rPr>
      </w:pPr>
      <w:r>
        <w:rPr>
          <w:rFonts w:ascii="宋体" w:hAnsi="宋体"/>
          <w:sz w:val="24"/>
          <w:szCs w:val="24"/>
        </w:rPr>
        <w:t>联合体成员名称：</w:t>
      </w:r>
      <w:r>
        <w:rPr>
          <w:rFonts w:hint="eastAsia" w:ascii="宋体" w:hAnsi="宋体"/>
          <w:sz w:val="24"/>
          <w:szCs w:val="24"/>
        </w:rPr>
        <w:t>_________________</w:t>
      </w:r>
      <w:r>
        <w:rPr>
          <w:rFonts w:ascii="宋体" w:hAnsi="宋体"/>
          <w:sz w:val="24"/>
          <w:szCs w:val="24"/>
        </w:rPr>
        <w:t xml:space="preserve">（盖单位章） </w:t>
      </w:r>
    </w:p>
    <w:p>
      <w:pPr>
        <w:spacing w:line="360" w:lineRule="auto"/>
        <w:jc w:val="left"/>
        <w:rPr>
          <w:rFonts w:ascii="宋体" w:hAnsi="宋体"/>
          <w:sz w:val="24"/>
          <w:szCs w:val="24"/>
        </w:rPr>
      </w:pPr>
      <w:r>
        <w:rPr>
          <w:rFonts w:ascii="宋体" w:hAnsi="宋体"/>
          <w:sz w:val="24"/>
          <w:szCs w:val="24"/>
        </w:rPr>
        <w:t>法定代表人或其委托代理人：</w:t>
      </w:r>
      <w:r>
        <w:rPr>
          <w:rFonts w:hint="eastAsia" w:ascii="宋体" w:hAnsi="宋体"/>
          <w:sz w:val="24"/>
          <w:szCs w:val="24"/>
        </w:rPr>
        <w:t>_________________</w:t>
      </w:r>
      <w:r>
        <w:rPr>
          <w:rFonts w:ascii="宋体" w:hAnsi="宋体"/>
          <w:sz w:val="24"/>
          <w:szCs w:val="24"/>
        </w:rPr>
        <w:t xml:space="preserve">（签字） </w:t>
      </w:r>
    </w:p>
    <w:p>
      <w:pPr>
        <w:spacing w:line="360" w:lineRule="auto"/>
        <w:jc w:val="left"/>
        <w:rPr>
          <w:rFonts w:ascii="宋体" w:hAnsi="宋体"/>
          <w:sz w:val="24"/>
          <w:szCs w:val="24"/>
        </w:rPr>
      </w:pPr>
    </w:p>
    <w:p>
      <w:pPr>
        <w:spacing w:line="360" w:lineRule="auto"/>
        <w:jc w:val="left"/>
        <w:rPr>
          <w:rFonts w:ascii="宋体" w:hAnsi="宋体"/>
          <w:sz w:val="24"/>
          <w:szCs w:val="24"/>
        </w:rPr>
      </w:pPr>
      <w:r>
        <w:rPr>
          <w:rFonts w:ascii="宋体" w:hAnsi="宋体"/>
          <w:sz w:val="24"/>
          <w:szCs w:val="24"/>
        </w:rPr>
        <w:t xml:space="preserve">…… </w:t>
      </w:r>
    </w:p>
    <w:p>
      <w:pPr>
        <w:spacing w:line="360" w:lineRule="auto"/>
        <w:jc w:val="left"/>
        <w:rPr>
          <w:rFonts w:ascii="宋体" w:hAnsi="宋体"/>
          <w:sz w:val="24"/>
          <w:szCs w:val="24"/>
        </w:rPr>
      </w:pPr>
    </w:p>
    <w:p>
      <w:pPr>
        <w:spacing w:line="360" w:lineRule="auto"/>
        <w:jc w:val="left"/>
        <w:rPr>
          <w:rFonts w:ascii="宋体" w:hAnsi="宋体"/>
          <w:sz w:val="24"/>
          <w:szCs w:val="24"/>
        </w:rPr>
      </w:pPr>
      <w:r>
        <w:rPr>
          <w:rFonts w:hint="eastAsia" w:ascii="宋体" w:hAnsi="宋体"/>
          <w:sz w:val="24"/>
          <w:szCs w:val="24"/>
        </w:rPr>
        <w:t xml:space="preserve">                              _______</w:t>
      </w:r>
      <w:r>
        <w:rPr>
          <w:rFonts w:ascii="宋体" w:hAnsi="宋体"/>
          <w:sz w:val="24"/>
          <w:szCs w:val="24"/>
        </w:rPr>
        <w:t>年</w:t>
      </w:r>
      <w:r>
        <w:rPr>
          <w:rFonts w:hint="eastAsia" w:ascii="宋体" w:hAnsi="宋体"/>
          <w:sz w:val="24"/>
          <w:szCs w:val="24"/>
        </w:rPr>
        <w:t>________</w:t>
      </w:r>
      <w:r>
        <w:rPr>
          <w:rFonts w:ascii="宋体" w:hAnsi="宋体"/>
          <w:sz w:val="24"/>
          <w:szCs w:val="24"/>
        </w:rPr>
        <w:t>月</w:t>
      </w:r>
      <w:r>
        <w:rPr>
          <w:rFonts w:hint="eastAsia" w:ascii="宋体" w:hAnsi="宋体"/>
          <w:sz w:val="24"/>
          <w:szCs w:val="24"/>
        </w:rPr>
        <w:t>________</w:t>
      </w:r>
      <w:r>
        <w:rPr>
          <w:rFonts w:ascii="宋体" w:hAnsi="宋体"/>
          <w:sz w:val="24"/>
          <w:szCs w:val="24"/>
        </w:rPr>
        <w:t>日</w:t>
      </w:r>
    </w:p>
    <w:p>
      <w:pPr>
        <w:widowControl/>
        <w:jc w:val="left"/>
        <w:rPr>
          <w:rFonts w:ascii="宋体" w:hAnsi="宋体"/>
          <w:sz w:val="24"/>
          <w:szCs w:val="24"/>
        </w:rPr>
      </w:pPr>
      <w:r>
        <w:rPr>
          <w:rFonts w:ascii="宋体" w:hAnsi="宋体"/>
          <w:sz w:val="24"/>
          <w:szCs w:val="24"/>
        </w:rPr>
        <w:br w:type="page"/>
      </w:r>
    </w:p>
    <w:bookmarkEnd w:id="44"/>
    <w:p>
      <w:pPr>
        <w:spacing w:line="360" w:lineRule="auto"/>
        <w:jc w:val="left"/>
        <w:rPr>
          <w:rFonts w:ascii="宋体" w:hAnsi="宋体"/>
          <w:sz w:val="24"/>
          <w:szCs w:val="24"/>
        </w:rPr>
      </w:pPr>
    </w:p>
    <w:p>
      <w:pPr>
        <w:adjustRightInd w:val="0"/>
        <w:snapToGrid w:val="0"/>
        <w:spacing w:line="360" w:lineRule="auto"/>
        <w:jc w:val="left"/>
        <w:rPr>
          <w:rFonts w:hAnsi="宋体"/>
          <w:b/>
          <w:bCs/>
          <w:color w:val="000000"/>
          <w:sz w:val="24"/>
          <w:szCs w:val="24"/>
        </w:rPr>
      </w:pPr>
      <w:bookmarkStart w:id="45" w:name="_Toc491862100"/>
      <w:r>
        <w:rPr>
          <w:rFonts w:hint="eastAsia" w:hAnsi="宋体"/>
          <w:b/>
          <w:bCs/>
          <w:color w:val="000000"/>
          <w:sz w:val="24"/>
          <w:szCs w:val="24"/>
        </w:rPr>
        <w:t>格式十：</w:t>
      </w:r>
      <w:bookmarkEnd w:id="45"/>
    </w:p>
    <w:p>
      <w:pPr>
        <w:adjustRightInd w:val="0"/>
        <w:snapToGrid w:val="0"/>
        <w:spacing w:line="360" w:lineRule="auto"/>
        <w:ind w:firstLine="3012" w:firstLineChars="1250"/>
        <w:jc w:val="left"/>
        <w:rPr>
          <w:rFonts w:ascii="宋体" w:hAnsi="宋体" w:cs="Courier New"/>
          <w:b/>
          <w:bCs/>
          <w:color w:val="000000"/>
          <w:kern w:val="0"/>
          <w:sz w:val="24"/>
          <w:szCs w:val="24"/>
        </w:rPr>
      </w:pPr>
      <w:r>
        <w:rPr>
          <w:rFonts w:hint="eastAsia" w:ascii="宋体" w:hAnsi="宋体" w:cs="Courier New"/>
          <w:b/>
          <w:bCs/>
          <w:color w:val="000000"/>
          <w:kern w:val="0"/>
          <w:sz w:val="24"/>
          <w:szCs w:val="24"/>
        </w:rPr>
        <w:t>投标货物分项报价明细表</w:t>
      </w:r>
    </w:p>
    <w:p>
      <w:pPr>
        <w:adjustRightInd w:val="0"/>
        <w:snapToGrid w:val="0"/>
        <w:spacing w:line="360" w:lineRule="auto"/>
        <w:ind w:firstLine="3000" w:firstLineChars="1250"/>
        <w:jc w:val="left"/>
        <w:rPr>
          <w:rFonts w:hAnsi="宋体"/>
          <w:bCs/>
          <w:color w:val="000000"/>
          <w:sz w:val="24"/>
          <w:szCs w:val="24"/>
        </w:rPr>
      </w:pPr>
    </w:p>
    <w:tbl>
      <w:tblPr>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rPr>
          <w:trHeight w:val="593" w:hRule="atLeast"/>
          <w:jc w:val="center"/>
        </w:trPr>
        <w:tc>
          <w:tcPr>
            <w:tcW w:w="570" w:type="dxa"/>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序号</w:t>
            </w:r>
          </w:p>
        </w:tc>
        <w:tc>
          <w:tcPr>
            <w:tcW w:w="1411" w:type="dxa"/>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货物名称</w:t>
            </w:r>
          </w:p>
        </w:tc>
        <w:tc>
          <w:tcPr>
            <w:tcW w:w="845"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品牌</w:t>
            </w:r>
          </w:p>
        </w:tc>
        <w:tc>
          <w:tcPr>
            <w:tcW w:w="915"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型号</w:t>
            </w:r>
          </w:p>
        </w:tc>
        <w:tc>
          <w:tcPr>
            <w:tcW w:w="17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单价（元）</w:t>
            </w: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总价（元）</w:t>
            </w:r>
          </w:p>
        </w:tc>
        <w:tc>
          <w:tcPr>
            <w:tcW w:w="1327"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备注</w:t>
            </w:r>
          </w:p>
        </w:tc>
      </w:tr>
      <w:tr>
        <w:trPr>
          <w:trHeight w:val="593" w:hRule="atLeast"/>
          <w:jc w:val="center"/>
        </w:trPr>
        <w:tc>
          <w:tcPr>
            <w:tcW w:w="570"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1</w:t>
            </w:r>
          </w:p>
        </w:tc>
        <w:tc>
          <w:tcPr>
            <w:tcW w:w="1411"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p>
        </w:tc>
        <w:tc>
          <w:tcPr>
            <w:tcW w:w="845"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915"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327"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r>
      <w:tr>
        <w:trPr>
          <w:trHeight w:val="593" w:hRule="atLeast"/>
          <w:jc w:val="center"/>
        </w:trPr>
        <w:tc>
          <w:tcPr>
            <w:tcW w:w="570"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2</w:t>
            </w:r>
          </w:p>
        </w:tc>
        <w:tc>
          <w:tcPr>
            <w:tcW w:w="1411"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p>
        </w:tc>
        <w:tc>
          <w:tcPr>
            <w:tcW w:w="845"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915"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327"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r>
      <w:tr>
        <w:trPr>
          <w:trHeight w:val="593" w:hRule="atLeast"/>
          <w:jc w:val="center"/>
        </w:trPr>
        <w:tc>
          <w:tcPr>
            <w:tcW w:w="570"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3</w:t>
            </w:r>
          </w:p>
        </w:tc>
        <w:tc>
          <w:tcPr>
            <w:tcW w:w="1411"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p>
        </w:tc>
        <w:tc>
          <w:tcPr>
            <w:tcW w:w="845"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915"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327"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r>
      <w:tr>
        <w:trPr>
          <w:trHeight w:val="593" w:hRule="atLeast"/>
          <w:jc w:val="center"/>
        </w:trPr>
        <w:tc>
          <w:tcPr>
            <w:tcW w:w="570"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4</w:t>
            </w:r>
          </w:p>
        </w:tc>
        <w:tc>
          <w:tcPr>
            <w:tcW w:w="1411"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p>
        </w:tc>
        <w:tc>
          <w:tcPr>
            <w:tcW w:w="845"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915"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327"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r>
      <w:tr>
        <w:trPr>
          <w:trHeight w:val="593" w:hRule="atLeast"/>
          <w:jc w:val="center"/>
        </w:trPr>
        <w:tc>
          <w:tcPr>
            <w:tcW w:w="570"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w:t>
            </w:r>
          </w:p>
        </w:tc>
        <w:tc>
          <w:tcPr>
            <w:tcW w:w="1411" w:type="dxa"/>
            <w:vAlign w:val="center"/>
          </w:tcPr>
          <w:p>
            <w:pPr>
              <w:adjustRightInd w:val="0"/>
              <w:snapToGrid w:val="0"/>
              <w:spacing w:before="0" w:beforeAutospacing="0" w:after="0" w:afterAutospacing="0" w:line="360" w:lineRule="auto"/>
              <w:ind w:left="-118" w:leftChars="-42" w:right="0"/>
              <w:jc w:val="center"/>
              <w:rPr>
                <w:rFonts w:hint="default" w:ascii="宋体" w:hAnsi="宋体" w:cs="Courier New"/>
                <w:color w:val="000000"/>
                <w:kern w:val="0"/>
                <w:sz w:val="24"/>
                <w:szCs w:val="24"/>
              </w:rPr>
            </w:pPr>
          </w:p>
        </w:tc>
        <w:tc>
          <w:tcPr>
            <w:tcW w:w="845"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915"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327"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r>
      <w:tr>
        <w:trPr>
          <w:trHeight w:val="593" w:hRule="atLeast"/>
          <w:jc w:val="center"/>
        </w:trPr>
        <w:tc>
          <w:tcPr>
            <w:tcW w:w="6901" w:type="dxa"/>
            <w:gridSpan w:val="6"/>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r>
              <w:rPr>
                <w:rFonts w:hint="eastAsia" w:ascii="宋体" w:hAnsi="宋体" w:cs="Courier New"/>
                <w:color w:val="000000"/>
                <w:kern w:val="0"/>
                <w:sz w:val="24"/>
                <w:szCs w:val="24"/>
              </w:rPr>
              <w:t>合计</w:t>
            </w:r>
          </w:p>
        </w:tc>
        <w:tc>
          <w:tcPr>
            <w:tcW w:w="1400"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c>
          <w:tcPr>
            <w:tcW w:w="1327"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ourier New"/>
                <w:color w:val="000000"/>
                <w:kern w:val="0"/>
                <w:sz w:val="24"/>
                <w:szCs w:val="24"/>
              </w:rPr>
            </w:pPr>
          </w:p>
        </w:tc>
      </w:tr>
    </w:tbl>
    <w:p>
      <w:pPr>
        <w:adjustRightInd w:val="0"/>
        <w:snapToGrid w:val="0"/>
        <w:spacing w:line="360" w:lineRule="auto"/>
        <w:rPr>
          <w:rFonts w:ascii="宋体" w:hAnsi="宋体" w:cs="Courier New"/>
          <w:color w:val="000000"/>
          <w:kern w:val="0"/>
          <w:sz w:val="24"/>
          <w:szCs w:val="24"/>
        </w:rPr>
      </w:pPr>
      <w:r>
        <w:rPr>
          <w:rFonts w:hint="eastAsia" w:ascii="宋体" w:hAnsi="宋体" w:cs="Courier New"/>
          <w:color w:val="000000"/>
          <w:kern w:val="0"/>
          <w:sz w:val="24"/>
          <w:szCs w:val="24"/>
        </w:rPr>
        <w:t>说明：</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2．此表将随中标结果公告一并公示，请投标人认真填写。</w:t>
      </w:r>
    </w:p>
    <w:p>
      <w:pPr>
        <w:ind w:firstLine="480" w:firstLineChars="200"/>
        <w:rPr>
          <w:sz w:val="24"/>
          <w:szCs w:val="24"/>
        </w:rPr>
      </w:pPr>
      <w:r>
        <w:rPr>
          <w:rFonts w:hint="eastAsia" w:ascii="宋体" w:hAnsi="宋体"/>
          <w:color w:val="000000"/>
          <w:sz w:val="24"/>
          <w:szCs w:val="24"/>
        </w:rPr>
        <w:t>3.</w:t>
      </w:r>
      <w:r>
        <w:rPr>
          <w:rFonts w:hint="eastAsia"/>
          <w:sz w:val="24"/>
          <w:szCs w:val="24"/>
        </w:rPr>
        <w:t xml:space="preserve"> 此表电子版（另以EXCLE格式）随投标文件电子版递交。</w:t>
      </w:r>
      <w:r>
        <w:rPr>
          <w:sz w:val="24"/>
          <w:szCs w:val="24"/>
        </w:rPr>
        <w:br w:type="page"/>
      </w:r>
    </w:p>
    <w:p>
      <w:pPr>
        <w:rPr>
          <w:b/>
          <w:sz w:val="24"/>
          <w:szCs w:val="24"/>
        </w:rPr>
      </w:pPr>
      <w:r>
        <w:rPr>
          <w:rFonts w:hint="eastAsia"/>
          <w:b/>
          <w:sz w:val="24"/>
          <w:szCs w:val="24"/>
        </w:rPr>
        <w:t>格式十一：</w:t>
      </w:r>
    </w:p>
    <w:p>
      <w:pPr>
        <w:rPr>
          <w:sz w:val="24"/>
          <w:szCs w:val="24"/>
        </w:rPr>
      </w:pPr>
    </w:p>
    <w:p>
      <w:pPr>
        <w:jc w:val="center"/>
        <w:rPr>
          <w:rFonts w:ascii="宋体" w:hAnsi="宋体"/>
          <w:b/>
          <w:bCs/>
          <w:color w:val="000000"/>
          <w:sz w:val="24"/>
          <w:szCs w:val="24"/>
        </w:rPr>
      </w:pPr>
      <w:r>
        <w:rPr>
          <w:rFonts w:hint="eastAsia" w:ascii="宋体" w:hAnsi="宋体"/>
          <w:b/>
          <w:bCs/>
          <w:color w:val="000000"/>
          <w:sz w:val="24"/>
          <w:szCs w:val="24"/>
        </w:rPr>
        <w:t>投标货物情况介绍表</w:t>
      </w:r>
    </w:p>
    <w:tbl>
      <w:tblPr>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rPr>
          <w:trHeight w:val="593" w:hRule="atLeast"/>
          <w:jc w:val="center"/>
        </w:trPr>
        <w:tc>
          <w:tcPr>
            <w:tcW w:w="667" w:type="dxa"/>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序号</w:t>
            </w:r>
          </w:p>
        </w:tc>
        <w:tc>
          <w:tcPr>
            <w:tcW w:w="1651" w:type="dxa"/>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货物名称</w:t>
            </w:r>
          </w:p>
        </w:tc>
        <w:tc>
          <w:tcPr>
            <w:tcW w:w="988"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品牌</w:t>
            </w:r>
          </w:p>
        </w:tc>
        <w:tc>
          <w:tcPr>
            <w:tcW w:w="1071"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型号</w:t>
            </w:r>
          </w:p>
        </w:tc>
        <w:tc>
          <w:tcPr>
            <w:tcW w:w="20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生产厂家</w:t>
            </w:r>
          </w:p>
        </w:tc>
        <w:tc>
          <w:tcPr>
            <w:tcW w:w="1639"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生产产地</w:t>
            </w:r>
          </w:p>
        </w:tc>
        <w:tc>
          <w:tcPr>
            <w:tcW w:w="1552" w:type="dxa"/>
            <w:tcBorders>
              <w:lef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备注</w:t>
            </w:r>
          </w:p>
        </w:tc>
      </w:tr>
      <w:tr>
        <w:trPr>
          <w:trHeight w:val="593" w:hRule="atLeast"/>
          <w:jc w:val="center"/>
        </w:trPr>
        <w:tc>
          <w:tcPr>
            <w:tcW w:w="667"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r>
              <w:rPr>
                <w:rFonts w:hint="eastAsia" w:ascii="宋体" w:hAnsi="宋体" w:cs="Calibri"/>
                <w:color w:val="000000"/>
                <w:sz w:val="24"/>
                <w:szCs w:val="24"/>
              </w:rPr>
              <w:t>1</w:t>
            </w:r>
          </w:p>
        </w:tc>
        <w:tc>
          <w:tcPr>
            <w:tcW w:w="1651"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p>
        </w:tc>
        <w:tc>
          <w:tcPr>
            <w:tcW w:w="988"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071"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20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639"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552"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r>
      <w:tr>
        <w:trPr>
          <w:trHeight w:val="593" w:hRule="atLeast"/>
          <w:jc w:val="center"/>
        </w:trPr>
        <w:tc>
          <w:tcPr>
            <w:tcW w:w="667"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r>
              <w:rPr>
                <w:rFonts w:hint="eastAsia" w:ascii="宋体" w:hAnsi="宋体" w:cs="Calibri"/>
                <w:color w:val="000000"/>
                <w:sz w:val="24"/>
                <w:szCs w:val="24"/>
              </w:rPr>
              <w:t>2</w:t>
            </w:r>
          </w:p>
        </w:tc>
        <w:tc>
          <w:tcPr>
            <w:tcW w:w="1651"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p>
        </w:tc>
        <w:tc>
          <w:tcPr>
            <w:tcW w:w="988"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071"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20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639"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552"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r>
      <w:tr>
        <w:trPr>
          <w:trHeight w:val="593" w:hRule="atLeast"/>
          <w:jc w:val="center"/>
        </w:trPr>
        <w:tc>
          <w:tcPr>
            <w:tcW w:w="667"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r>
              <w:rPr>
                <w:rFonts w:hint="eastAsia" w:ascii="宋体" w:hAnsi="宋体" w:cs="Calibri"/>
                <w:color w:val="000000"/>
                <w:sz w:val="24"/>
                <w:szCs w:val="24"/>
              </w:rPr>
              <w:t>3</w:t>
            </w:r>
          </w:p>
        </w:tc>
        <w:tc>
          <w:tcPr>
            <w:tcW w:w="1651"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p>
        </w:tc>
        <w:tc>
          <w:tcPr>
            <w:tcW w:w="988"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071"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20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639"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552"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r>
      <w:tr>
        <w:trPr>
          <w:trHeight w:val="593" w:hRule="atLeast"/>
          <w:jc w:val="center"/>
        </w:trPr>
        <w:tc>
          <w:tcPr>
            <w:tcW w:w="667"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r>
              <w:rPr>
                <w:rFonts w:hint="eastAsia" w:ascii="宋体" w:hAnsi="宋体" w:cs="Calibri"/>
                <w:color w:val="000000"/>
                <w:sz w:val="24"/>
                <w:szCs w:val="24"/>
              </w:rPr>
              <w:t>4</w:t>
            </w:r>
          </w:p>
        </w:tc>
        <w:tc>
          <w:tcPr>
            <w:tcW w:w="1651"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p>
        </w:tc>
        <w:tc>
          <w:tcPr>
            <w:tcW w:w="988"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071"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20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639"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552"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r>
      <w:tr>
        <w:trPr>
          <w:trHeight w:val="593" w:hRule="atLeast"/>
          <w:jc w:val="center"/>
        </w:trPr>
        <w:tc>
          <w:tcPr>
            <w:tcW w:w="667"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r>
              <w:rPr>
                <w:rFonts w:hint="eastAsia" w:ascii="宋体" w:hAnsi="宋体" w:cs="Calibri"/>
                <w:color w:val="000000"/>
                <w:sz w:val="24"/>
                <w:szCs w:val="24"/>
              </w:rPr>
              <w:t>…</w:t>
            </w:r>
          </w:p>
        </w:tc>
        <w:tc>
          <w:tcPr>
            <w:tcW w:w="1651" w:type="dxa"/>
            <w:vAlign w:val="center"/>
          </w:tcPr>
          <w:p>
            <w:pPr>
              <w:adjustRightInd w:val="0"/>
              <w:snapToGrid w:val="0"/>
              <w:spacing w:before="0" w:beforeAutospacing="0" w:after="0" w:afterAutospacing="0" w:line="360" w:lineRule="auto"/>
              <w:ind w:left="-118" w:leftChars="-42" w:right="0"/>
              <w:jc w:val="center"/>
              <w:rPr>
                <w:rFonts w:hint="default" w:ascii="宋体" w:hAnsi="宋体" w:cs="Calibri"/>
                <w:color w:val="000000"/>
                <w:sz w:val="24"/>
                <w:szCs w:val="24"/>
              </w:rPr>
            </w:pPr>
          </w:p>
        </w:tc>
        <w:tc>
          <w:tcPr>
            <w:tcW w:w="988" w:type="dxa"/>
            <w:tcBorders>
              <w:righ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071"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2060" w:type="dxa"/>
            <w:tcBorders>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639" w:type="dxa"/>
            <w:tcBorders>
              <w:left w:val="single" w:color="auto" w:sz="4" w:space="0"/>
              <w:right w:val="single" w:color="auto" w:sz="4" w:space="0"/>
            </w:tcBorders>
            <w:vAlign w:val="center"/>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c>
          <w:tcPr>
            <w:tcW w:w="1552" w:type="dxa"/>
            <w:tcBorders>
              <w:left w:val="single" w:color="auto" w:sz="4" w:space="0"/>
            </w:tcBorders>
            <w:vAlign w:val="top"/>
          </w:tcPr>
          <w:p>
            <w:pPr>
              <w:adjustRightInd w:val="0"/>
              <w:snapToGrid w:val="0"/>
              <w:spacing w:before="0" w:beforeAutospacing="0" w:after="0" w:afterAutospacing="0" w:line="360" w:lineRule="auto"/>
              <w:ind w:left="0" w:right="0"/>
              <w:jc w:val="center"/>
              <w:rPr>
                <w:rFonts w:hint="default" w:ascii="宋体" w:hAnsi="宋体" w:cs="Calibri"/>
                <w:color w:val="000000"/>
                <w:sz w:val="24"/>
                <w:szCs w:val="24"/>
              </w:rPr>
            </w:pPr>
          </w:p>
        </w:tc>
      </w:tr>
    </w:tbl>
    <w:p>
      <w:pPr>
        <w:spacing w:line="360" w:lineRule="auto"/>
        <w:rPr>
          <w:rFonts w:ascii="宋体" w:hAnsi="宋体"/>
          <w:color w:val="000000"/>
          <w:sz w:val="24"/>
          <w:szCs w:val="24"/>
        </w:rPr>
      </w:pPr>
      <w:r>
        <w:rPr>
          <w:rFonts w:ascii="宋体" w:hAnsi="宋体"/>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 xml:space="preserve">格式十二：                </w:t>
      </w:r>
    </w:p>
    <w:p>
      <w:pPr>
        <w:spacing w:line="360" w:lineRule="auto"/>
        <w:jc w:val="center"/>
        <w:rPr>
          <w:rFonts w:ascii="宋体" w:hAnsi="宋体"/>
          <w:b/>
          <w:bCs/>
          <w:color w:val="000000"/>
          <w:sz w:val="24"/>
          <w:szCs w:val="24"/>
        </w:rPr>
      </w:pPr>
      <w:r>
        <w:rPr>
          <w:rFonts w:hint="eastAsia" w:ascii="宋体" w:hAnsi="宋体"/>
          <w:b/>
          <w:bCs/>
          <w:color w:val="000000"/>
          <w:sz w:val="24"/>
          <w:szCs w:val="24"/>
        </w:rPr>
        <w:t>技术规格响应表</w:t>
      </w:r>
    </w:p>
    <w:p>
      <w:pPr>
        <w:spacing w:line="360" w:lineRule="auto"/>
        <w:rPr>
          <w:rFonts w:ascii="宋体" w:hAnsi="宋体"/>
          <w:color w:val="000000"/>
          <w:sz w:val="24"/>
          <w:szCs w:val="24"/>
        </w:rPr>
      </w:pPr>
      <w:r>
        <w:rPr>
          <w:rFonts w:hint="eastAsia" w:ascii="宋体" w:hAnsi="宋体" w:cs="宋体"/>
          <w:kern w:val="0"/>
          <w:sz w:val="24"/>
          <w:szCs w:val="24"/>
        </w:rPr>
        <w:t>1.货物名称：</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rPr>
          <w:trHeight w:val="783" w:hRule="atLeast"/>
          <w:jc w:val="center"/>
        </w:trPr>
        <w:tc>
          <w:tcPr>
            <w:tcW w:w="983"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编号</w:t>
            </w:r>
          </w:p>
        </w:tc>
        <w:tc>
          <w:tcPr>
            <w:tcW w:w="1732"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招标文件要求技术参数、性能指标</w:t>
            </w:r>
          </w:p>
        </w:tc>
        <w:tc>
          <w:tcPr>
            <w:tcW w:w="1732"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投标人提供技术参数、性能指标</w:t>
            </w:r>
          </w:p>
        </w:tc>
        <w:tc>
          <w:tcPr>
            <w:tcW w:w="1732"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响应</w:t>
            </w:r>
          </w:p>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程度</w:t>
            </w:r>
          </w:p>
        </w:tc>
        <w:tc>
          <w:tcPr>
            <w:tcW w:w="2294"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佐证材料名称并标明页码</w:t>
            </w:r>
          </w:p>
        </w:tc>
        <w:tc>
          <w:tcPr>
            <w:tcW w:w="1155"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备注</w:t>
            </w:r>
          </w:p>
        </w:tc>
      </w:tr>
      <w:tr>
        <w:trPr>
          <w:trHeight w:val="535" w:hRule="atLeast"/>
          <w:jc w:val="center"/>
        </w:trPr>
        <w:tc>
          <w:tcPr>
            <w:tcW w:w="983"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1</w:t>
            </w: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2294" w:type="dxa"/>
            <w:vAlign w:val="center"/>
          </w:tcPr>
          <w:p>
            <w:pPr>
              <w:spacing w:before="0" w:beforeAutospacing="0" w:after="0" w:afterAutospacing="0" w:line="360" w:lineRule="auto"/>
              <w:ind w:left="2201" w:leftChars="786" w:right="0"/>
              <w:rPr>
                <w:rFonts w:hint="default" w:ascii="宋体" w:hAnsi="宋体" w:cs="Calibri"/>
                <w:color w:val="000000"/>
                <w:sz w:val="24"/>
                <w:szCs w:val="24"/>
              </w:rPr>
            </w:pPr>
          </w:p>
        </w:tc>
        <w:tc>
          <w:tcPr>
            <w:tcW w:w="1155" w:type="dxa"/>
            <w:vAlign w:val="top"/>
          </w:tcPr>
          <w:p>
            <w:pPr>
              <w:spacing w:before="0" w:beforeAutospacing="0" w:after="0" w:afterAutospacing="0" w:line="360" w:lineRule="auto"/>
              <w:ind w:left="2201" w:leftChars="786" w:right="0"/>
              <w:rPr>
                <w:rFonts w:hint="default" w:ascii="宋体" w:hAnsi="宋体" w:cs="Calibri"/>
                <w:color w:val="000000"/>
                <w:sz w:val="24"/>
                <w:szCs w:val="24"/>
              </w:rPr>
            </w:pPr>
          </w:p>
        </w:tc>
      </w:tr>
      <w:tr>
        <w:trPr>
          <w:trHeight w:val="571" w:hRule="atLeast"/>
          <w:jc w:val="center"/>
        </w:trPr>
        <w:tc>
          <w:tcPr>
            <w:tcW w:w="983"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2</w:t>
            </w: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2294"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155" w:type="dxa"/>
            <w:vAlign w:val="top"/>
          </w:tcPr>
          <w:p>
            <w:pPr>
              <w:spacing w:before="0" w:beforeAutospacing="0" w:after="0" w:afterAutospacing="0" w:line="360" w:lineRule="auto"/>
              <w:ind w:left="0" w:right="0"/>
              <w:rPr>
                <w:rFonts w:hint="default" w:ascii="宋体" w:hAnsi="宋体" w:cs="Calibri"/>
                <w:color w:val="000000"/>
                <w:sz w:val="24"/>
                <w:szCs w:val="24"/>
              </w:rPr>
            </w:pPr>
          </w:p>
        </w:tc>
      </w:tr>
    </w:tbl>
    <w:p>
      <w:pPr>
        <w:spacing w:line="360" w:lineRule="auto"/>
        <w:rPr>
          <w:rFonts w:ascii="宋体" w:hAnsi="宋体"/>
          <w:color w:val="000000"/>
          <w:sz w:val="24"/>
          <w:szCs w:val="24"/>
        </w:rPr>
      </w:pPr>
      <w:r>
        <w:rPr>
          <w:rFonts w:hint="eastAsia" w:ascii="宋体" w:hAnsi="宋体" w:cs="宋体"/>
          <w:kern w:val="0"/>
          <w:sz w:val="24"/>
          <w:szCs w:val="24"/>
        </w:rPr>
        <w:t>2.货物名称：</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732"/>
        <w:gridCol w:w="1732"/>
        <w:gridCol w:w="1732"/>
        <w:gridCol w:w="2296"/>
        <w:gridCol w:w="1155"/>
      </w:tblGrid>
      <w:tr>
        <w:trPr>
          <w:trHeight w:val="783" w:hRule="atLeast"/>
          <w:jc w:val="center"/>
        </w:trPr>
        <w:tc>
          <w:tcPr>
            <w:tcW w:w="981"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编号</w:t>
            </w:r>
          </w:p>
        </w:tc>
        <w:tc>
          <w:tcPr>
            <w:tcW w:w="1732"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招标文件要求技术参数、性能指标</w:t>
            </w:r>
          </w:p>
        </w:tc>
        <w:tc>
          <w:tcPr>
            <w:tcW w:w="1732"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投标人提供技术参数、性能指标</w:t>
            </w:r>
          </w:p>
        </w:tc>
        <w:tc>
          <w:tcPr>
            <w:tcW w:w="1732"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响应</w:t>
            </w:r>
          </w:p>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程度</w:t>
            </w:r>
          </w:p>
        </w:tc>
        <w:tc>
          <w:tcPr>
            <w:tcW w:w="2296"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佐证材料名称并标明页码</w:t>
            </w:r>
          </w:p>
        </w:tc>
        <w:tc>
          <w:tcPr>
            <w:tcW w:w="1155"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备注</w:t>
            </w:r>
          </w:p>
        </w:tc>
      </w:tr>
      <w:tr>
        <w:trPr>
          <w:trHeight w:val="635" w:hRule="atLeast"/>
          <w:jc w:val="center"/>
        </w:trPr>
        <w:tc>
          <w:tcPr>
            <w:tcW w:w="981"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1</w:t>
            </w: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2296" w:type="dxa"/>
            <w:vAlign w:val="center"/>
          </w:tcPr>
          <w:p>
            <w:pPr>
              <w:spacing w:before="0" w:beforeAutospacing="0" w:after="0" w:afterAutospacing="0" w:line="360" w:lineRule="auto"/>
              <w:ind w:left="2201" w:leftChars="786" w:right="0"/>
              <w:rPr>
                <w:rFonts w:hint="default" w:ascii="宋体" w:hAnsi="宋体" w:cs="Calibri"/>
                <w:color w:val="000000"/>
                <w:sz w:val="24"/>
                <w:szCs w:val="24"/>
              </w:rPr>
            </w:pPr>
          </w:p>
        </w:tc>
        <w:tc>
          <w:tcPr>
            <w:tcW w:w="1155" w:type="dxa"/>
            <w:vAlign w:val="top"/>
          </w:tcPr>
          <w:p>
            <w:pPr>
              <w:spacing w:before="0" w:beforeAutospacing="0" w:after="0" w:afterAutospacing="0" w:line="360" w:lineRule="auto"/>
              <w:ind w:left="2201" w:leftChars="786" w:right="0"/>
              <w:rPr>
                <w:rFonts w:hint="default" w:ascii="宋体" w:hAnsi="宋体" w:cs="Calibri"/>
                <w:color w:val="000000"/>
                <w:sz w:val="24"/>
                <w:szCs w:val="24"/>
              </w:rPr>
            </w:pPr>
          </w:p>
        </w:tc>
      </w:tr>
      <w:tr>
        <w:trPr>
          <w:trHeight w:val="558" w:hRule="atLeast"/>
          <w:jc w:val="center"/>
        </w:trPr>
        <w:tc>
          <w:tcPr>
            <w:tcW w:w="981"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2</w:t>
            </w: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732"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2296" w:type="dxa"/>
            <w:vAlign w:val="center"/>
          </w:tcPr>
          <w:p>
            <w:pPr>
              <w:spacing w:before="0" w:beforeAutospacing="0" w:after="0" w:afterAutospacing="0" w:line="360" w:lineRule="auto"/>
              <w:ind w:left="0" w:right="0"/>
              <w:rPr>
                <w:rFonts w:hint="default" w:ascii="宋体" w:hAnsi="宋体" w:cs="Calibri"/>
                <w:color w:val="000000"/>
                <w:sz w:val="24"/>
                <w:szCs w:val="24"/>
              </w:rPr>
            </w:pPr>
          </w:p>
        </w:tc>
        <w:tc>
          <w:tcPr>
            <w:tcW w:w="1155" w:type="dxa"/>
            <w:vAlign w:val="top"/>
          </w:tcPr>
          <w:p>
            <w:pPr>
              <w:spacing w:before="0" w:beforeAutospacing="0" w:after="0" w:afterAutospacing="0" w:line="360" w:lineRule="auto"/>
              <w:ind w:left="0" w:right="0"/>
              <w:rPr>
                <w:rFonts w:hint="default" w:ascii="宋体" w:hAnsi="宋体" w:cs="Calibri"/>
                <w:color w:val="000000"/>
                <w:sz w:val="24"/>
                <w:szCs w:val="24"/>
              </w:rPr>
            </w:pPr>
          </w:p>
        </w:tc>
      </w:tr>
    </w:tbl>
    <w:p>
      <w:pPr>
        <w:spacing w:line="360" w:lineRule="auto"/>
        <w:ind w:right="57"/>
        <w:rPr>
          <w:rFonts w:ascii="宋体" w:hAnsi="宋体"/>
          <w:bCs/>
          <w:color w:val="000000"/>
          <w:sz w:val="24"/>
          <w:szCs w:val="24"/>
        </w:rPr>
      </w:pPr>
    </w:p>
    <w:p>
      <w:pPr>
        <w:spacing w:line="360" w:lineRule="auto"/>
        <w:ind w:right="57"/>
        <w:rPr>
          <w:rFonts w:ascii="宋体" w:hAnsi="宋体"/>
          <w:color w:val="000000"/>
          <w:sz w:val="24"/>
          <w:szCs w:val="24"/>
        </w:rPr>
      </w:pPr>
      <w:r>
        <w:rPr>
          <w:rFonts w:hint="eastAsia" w:ascii="宋体" w:hAnsi="宋体"/>
          <w:bCs/>
          <w:color w:val="000000"/>
          <w:sz w:val="24"/>
          <w:szCs w:val="24"/>
        </w:rPr>
        <w:t>说明</w:t>
      </w:r>
      <w:r>
        <w:rPr>
          <w:rFonts w:hint="eastAsia" w:ascii="宋体" w:hAnsi="宋体"/>
          <w:color w:val="000000"/>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4.“备注”处可填写偏离情况的具体说明。</w:t>
      </w:r>
    </w:p>
    <w:p>
      <w:pPr>
        <w:pStyle w:val="6"/>
        <w:spacing w:line="360" w:lineRule="auto"/>
        <w:rPr>
          <w:rFonts w:ascii="宋体" w:hAnsi="宋体" w:eastAsia="宋体"/>
          <w:b w:val="0"/>
          <w:color w:val="000000"/>
          <w:sz w:val="24"/>
          <w:szCs w:val="24"/>
        </w:rPr>
      </w:pPr>
      <w:r>
        <w:rPr>
          <w:rFonts w:ascii="宋体" w:hAnsi="宋体" w:eastAsia="宋体"/>
          <w:b w:val="0"/>
          <w:color w:val="000000"/>
          <w:sz w:val="24"/>
          <w:szCs w:val="24"/>
        </w:rPr>
        <w:br w:type="page"/>
      </w:r>
    </w:p>
    <w:p>
      <w:pPr>
        <w:rPr>
          <w:rFonts w:ascii="宋体" w:hAnsi="宋体"/>
          <w:b/>
          <w:color w:val="000000"/>
          <w:sz w:val="24"/>
          <w:szCs w:val="24"/>
        </w:rPr>
      </w:pPr>
      <w:r>
        <w:rPr>
          <w:rFonts w:hint="eastAsia" w:ascii="宋体" w:hAnsi="宋体"/>
          <w:b/>
          <w:color w:val="000000"/>
          <w:sz w:val="24"/>
          <w:szCs w:val="24"/>
        </w:rPr>
        <w:t>格式十三：</w:t>
      </w:r>
    </w:p>
    <w:p>
      <w:pPr>
        <w:ind w:firstLine="3253" w:firstLineChars="1350"/>
        <w:rPr>
          <w:rFonts w:ascii="宋体" w:hAnsi="宋体" w:cs="Courier New"/>
          <w:b/>
          <w:bCs/>
          <w:color w:val="000000"/>
          <w:kern w:val="0"/>
          <w:sz w:val="24"/>
          <w:szCs w:val="24"/>
        </w:rPr>
      </w:pPr>
      <w:r>
        <w:rPr>
          <w:rFonts w:hint="eastAsia" w:ascii="宋体" w:hAnsi="宋体" w:cs="Courier New"/>
          <w:b/>
          <w:bCs/>
          <w:color w:val="000000"/>
          <w:kern w:val="0"/>
          <w:sz w:val="24"/>
          <w:szCs w:val="24"/>
        </w:rPr>
        <w:t>售后服务承诺及方案</w:t>
      </w:r>
    </w:p>
    <w:p>
      <w:pPr>
        <w:ind w:firstLine="3240" w:firstLineChars="1350"/>
        <w:rPr>
          <w:rFonts w:ascii="宋体" w:hAnsi="宋体"/>
          <w:color w:val="000000"/>
          <w:sz w:val="24"/>
          <w:szCs w:val="24"/>
        </w:rPr>
      </w:pPr>
    </w:p>
    <w:p>
      <w:pPr>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一．售后服务承诺</w:t>
      </w:r>
    </w:p>
    <w:p>
      <w:pPr>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1.在</w:t>
      </w:r>
      <w:r>
        <w:rPr>
          <w:rFonts w:hint="eastAsia" w:ascii="宋体" w:hAnsi="宋体" w:cs="Courier New"/>
          <w:color w:val="000000"/>
          <w:kern w:val="0"/>
          <w:sz w:val="24"/>
          <w:szCs w:val="24"/>
          <w:u w:val="single"/>
          <w:lang w:val="en-US" w:eastAsia="zh-CN"/>
        </w:rPr>
        <w:t xml:space="preserve">    </w:t>
      </w:r>
      <w:r>
        <w:rPr>
          <w:rFonts w:hint="eastAsia" w:ascii="宋体" w:hAnsi="宋体" w:cs="Courier New"/>
          <w:color w:val="000000"/>
          <w:kern w:val="0"/>
          <w:sz w:val="24"/>
          <w:szCs w:val="24"/>
        </w:rPr>
        <w:t>年的质保期内，投标人对所投产品在使用过程中出现的故障和零配件磨损问题，免费提供维修和更换服务，并对所有软件免费升级。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2.质保期过后</w:t>
      </w:r>
      <w:r>
        <w:rPr>
          <w:rFonts w:hint="eastAsia" w:ascii="宋体" w:hAnsi="宋体" w:cs="Courier New"/>
          <w:color w:val="000000"/>
          <w:kern w:val="0"/>
          <w:sz w:val="24"/>
          <w:szCs w:val="24"/>
          <w:u w:val="single"/>
          <w:lang w:val="en-US" w:eastAsia="zh-CN"/>
        </w:rPr>
        <w:t xml:space="preserve">    </w:t>
      </w:r>
      <w:r>
        <w:rPr>
          <w:rFonts w:hint="eastAsia" w:ascii="宋体" w:hAnsi="宋体" w:cs="Courier New"/>
          <w:color w:val="000000"/>
          <w:kern w:val="0"/>
          <w:sz w:val="24"/>
          <w:szCs w:val="24"/>
        </w:rPr>
        <w:t>年内，投标人将继续提供免费维修服务，在此期间不收取维护费，如需更换零配件，只收取零配件的成本费。</w:t>
      </w:r>
    </w:p>
    <w:p>
      <w:pPr>
        <w:pStyle w:val="21"/>
        <w:spacing w:line="360" w:lineRule="auto"/>
        <w:ind w:left="0" w:leftChars="0"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3．投标人在接到用户维修通知后</w:t>
      </w:r>
      <w:r>
        <w:rPr>
          <w:rFonts w:hint="eastAsia" w:ascii="宋体" w:hAnsi="宋体" w:cs="Courier New"/>
          <w:color w:val="000000"/>
          <w:kern w:val="0"/>
          <w:sz w:val="24"/>
          <w:szCs w:val="24"/>
          <w:u w:val="single"/>
          <w:lang w:val="en-US" w:eastAsia="zh-CN"/>
        </w:rPr>
        <w:t xml:space="preserve">   </w:t>
      </w:r>
      <w:r>
        <w:rPr>
          <w:rFonts w:hint="eastAsia" w:ascii="宋体" w:hAnsi="宋体" w:cs="Courier New"/>
          <w:color w:val="000000"/>
          <w:kern w:val="0"/>
          <w:sz w:val="24"/>
          <w:szCs w:val="24"/>
        </w:rPr>
        <w:t>小时内响应，</w:t>
      </w:r>
      <w:r>
        <w:rPr>
          <w:rFonts w:hint="eastAsia" w:ascii="宋体" w:hAnsi="宋体" w:cs="Courier New"/>
          <w:color w:val="000000"/>
          <w:kern w:val="0"/>
          <w:sz w:val="24"/>
          <w:szCs w:val="24"/>
          <w:u w:val="single"/>
          <w:lang w:val="en-US" w:eastAsia="zh-CN"/>
        </w:rPr>
        <w:t xml:space="preserve">    </w:t>
      </w:r>
      <w:r>
        <w:rPr>
          <w:rFonts w:hint="eastAsia" w:ascii="宋体" w:hAnsi="宋体" w:cs="Courier New"/>
          <w:color w:val="000000"/>
          <w:kern w:val="0"/>
          <w:sz w:val="24"/>
          <w:szCs w:val="24"/>
        </w:rPr>
        <w:t>个工作日内排除故障（节假日照常服务）。</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 xml:space="preserve">4．在设备的设计使用寿命期内，投标人必须保证零部件的正常供应，对所有部件终身维修服务，对设备定期维护保养，确保设备正常使用。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5.免费安装调试、人员培训、技术支持。</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6.定期进行用户回访，及时处理用户意见。</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二．技术培训</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免费培训内容：</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培训日期及地点：</w:t>
      </w:r>
    </w:p>
    <w:p>
      <w:pPr>
        <w:adjustRightInd w:val="0"/>
        <w:spacing w:line="336"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三．售后服务机构和服务体系</w:t>
      </w:r>
    </w:p>
    <w:p>
      <w:pPr>
        <w:spacing w:line="336" w:lineRule="auto"/>
        <w:ind w:firstLine="480" w:firstLineChars="200"/>
        <w:rPr>
          <w:rFonts w:ascii="宋体" w:hAnsi="宋体" w:cs="Courier New"/>
          <w:color w:val="000000"/>
          <w:kern w:val="0"/>
          <w:sz w:val="24"/>
          <w:szCs w:val="24"/>
        </w:rPr>
      </w:pPr>
      <w:bookmarkStart w:id="46" w:name="_Toc266431151"/>
      <w:r>
        <w:rPr>
          <w:rFonts w:ascii="宋体" w:hAnsi="宋体" w:cs="Courier New"/>
          <w:color w:val="000000"/>
          <w:kern w:val="0"/>
          <w:sz w:val="24"/>
          <w:szCs w:val="24"/>
        </w:rPr>
        <w:t>1.</w:t>
      </w:r>
      <w:r>
        <w:rPr>
          <w:rFonts w:hint="eastAsia" w:ascii="宋体" w:hAnsi="宋体" w:cs="Courier New"/>
          <w:color w:val="000000"/>
          <w:kern w:val="0"/>
          <w:sz w:val="24"/>
          <w:szCs w:val="24"/>
        </w:rPr>
        <w:t>生产厂家售后服务机构、联系人、联系电话</w:t>
      </w:r>
      <w:bookmarkEnd w:id="46"/>
      <w:r>
        <w:rPr>
          <w:rFonts w:hint="eastAsia" w:ascii="宋体" w:hAnsi="宋体" w:cs="Courier New"/>
          <w:color w:val="000000"/>
          <w:kern w:val="0"/>
          <w:sz w:val="24"/>
          <w:szCs w:val="24"/>
        </w:rPr>
        <w:t>。</w:t>
      </w:r>
    </w:p>
    <w:p>
      <w:pPr>
        <w:pStyle w:val="24"/>
        <w:spacing w:line="336" w:lineRule="auto"/>
        <w:ind w:firstLine="480" w:firstLineChars="200"/>
        <w:rPr>
          <w:rFonts w:hAnsi="宋体"/>
          <w:color w:val="000000"/>
          <w:sz w:val="24"/>
          <w:szCs w:val="24"/>
        </w:rPr>
      </w:pPr>
      <w:bookmarkStart w:id="47" w:name="_Toc266431152"/>
      <w:r>
        <w:rPr>
          <w:rFonts w:hAnsi="宋体"/>
          <w:color w:val="000000"/>
          <w:sz w:val="24"/>
          <w:szCs w:val="24"/>
        </w:rPr>
        <w:t>2.</w:t>
      </w:r>
      <w:r>
        <w:rPr>
          <w:rFonts w:hint="eastAsia" w:hAnsi="宋体"/>
          <w:color w:val="000000"/>
          <w:sz w:val="24"/>
          <w:szCs w:val="24"/>
        </w:rPr>
        <w:t>本地化售后服务网点分布、机构名称、联系人、联系电话。</w:t>
      </w:r>
      <w:bookmarkEnd w:id="47"/>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四．售后方案（自拟）</w:t>
      </w:r>
    </w:p>
    <w:p>
      <w:pPr>
        <w:adjustRightInd w:val="0"/>
        <w:spacing w:line="360" w:lineRule="auto"/>
        <w:ind w:firstLine="480" w:firstLineChars="200"/>
        <w:rPr>
          <w:rFonts w:ascii="宋体" w:hAnsi="宋体" w:cs="Courier New"/>
          <w:color w:val="000000"/>
          <w:kern w:val="0"/>
          <w:sz w:val="24"/>
          <w:szCs w:val="24"/>
        </w:rPr>
      </w:pPr>
    </w:p>
    <w:p>
      <w:pPr>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注：投标人提供售后服务承诺及方案不少于以上内容。</w:t>
      </w:r>
    </w:p>
    <w:p>
      <w:pPr>
        <w:spacing w:line="360" w:lineRule="auto"/>
        <w:rPr>
          <w:rFonts w:ascii="宋体" w:hAnsi="宋体"/>
          <w:bCs/>
          <w:color w:val="000000"/>
          <w:kern w:val="0"/>
          <w:sz w:val="24"/>
          <w:szCs w:val="24"/>
        </w:rPr>
      </w:pPr>
      <w:r>
        <w:rPr>
          <w:rFonts w:ascii="宋体" w:hAnsi="宋体"/>
          <w:bCs/>
          <w:color w:val="000000"/>
          <w:kern w:val="0"/>
          <w:sz w:val="24"/>
          <w:szCs w:val="24"/>
        </w:rPr>
        <w:br w:type="page"/>
      </w:r>
    </w:p>
    <w:p>
      <w:pPr>
        <w:spacing w:line="360" w:lineRule="auto"/>
        <w:rPr>
          <w:rFonts w:ascii="宋体" w:hAnsi="宋体"/>
          <w:b/>
          <w:color w:val="000000"/>
          <w:sz w:val="24"/>
          <w:szCs w:val="24"/>
        </w:rPr>
      </w:pPr>
      <w:r>
        <w:rPr>
          <w:rFonts w:hint="eastAsia" w:ascii="宋体" w:hAnsi="宋体"/>
          <w:b/>
          <w:bCs/>
          <w:color w:val="000000"/>
          <w:kern w:val="0"/>
          <w:sz w:val="24"/>
          <w:szCs w:val="24"/>
        </w:rPr>
        <w:t>格式十四：</w:t>
      </w:r>
    </w:p>
    <w:p>
      <w:pPr>
        <w:spacing w:line="360" w:lineRule="auto"/>
        <w:jc w:val="center"/>
        <w:rPr>
          <w:rFonts w:ascii="宋体" w:hAnsi="宋体"/>
          <w:b/>
          <w:bCs/>
          <w:color w:val="000000"/>
          <w:sz w:val="24"/>
          <w:szCs w:val="24"/>
        </w:rPr>
      </w:pPr>
      <w:r>
        <w:rPr>
          <w:rFonts w:hint="eastAsia" w:ascii="宋体" w:hAnsi="宋体"/>
          <w:b/>
          <w:bCs/>
          <w:sz w:val="24"/>
          <w:szCs w:val="24"/>
        </w:rPr>
        <w:t>商务规格响应表</w:t>
      </w:r>
    </w:p>
    <w:tbl>
      <w:tblPr>
        <w:tblW w:w="97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1883"/>
        <w:gridCol w:w="2130"/>
        <w:gridCol w:w="2040"/>
        <w:gridCol w:w="1528"/>
        <w:gridCol w:w="1215"/>
      </w:tblGrid>
      <w:tr>
        <w:trPr>
          <w:trHeight w:val="97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序号</w:t>
            </w:r>
          </w:p>
        </w:tc>
        <w:tc>
          <w:tcPr>
            <w:tcW w:w="1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eastAsia" w:ascii="宋体" w:hAnsi="宋体" w:eastAsia="宋体" w:cs="Calibri"/>
                <w:color w:val="000000"/>
                <w:sz w:val="24"/>
                <w:szCs w:val="24"/>
                <w:lang w:eastAsia="zh-CN"/>
              </w:rPr>
            </w:pPr>
            <w:r>
              <w:rPr>
                <w:rFonts w:hint="eastAsia" w:ascii="宋体" w:hAnsi="宋体" w:cs="Calibri"/>
                <w:color w:val="000000"/>
                <w:sz w:val="24"/>
                <w:szCs w:val="24"/>
                <w:lang w:eastAsia="zh-CN"/>
              </w:rPr>
              <w:t>审查内容</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招标文件商务</w:t>
            </w:r>
          </w:p>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要求的项目</w:t>
            </w:r>
          </w:p>
        </w:tc>
        <w:tc>
          <w:tcPr>
            <w:tcW w:w="20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投标人响应的</w:t>
            </w:r>
          </w:p>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商务项目</w:t>
            </w:r>
          </w:p>
        </w:tc>
        <w:tc>
          <w:tcPr>
            <w:tcW w:w="15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响应程度</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备注</w:t>
            </w:r>
          </w:p>
        </w:tc>
      </w:tr>
      <w:tr>
        <w:trPr>
          <w:trHeight w:val="381"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1</w:t>
            </w:r>
          </w:p>
        </w:tc>
        <w:tc>
          <w:tcPr>
            <w:tcW w:w="1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s="Calibri"/>
                <w:color w:val="000000"/>
                <w:sz w:val="24"/>
                <w:szCs w:val="24"/>
              </w:rPr>
              <w:t>交付使用时间</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r>
      <w:tr>
        <w:trPr>
          <w:trHeight w:val="381"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2</w:t>
            </w:r>
          </w:p>
        </w:tc>
        <w:tc>
          <w:tcPr>
            <w:tcW w:w="1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s="Calibri"/>
                <w:color w:val="000000"/>
                <w:sz w:val="24"/>
                <w:szCs w:val="24"/>
              </w:rPr>
              <w:t>交付使用地点</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r>
      <w:tr>
        <w:trPr>
          <w:trHeight w:val="381"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3</w:t>
            </w:r>
          </w:p>
        </w:tc>
        <w:tc>
          <w:tcPr>
            <w:tcW w:w="1883" w:type="dxa"/>
            <w:tcBorders>
              <w:top w:val="single" w:color="auto" w:sz="4" w:space="0"/>
              <w:left w:val="single" w:color="auto" w:sz="4" w:space="0"/>
              <w:bottom w:val="single" w:color="auto" w:sz="4" w:space="0"/>
              <w:right w:val="single" w:color="auto" w:sz="4" w:space="0"/>
            </w:tcBorders>
            <w:vAlign w:val="center"/>
          </w:tcPr>
          <w:p>
            <w:pPr>
              <w:pStyle w:val="40"/>
              <w:spacing w:before="0" w:beforeAutospacing="0" w:after="0" w:afterAutospacing="0"/>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cs="Calibri"/>
                <w:sz w:val="24"/>
                <w:szCs w:val="24"/>
              </w:rPr>
              <w:t>投标有效期</w:t>
            </w:r>
          </w:p>
        </w:tc>
        <w:tc>
          <w:tcPr>
            <w:tcW w:w="2130" w:type="dxa"/>
            <w:tcBorders>
              <w:top w:val="single" w:color="auto" w:sz="4" w:space="0"/>
              <w:left w:val="single" w:color="auto" w:sz="4" w:space="0"/>
              <w:bottom w:val="single" w:color="auto" w:sz="4" w:space="0"/>
              <w:right w:val="single" w:color="auto" w:sz="4" w:space="0"/>
            </w:tcBorders>
            <w:vAlign w:val="center"/>
          </w:tcPr>
          <w:p>
            <w:pPr>
              <w:pStyle w:val="40"/>
              <w:spacing w:before="0" w:beforeAutospacing="0" w:after="0" w:afterAutospacing="0"/>
              <w:ind w:firstLine="0" w:firstLineChars="0"/>
              <w:jc w:val="center"/>
              <w:rPr>
                <w:rFonts w:hint="default" w:ascii="宋体" w:hAnsi="宋体" w:cs="Calibri"/>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40"/>
              <w:spacing w:before="0" w:beforeAutospacing="0" w:after="0" w:afterAutospacing="0"/>
              <w:ind w:firstLine="0" w:firstLineChars="0"/>
              <w:rPr>
                <w:rFonts w:hint="default" w:ascii="宋体" w:hAnsi="宋体" w:cs="Calibri"/>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r>
      <w:tr>
        <w:trPr>
          <w:trHeight w:val="15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4</w:t>
            </w:r>
          </w:p>
        </w:tc>
        <w:tc>
          <w:tcPr>
            <w:tcW w:w="1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s="Calibri"/>
                <w:color w:val="000000"/>
                <w:sz w:val="24"/>
                <w:szCs w:val="24"/>
              </w:rPr>
              <w:t>质保期</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r>
      <w:tr>
        <w:trPr>
          <w:trHeight w:val="29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5</w:t>
            </w:r>
          </w:p>
        </w:tc>
        <w:tc>
          <w:tcPr>
            <w:tcW w:w="188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s="Calibri"/>
                <w:color w:val="000000"/>
                <w:sz w:val="24"/>
                <w:szCs w:val="24"/>
              </w:rPr>
              <w:t>付款方式</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r>
      <w:tr>
        <w:trPr>
          <w:trHeight w:val="206" w:hRule="atLeast"/>
          <w:jc w:val="center"/>
        </w:trPr>
        <w:tc>
          <w:tcPr>
            <w:tcW w:w="91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r>
              <w:rPr>
                <w:rFonts w:hint="eastAsia" w:ascii="宋体" w:hAnsi="宋体" w:cs="Calibri"/>
                <w:color w:val="000000"/>
                <w:sz w:val="24"/>
                <w:szCs w:val="24"/>
              </w:rPr>
              <w:t>6</w:t>
            </w:r>
          </w:p>
        </w:tc>
        <w:tc>
          <w:tcPr>
            <w:tcW w:w="1883"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s="Calibri"/>
                <w:color w:val="000000"/>
                <w:sz w:val="24"/>
                <w:szCs w:val="24"/>
              </w:rPr>
              <w:t>其他</w:t>
            </w:r>
          </w:p>
        </w:tc>
        <w:tc>
          <w:tcPr>
            <w:tcW w:w="213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Calibri"/>
                <w:color w:val="000000"/>
                <w:sz w:val="24"/>
                <w:szCs w:val="24"/>
              </w:rPr>
            </w:pPr>
          </w:p>
        </w:tc>
        <w:tc>
          <w:tcPr>
            <w:tcW w:w="204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52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c>
          <w:tcPr>
            <w:tcW w:w="1215"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57" w:right="57" w:firstLine="57"/>
              <w:jc w:val="center"/>
              <w:rPr>
                <w:rFonts w:hint="default" w:ascii="宋体" w:hAnsi="宋体" w:cs="Calibri"/>
                <w:color w:val="000000"/>
                <w:sz w:val="24"/>
                <w:szCs w:val="24"/>
              </w:rPr>
            </w:pPr>
          </w:p>
        </w:tc>
      </w:tr>
    </w:tbl>
    <w:p>
      <w:pPr>
        <w:spacing w:line="360" w:lineRule="auto"/>
        <w:ind w:right="57" w:firstLine="360" w:firstLineChars="150"/>
        <w:rPr>
          <w:rFonts w:ascii="宋体" w:hAnsi="宋体"/>
          <w:sz w:val="24"/>
          <w:szCs w:val="24"/>
        </w:rPr>
      </w:pPr>
      <w:r>
        <w:rPr>
          <w:rFonts w:hint="eastAsia" w:ascii="宋体" w:hAnsi="宋体"/>
          <w:color w:val="000000"/>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color w:val="000000"/>
          <w:sz w:val="24"/>
          <w:szCs w:val="24"/>
        </w:rPr>
      </w:pPr>
      <w:r>
        <w:rPr>
          <w:rFonts w:ascii="宋体" w:hAnsi="宋体"/>
          <w:color w:val="000000"/>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 xml:space="preserve">格式十五：               </w:t>
      </w:r>
    </w:p>
    <w:p>
      <w:pPr>
        <w:spacing w:line="360" w:lineRule="auto"/>
        <w:jc w:val="center"/>
        <w:rPr>
          <w:rFonts w:ascii="宋体" w:hAnsi="宋体"/>
          <w:b/>
          <w:bCs/>
          <w:color w:val="000000"/>
          <w:sz w:val="24"/>
          <w:szCs w:val="24"/>
        </w:rPr>
      </w:pPr>
      <w:r>
        <w:rPr>
          <w:rFonts w:hint="eastAsia" w:ascii="宋体" w:hAnsi="宋体"/>
          <w:b/>
          <w:bCs/>
          <w:color w:val="000000"/>
          <w:sz w:val="24"/>
          <w:szCs w:val="24"/>
        </w:rPr>
        <w:t>投标人业绩情况表</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rPr>
          <w:trHeight w:val="720" w:hRule="atLeast"/>
        </w:trPr>
        <w:tc>
          <w:tcPr>
            <w:tcW w:w="618"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序号</w:t>
            </w:r>
          </w:p>
        </w:tc>
        <w:tc>
          <w:tcPr>
            <w:tcW w:w="2057"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使用单位</w:t>
            </w:r>
          </w:p>
        </w:tc>
        <w:tc>
          <w:tcPr>
            <w:tcW w:w="3539"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业绩名称</w:t>
            </w:r>
          </w:p>
        </w:tc>
        <w:tc>
          <w:tcPr>
            <w:tcW w:w="1708"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合同总价</w:t>
            </w:r>
          </w:p>
        </w:tc>
        <w:tc>
          <w:tcPr>
            <w:tcW w:w="1706" w:type="dxa"/>
            <w:vAlign w:val="center"/>
          </w:tcPr>
          <w:p>
            <w:pPr>
              <w:spacing w:before="0" w:beforeAutospacing="0" w:after="0" w:afterAutospacing="0" w:line="360" w:lineRule="auto"/>
              <w:ind w:left="0" w:right="0"/>
              <w:jc w:val="center"/>
              <w:rPr>
                <w:rFonts w:hint="default" w:ascii="宋体" w:hAnsi="宋体" w:cs="Calibri"/>
                <w:color w:val="000000"/>
                <w:sz w:val="24"/>
                <w:szCs w:val="24"/>
              </w:rPr>
            </w:pPr>
            <w:r>
              <w:rPr>
                <w:rFonts w:hint="eastAsia" w:ascii="宋体" w:hAnsi="宋体" w:cs="Calibri"/>
                <w:color w:val="000000"/>
                <w:sz w:val="24"/>
                <w:szCs w:val="24"/>
              </w:rPr>
              <w:t>签订时间</w:t>
            </w:r>
          </w:p>
        </w:tc>
      </w:tr>
      <w:tr>
        <w:trPr>
          <w:trHeight w:val="204" w:hRule="atLeast"/>
        </w:trPr>
        <w:tc>
          <w:tcPr>
            <w:tcW w:w="61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r>
              <w:rPr>
                <w:rFonts w:hint="eastAsia" w:ascii="宋体" w:hAnsi="宋体" w:cs="Calibri"/>
                <w:color w:val="000000"/>
                <w:kern w:val="0"/>
                <w:sz w:val="24"/>
                <w:szCs w:val="24"/>
              </w:rPr>
              <w:t>1</w:t>
            </w:r>
          </w:p>
        </w:tc>
        <w:tc>
          <w:tcPr>
            <w:tcW w:w="2057" w:type="dxa"/>
            <w:vAlign w:val="top"/>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3539"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6"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r>
      <w:tr>
        <w:trPr>
          <w:trHeight w:val="204" w:hRule="atLeast"/>
        </w:trPr>
        <w:tc>
          <w:tcPr>
            <w:tcW w:w="61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r>
              <w:rPr>
                <w:rFonts w:hint="eastAsia" w:ascii="宋体" w:hAnsi="宋体" w:cs="Calibri"/>
                <w:color w:val="000000"/>
                <w:kern w:val="0"/>
                <w:sz w:val="24"/>
                <w:szCs w:val="24"/>
              </w:rPr>
              <w:t>2</w:t>
            </w:r>
          </w:p>
        </w:tc>
        <w:tc>
          <w:tcPr>
            <w:tcW w:w="2057" w:type="dxa"/>
            <w:vAlign w:val="top"/>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3539"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6"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r>
      <w:tr>
        <w:trPr>
          <w:trHeight w:val="204" w:hRule="atLeast"/>
        </w:trPr>
        <w:tc>
          <w:tcPr>
            <w:tcW w:w="61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r>
              <w:rPr>
                <w:rFonts w:hint="eastAsia" w:ascii="宋体" w:hAnsi="宋体" w:cs="Calibri"/>
                <w:color w:val="000000"/>
                <w:kern w:val="0"/>
                <w:sz w:val="24"/>
                <w:szCs w:val="24"/>
              </w:rPr>
              <w:t>3</w:t>
            </w:r>
          </w:p>
        </w:tc>
        <w:tc>
          <w:tcPr>
            <w:tcW w:w="2057" w:type="dxa"/>
            <w:vAlign w:val="top"/>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3539"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6"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r>
      <w:tr>
        <w:trPr>
          <w:trHeight w:val="204" w:hRule="atLeast"/>
        </w:trPr>
        <w:tc>
          <w:tcPr>
            <w:tcW w:w="61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r>
              <w:rPr>
                <w:rFonts w:hint="eastAsia" w:ascii="宋体" w:hAnsi="宋体" w:cs="Calibri"/>
                <w:color w:val="000000"/>
                <w:kern w:val="0"/>
                <w:sz w:val="24"/>
                <w:szCs w:val="24"/>
              </w:rPr>
              <w:t>4</w:t>
            </w:r>
          </w:p>
        </w:tc>
        <w:tc>
          <w:tcPr>
            <w:tcW w:w="2057" w:type="dxa"/>
            <w:vAlign w:val="top"/>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3539"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6"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r>
      <w:tr>
        <w:trPr>
          <w:trHeight w:val="204" w:hRule="atLeast"/>
        </w:trPr>
        <w:tc>
          <w:tcPr>
            <w:tcW w:w="61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r>
              <w:rPr>
                <w:rFonts w:hint="default" w:ascii="宋体" w:hAnsi="宋体" w:cs="Calibri"/>
                <w:color w:val="000000"/>
                <w:kern w:val="0"/>
                <w:sz w:val="24"/>
                <w:szCs w:val="24"/>
              </w:rPr>
              <w:t>…</w:t>
            </w:r>
          </w:p>
        </w:tc>
        <w:tc>
          <w:tcPr>
            <w:tcW w:w="2057" w:type="dxa"/>
            <w:vAlign w:val="top"/>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3539"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8"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c>
          <w:tcPr>
            <w:tcW w:w="1706" w:type="dxa"/>
            <w:vAlign w:val="center"/>
          </w:tcPr>
          <w:p>
            <w:pPr>
              <w:spacing w:before="0" w:beforeAutospacing="0" w:after="0" w:afterAutospacing="0" w:line="360" w:lineRule="auto"/>
              <w:ind w:left="0" w:right="0"/>
              <w:jc w:val="center"/>
              <w:rPr>
                <w:rFonts w:hint="default" w:ascii="宋体" w:hAnsi="宋体" w:cs="Calibri"/>
                <w:color w:val="000000"/>
                <w:kern w:val="0"/>
                <w:sz w:val="24"/>
                <w:szCs w:val="24"/>
              </w:rPr>
            </w:pPr>
          </w:p>
        </w:tc>
      </w:tr>
    </w:tbl>
    <w:p>
      <w:pPr>
        <w:rPr>
          <w:rFonts w:ascii="宋体" w:hAnsi="宋体"/>
          <w:sz w:val="24"/>
          <w:szCs w:val="24"/>
        </w:rPr>
      </w:pPr>
      <w:r>
        <w:rPr>
          <w:rFonts w:hint="eastAsia" w:ascii="宋体" w:hAnsi="宋体"/>
          <w:sz w:val="24"/>
          <w:szCs w:val="24"/>
        </w:rPr>
        <w:t>注：投标人根据上述业绩情况后附销售或服务</w:t>
      </w:r>
      <w:r>
        <w:rPr>
          <w:rFonts w:ascii="宋体" w:hAnsi="宋体"/>
          <w:sz w:val="24"/>
          <w:szCs w:val="24"/>
        </w:rPr>
        <w:t>合同</w:t>
      </w:r>
      <w:r>
        <w:rPr>
          <w:rFonts w:hint="eastAsia" w:ascii="宋体" w:hAnsi="宋体"/>
          <w:sz w:val="24"/>
          <w:szCs w:val="24"/>
        </w:rPr>
        <w:t>复印件。</w:t>
      </w:r>
    </w:p>
    <w:p>
      <w:pPr>
        <w:spacing w:line="360" w:lineRule="auto"/>
        <w:rPr>
          <w:rFonts w:ascii="宋体" w:hAnsi="宋体"/>
          <w:b/>
          <w:color w:val="000000"/>
          <w:sz w:val="24"/>
          <w:szCs w:val="24"/>
        </w:rPr>
      </w:pPr>
      <w:r>
        <w:rPr>
          <w:rFonts w:ascii="宋体" w:hAnsi="宋体"/>
          <w:color w:val="000000"/>
          <w:sz w:val="24"/>
          <w:szCs w:val="24"/>
        </w:rPr>
        <w:br w:type="page"/>
      </w:r>
      <w:r>
        <w:rPr>
          <w:rFonts w:hint="eastAsia" w:ascii="宋体" w:hAnsi="宋体"/>
          <w:b/>
          <w:color w:val="000000"/>
          <w:sz w:val="24"/>
          <w:szCs w:val="24"/>
        </w:rPr>
        <w:t xml:space="preserve">格式十六：              </w:t>
      </w:r>
    </w:p>
    <w:p>
      <w:pPr>
        <w:spacing w:line="360" w:lineRule="auto"/>
        <w:jc w:val="center"/>
        <w:rPr>
          <w:rFonts w:ascii="宋体" w:hAnsi="宋体"/>
          <w:b/>
          <w:bCs/>
          <w:color w:val="000000"/>
          <w:sz w:val="24"/>
          <w:szCs w:val="24"/>
        </w:rPr>
      </w:pPr>
      <w:r>
        <w:rPr>
          <w:rFonts w:hint="eastAsia" w:ascii="宋体" w:hAnsi="宋体"/>
          <w:b/>
          <w:bCs/>
          <w:sz w:val="24"/>
          <w:szCs w:val="24"/>
        </w:rPr>
        <w:t>投标人基本情况表</w:t>
      </w:r>
    </w:p>
    <w:tbl>
      <w:tblPr>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firstLine="360" w:firstLineChars="150"/>
              <w:rPr>
                <w:rFonts w:hint="default" w:ascii="宋体" w:hAnsi="宋体" w:cs="Calibri"/>
                <w:sz w:val="24"/>
                <w:szCs w:val="24"/>
              </w:rPr>
            </w:pPr>
            <w:r>
              <w:rPr>
                <w:rFonts w:hint="eastAsia" w:ascii="宋体" w:hAnsi="宋体" w:cs="Calibri"/>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rPr>
                <w:rFonts w:hint="default" w:ascii="宋体" w:hAnsi="宋体" w:cs="Calibri"/>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rPr>
                <w:rFonts w:hint="default" w:ascii="宋体" w:hAnsi="宋体" w:cs="Calibri"/>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rPr>
                <w:rFonts w:hint="default" w:ascii="宋体" w:hAnsi="宋体" w:cs="Calibri"/>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rPr>
                <w:rFonts w:hint="default" w:ascii="宋体" w:hAnsi="宋体" w:cs="Calibri"/>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r>
              <w:rPr>
                <w:rFonts w:hint="eastAsia" w:ascii="宋体" w:hAnsi="宋体" w:cs="Calibri"/>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center"/>
              <w:rPr>
                <w:rFonts w:hint="default" w:ascii="宋体" w:hAnsi="宋体" w:cs="Calibri"/>
                <w:sz w:val="24"/>
                <w:szCs w:val="24"/>
              </w:rPr>
            </w:pPr>
          </w:p>
        </w:tc>
      </w:tr>
      <w:tr>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jc w:val="left"/>
              <w:rPr>
                <w:rFonts w:hint="default" w:ascii="宋体" w:hAnsi="宋体" w:cs="Calibri"/>
                <w:sz w:val="24"/>
                <w:szCs w:val="24"/>
              </w:rPr>
            </w:pPr>
            <w:r>
              <w:rPr>
                <w:rFonts w:hint="eastAsia" w:ascii="宋体" w:hAnsi="宋体" w:cs="Calibri"/>
                <w:sz w:val="24"/>
                <w:szCs w:val="24"/>
              </w:rPr>
              <w:t>主营范围：</w:t>
            </w:r>
          </w:p>
        </w:tc>
      </w:tr>
      <w:tr>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before="0" w:beforeAutospacing="0" w:after="0" w:afterAutospacing="0" w:line="360" w:lineRule="auto"/>
              <w:ind w:left="0" w:right="0"/>
              <w:jc w:val="left"/>
              <w:rPr>
                <w:rFonts w:hint="default" w:ascii="宋体" w:hAnsi="宋体" w:cs="Calibri"/>
                <w:sz w:val="24"/>
                <w:szCs w:val="24"/>
              </w:rPr>
            </w:pPr>
            <w:r>
              <w:rPr>
                <w:rFonts w:hint="eastAsia" w:ascii="宋体" w:hAnsi="宋体" w:cs="Calibri"/>
                <w:sz w:val="24"/>
                <w:szCs w:val="24"/>
              </w:rPr>
              <w:t>企业资质：</w:t>
            </w:r>
          </w:p>
        </w:tc>
      </w:tr>
      <w:tr>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before="0" w:beforeAutospacing="0" w:after="0" w:afterAutospacing="0" w:line="360" w:lineRule="auto"/>
              <w:ind w:left="0" w:right="0"/>
              <w:rPr>
                <w:rFonts w:hint="default" w:ascii="宋体" w:hAnsi="宋体" w:cs="Calibri"/>
                <w:sz w:val="24"/>
                <w:szCs w:val="24"/>
              </w:rPr>
            </w:pPr>
            <w:r>
              <w:rPr>
                <w:rFonts w:hint="eastAsia" w:ascii="宋体" w:hAnsi="宋体" w:cs="Calibri"/>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cs="Calibri"/>
                <w:sz w:val="24"/>
                <w:szCs w:val="24"/>
              </w:rPr>
              <w:t>及招标公告中投标人资质要求的其他资质证明等。</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格式十七：          </w:t>
      </w:r>
    </w:p>
    <w:p>
      <w:pPr>
        <w:spacing w:line="360" w:lineRule="auto"/>
        <w:jc w:val="center"/>
        <w:rPr>
          <w:rFonts w:ascii="宋体" w:hAnsi="宋体"/>
          <w:b/>
          <w:bCs/>
          <w:sz w:val="24"/>
          <w:szCs w:val="24"/>
        </w:rPr>
      </w:pPr>
      <w:r>
        <w:rPr>
          <w:rFonts w:hint="eastAsia" w:ascii="宋体" w:hAnsi="宋体"/>
          <w:b/>
          <w:bCs/>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按照本招标文件第六章资格性审查的要求，提供投标人的</w:t>
      </w:r>
      <w:r>
        <w:rPr>
          <w:rFonts w:hint="eastAsia" w:ascii="宋体" w:hAnsi="宋体"/>
          <w:sz w:val="24"/>
          <w:szCs w:val="24"/>
        </w:rPr>
        <w:t>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bookmarkStart w:id="48" w:name="_Toc438655702"/>
      <w:bookmarkStart w:id="49" w:name="_Toc438714732"/>
      <w:bookmarkStart w:id="50" w:name="_Toc482026556"/>
      <w:r>
        <w:rPr>
          <w:rFonts w:hint="eastAsia" w:ascii="宋体" w:hAnsi="宋体"/>
          <w:sz w:val="24"/>
          <w:szCs w:val="24"/>
        </w:rPr>
        <w:t>1.提供投标人财务审计报告的，须提供会计师事务所出具的经审计的财务报告。</w:t>
      </w:r>
    </w:p>
    <w:p>
      <w:pPr>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格式十八：</w:t>
      </w:r>
      <w:bookmarkEnd w:id="48"/>
      <w:bookmarkEnd w:id="49"/>
      <w:bookmarkEnd w:id="50"/>
    </w:p>
    <w:p>
      <w:pPr>
        <w:autoSpaceDE w:val="0"/>
        <w:autoSpaceDN w:val="0"/>
        <w:spacing w:line="360" w:lineRule="auto"/>
        <w:jc w:val="center"/>
        <w:rPr>
          <w:rFonts w:ascii="宋体" w:hAnsi="宋体"/>
          <w:b/>
          <w:bCs/>
          <w:color w:val="000000"/>
          <w:sz w:val="24"/>
          <w:szCs w:val="24"/>
        </w:rPr>
      </w:pPr>
      <w:bookmarkStart w:id="51" w:name="_Toc482026557"/>
      <w:bookmarkStart w:id="52" w:name="_Toc438714733"/>
      <w:bookmarkStart w:id="53" w:name="_Toc438655703"/>
      <w:r>
        <w:rPr>
          <w:rFonts w:hint="eastAsia" w:ascii="宋体" w:hAnsi="宋体"/>
          <w:b/>
          <w:bCs/>
          <w:color w:val="000000"/>
          <w:sz w:val="24"/>
          <w:szCs w:val="24"/>
        </w:rPr>
        <w:t>缴纳税收的凭据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s="宋体"/>
          <w:sz w:val="24"/>
          <w:szCs w:val="24"/>
        </w:rPr>
      </w:pPr>
      <w:r>
        <w:rPr>
          <w:rFonts w:hint="eastAsia" w:ascii="宋体" w:hAnsi="宋体"/>
          <w:sz w:val="24"/>
          <w:szCs w:val="24"/>
        </w:rPr>
        <w:t>提供递交投标文件截止之日前六个月内（至少一个月）的良好缴纳税收的相关凭据。</w:t>
      </w:r>
      <w:r>
        <w:rPr>
          <w:rFonts w:hint="eastAsia" w:ascii="宋体" w:hAnsi="宋体" w:cs="宋体"/>
          <w:sz w:val="24"/>
          <w:szCs w:val="24"/>
        </w:rPr>
        <w:t>（以税务机关提供的纳税凭据或银行入账单为准）</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依法免税的投标人，应提供相应文件证明其依法免税。</w:t>
      </w:r>
    </w:p>
    <w:p>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格式十九：</w:t>
      </w:r>
      <w:bookmarkEnd w:id="51"/>
      <w:bookmarkEnd w:id="52"/>
      <w:bookmarkEnd w:id="53"/>
    </w:p>
    <w:p>
      <w:pPr>
        <w:autoSpaceDE w:val="0"/>
        <w:autoSpaceDN w:val="0"/>
        <w:spacing w:line="360" w:lineRule="auto"/>
        <w:jc w:val="center"/>
        <w:rPr>
          <w:rFonts w:ascii="宋体" w:hAnsi="宋体"/>
          <w:b/>
          <w:bCs/>
          <w:color w:val="000000"/>
          <w:sz w:val="24"/>
          <w:szCs w:val="24"/>
        </w:rPr>
      </w:pPr>
      <w:r>
        <w:rPr>
          <w:rFonts w:hint="eastAsia" w:ascii="宋体" w:hAnsi="宋体"/>
          <w:b/>
          <w:bCs/>
          <w:color w:val="000000"/>
          <w:sz w:val="24"/>
          <w:szCs w:val="24"/>
        </w:rPr>
        <w:t>缴纳社会保险的凭据</w:t>
      </w:r>
    </w:p>
    <w:p>
      <w:pPr>
        <w:autoSpaceDE w:val="0"/>
        <w:autoSpaceDN w:val="0"/>
        <w:spacing w:line="360" w:lineRule="auto"/>
        <w:rPr>
          <w:rFonts w:ascii="宋体" w:hAnsi="宋体"/>
          <w:b/>
          <w:color w:val="000000"/>
          <w:sz w:val="24"/>
          <w:szCs w:val="24"/>
        </w:rPr>
      </w:pPr>
    </w:p>
    <w:p>
      <w:pPr>
        <w:spacing w:line="360" w:lineRule="auto"/>
        <w:ind w:firstLine="480" w:firstLineChars="200"/>
        <w:rPr>
          <w:sz w:val="24"/>
          <w:szCs w:val="24"/>
        </w:rPr>
      </w:pPr>
      <w:r>
        <w:rPr>
          <w:rFonts w:hint="eastAsia" w:ascii="宋体" w:hAnsi="宋体"/>
          <w:sz w:val="24"/>
          <w:szCs w:val="24"/>
        </w:rPr>
        <w:t>提供递交投标文件截止之日前六个月内（至少一个月）缴纳社会保险的凭证。（以社保机构出具的专用收据或社会保险缴纳清单为准）</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依法不需要缴纳社会保障资金的投标人，应提供相应文件证明其依法不需要缴纳社会保障资金。</w:t>
      </w:r>
    </w:p>
    <w:p>
      <w:pPr>
        <w:ind w:firstLine="480" w:firstLineChars="200"/>
        <w:rPr>
          <w:sz w:val="24"/>
          <w:szCs w:val="24"/>
        </w:rPr>
      </w:pPr>
      <w:r>
        <w:rPr>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格式二十：</w:t>
      </w:r>
    </w:p>
    <w:p>
      <w:pPr>
        <w:rPr>
          <w:sz w:val="24"/>
          <w:szCs w:val="24"/>
        </w:rPr>
      </w:pPr>
    </w:p>
    <w:p>
      <w:pPr>
        <w:ind w:firstLine="1446" w:firstLineChars="600"/>
        <w:rPr>
          <w:rFonts w:ascii="宋体" w:hAnsi="宋体" w:cs="宋体"/>
          <w:b/>
          <w:bCs/>
          <w:kern w:val="0"/>
          <w:sz w:val="24"/>
          <w:szCs w:val="24"/>
        </w:rPr>
      </w:pPr>
      <w:r>
        <w:rPr>
          <w:rFonts w:hint="eastAsia" w:ascii="宋体" w:hAnsi="宋体" w:cs="宋体"/>
          <w:b/>
          <w:bCs/>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（采购单位名称）：</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我公司自愿参加本次政府采购活动（项目名称，项目编号：），严格遵守《中华人民共和国政府采购法》、《政府采购法实施条例》及所有相关法律.法规和规定，同时郑重承诺：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7"/>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)、“中国政府采购网”网站（</w:t>
      </w:r>
      <w:r>
        <w:rPr>
          <w:rStyle w:val="37"/>
          <w:rFonts w:hint="eastAsia" w:ascii="宋体" w:hAnsi="宋体"/>
          <w:sz w:val="24"/>
          <w:szCs w:val="24"/>
        </w:rPr>
        <w:t>www.ccgp.gov.cn</w:t>
      </w:r>
      <w:r>
        <w:rPr>
          <w:rFonts w:hint="eastAsia" w:ascii="宋体" w:hAnsi="宋体" w:cs="宋体"/>
          <w:kern w:val="0"/>
          <w:sz w:val="24"/>
          <w:szCs w:val="24"/>
        </w:rPr>
        <w:t>）上均</w:t>
      </w:r>
      <w:r>
        <w:rPr>
          <w:rFonts w:hint="eastAsia" w:ascii="宋体" w:hAnsi="宋体"/>
          <w:sz w:val="24"/>
          <w:szCs w:val="24"/>
        </w:rPr>
        <w:t>无任何违法违规行为的纪录（后附网站查询结果截图）。</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p>
    <w:p>
      <w:pPr>
        <w:rPr>
          <w:rFonts w:ascii="宋体" w:hAnsi="宋体"/>
          <w:sz w:val="24"/>
          <w:szCs w:val="24"/>
          <w:u w:val="single"/>
        </w:rPr>
      </w:pPr>
      <w:r>
        <w:rPr>
          <w:rFonts w:hint="eastAsia" w:ascii="宋体" w:hAnsi="宋体"/>
          <w:sz w:val="24"/>
          <w:szCs w:val="24"/>
        </w:rPr>
        <w:t xml:space="preserve">                法定代表或其授权人（签字）：</w:t>
      </w:r>
    </w:p>
    <w:p>
      <w:pPr>
        <w:autoSpaceDE w:val="0"/>
        <w:autoSpaceDN w:val="0"/>
        <w:spacing w:line="360" w:lineRule="auto"/>
        <w:rPr>
          <w:rFonts w:ascii="宋体" w:hAnsi="宋体"/>
          <w:b/>
          <w:bCs/>
          <w:color w:val="000000"/>
          <w:kern w:val="0"/>
          <w:sz w:val="24"/>
          <w:szCs w:val="24"/>
        </w:rPr>
      </w:pPr>
    </w:p>
    <w:p>
      <w:pPr>
        <w:autoSpaceDE w:val="0"/>
        <w:autoSpaceDN w:val="0"/>
        <w:spacing w:line="360" w:lineRule="auto"/>
        <w:rPr>
          <w:rFonts w:ascii="宋体" w:hAnsi="宋体"/>
          <w:b/>
          <w:bCs/>
          <w:color w:val="000000"/>
          <w:kern w:val="0"/>
          <w:sz w:val="24"/>
          <w:szCs w:val="24"/>
        </w:rPr>
      </w:pPr>
    </w:p>
    <w:p>
      <w:pPr>
        <w:autoSpaceDE w:val="0"/>
        <w:autoSpaceDN w:val="0"/>
        <w:spacing w:line="360" w:lineRule="auto"/>
        <w:rPr>
          <w:rFonts w:ascii="宋体" w:hAnsi="宋体"/>
          <w:b/>
          <w:bCs/>
          <w:color w:val="000000"/>
          <w:kern w:val="0"/>
          <w:sz w:val="24"/>
          <w:szCs w:val="24"/>
        </w:rPr>
      </w:pPr>
    </w:p>
    <w:p>
      <w:pPr>
        <w:autoSpaceDE w:val="0"/>
        <w:autoSpaceDN w:val="0"/>
        <w:spacing w:line="360" w:lineRule="auto"/>
        <w:rPr>
          <w:rFonts w:ascii="宋体" w:hAnsi="宋体"/>
          <w:b/>
          <w:bCs/>
          <w:color w:val="000000"/>
          <w:kern w:val="0"/>
          <w:sz w:val="24"/>
          <w:szCs w:val="24"/>
        </w:rPr>
      </w:pPr>
    </w:p>
    <w:p>
      <w:pPr>
        <w:autoSpaceDE w:val="0"/>
        <w:autoSpaceDN w:val="0"/>
        <w:spacing w:line="360" w:lineRule="auto"/>
        <w:rPr>
          <w:rFonts w:ascii="宋体" w:hAnsi="宋体"/>
          <w:b/>
          <w:bCs/>
          <w:color w:val="000000"/>
          <w:kern w:val="0"/>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t>
      </w:r>
      <w:r>
        <w:rPr>
          <w:rFonts w:hint="eastAsia"/>
          <w:sz w:val="24"/>
          <w:szCs w:val="24"/>
          <w:u w:val="single"/>
        </w:rPr>
        <w:t>http://www.creditchina.gov.cn</w:t>
      </w:r>
      <w:r>
        <w:rPr>
          <w:rFonts w:hint="eastAsia" w:ascii="宋体" w:hAnsi="宋体"/>
          <w:sz w:val="24"/>
          <w:szCs w:val="24"/>
        </w:rPr>
        <w:t>）、中国政府采购网（</w:t>
      </w:r>
      <w:r>
        <w:rPr>
          <w:rFonts w:hint="eastAsia"/>
          <w:sz w:val="24"/>
          <w:szCs w:val="24"/>
          <w:u w:val="single"/>
        </w:rPr>
        <w:t>http://www.ccgp.gov.cn</w:t>
      </w:r>
      <w:r>
        <w:rPr>
          <w:rFonts w:hint="eastAsia" w:ascii="宋体" w:hAnsi="宋体"/>
          <w:sz w:val="24"/>
          <w:szCs w:val="24"/>
        </w:rPr>
        <w:t>）查询信用记录。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tabs>
          <w:tab w:val="left" w:pos="8820"/>
        </w:tabs>
        <w:autoSpaceDE w:val="0"/>
        <w:autoSpaceDN w:val="0"/>
        <w:spacing w:line="360" w:lineRule="auto"/>
        <w:ind w:firstLine="360" w:firstLineChars="150"/>
        <w:rPr>
          <w:rFonts w:ascii="宋体" w:hAnsi="宋体"/>
          <w:color w:val="0000FF"/>
          <w:sz w:val="24"/>
          <w:szCs w:val="24"/>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hint="eastAsia" w:ascii="宋体" w:hAnsi="宋体"/>
          <w:sz w:val="24"/>
          <w:szCs w:val="24"/>
        </w:rPr>
        <w:t>政府采购严重违法失信行为记录名单</w:t>
      </w:r>
      <w:r>
        <w:rPr>
          <w:rFonts w:hint="eastAsia"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color w:val="000000"/>
          <w:kern w:val="0"/>
          <w:sz w:val="24"/>
          <w:szCs w:val="24"/>
        </w:rPr>
      </w:pPr>
      <w:r>
        <w:rPr>
          <w:rFonts w:ascii="宋体" w:hAnsi="宋体"/>
          <w:b/>
          <w:bCs/>
          <w:color w:val="000000"/>
          <w:kern w:val="0"/>
          <w:sz w:val="24"/>
          <w:szCs w:val="24"/>
        </w:rPr>
        <w:br w:type="page"/>
      </w:r>
    </w:p>
    <w:p>
      <w:pPr>
        <w:autoSpaceDE w:val="0"/>
        <w:autoSpaceDN w:val="0"/>
        <w:spacing w:line="360" w:lineRule="auto"/>
        <w:rPr>
          <w:rFonts w:ascii="宋体" w:hAnsi="宋体"/>
          <w:b/>
          <w:bCs/>
          <w:color w:val="000000"/>
          <w:kern w:val="0"/>
          <w:sz w:val="24"/>
          <w:szCs w:val="24"/>
        </w:rPr>
      </w:pPr>
      <w:r>
        <w:rPr>
          <w:rFonts w:hint="eastAsia" w:ascii="宋体" w:hAnsi="宋体"/>
          <w:b/>
          <w:bCs/>
          <w:color w:val="000000"/>
          <w:kern w:val="0"/>
          <w:sz w:val="24"/>
          <w:szCs w:val="24"/>
        </w:rPr>
        <w:t>格式二十一：</w:t>
      </w:r>
    </w:p>
    <w:p>
      <w:pPr>
        <w:autoSpaceDE w:val="0"/>
        <w:autoSpaceDN w:val="0"/>
        <w:spacing w:line="360" w:lineRule="auto"/>
        <w:jc w:val="center"/>
        <w:rPr>
          <w:rFonts w:ascii="宋体" w:hAnsi="宋体"/>
          <w:b/>
          <w:bCs/>
          <w:color w:val="000000"/>
          <w:kern w:val="0"/>
          <w:sz w:val="24"/>
          <w:szCs w:val="24"/>
        </w:rPr>
      </w:pPr>
      <w:r>
        <w:rPr>
          <w:rFonts w:hint="eastAsia" w:ascii="宋体" w:hAnsi="宋体"/>
          <w:b/>
          <w:sz w:val="21"/>
          <w:szCs w:val="21"/>
        </w:rPr>
        <w:t>政府采购政策情况表</w:t>
      </w:r>
    </w:p>
    <w:tbl>
      <w:tblPr>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rPr>
          <w:trHeight w:val="729" w:hRule="atLeast"/>
          <w:jc w:val="center"/>
        </w:trPr>
        <w:tc>
          <w:tcPr>
            <w:tcW w:w="1608" w:type="dxa"/>
            <w:vMerge w:val="restart"/>
            <w:vAlign w:val="center"/>
          </w:tcPr>
          <w:p>
            <w:pPr>
              <w:pStyle w:val="43"/>
              <w:tabs>
                <w:tab w:val="left" w:pos="1260"/>
              </w:tabs>
              <w:spacing w:before="156" w:beforeAutospacing="0" w:after="156" w:afterAutospacing="0"/>
              <w:ind w:left="0" w:right="0"/>
              <w:rPr>
                <w:rFonts w:hint="default" w:ascii="宋体" w:hAnsi="宋体" w:cs="宋体"/>
                <w:kern w:val="0"/>
                <w:sz w:val="24"/>
                <w:szCs w:val="20"/>
              </w:rPr>
            </w:pPr>
            <w:r>
              <w:rPr>
                <w:rFonts w:hint="eastAsia" w:ascii="宋体" w:hAnsi="宋体" w:cs="宋体"/>
                <w:kern w:val="0"/>
                <w:sz w:val="24"/>
                <w:szCs w:val="20"/>
              </w:rPr>
              <w:t>中小企业扶持政策</w:t>
            </w:r>
          </w:p>
          <w:p>
            <w:pPr>
              <w:pStyle w:val="43"/>
              <w:tabs>
                <w:tab w:val="left" w:pos="1260"/>
              </w:tabs>
              <w:spacing w:before="156" w:beforeAutospacing="0" w:after="156" w:afterAutospacing="0"/>
              <w:ind w:left="0" w:right="0" w:firstLine="480"/>
              <w:jc w:val="center"/>
              <w:rPr>
                <w:rFonts w:hint="default" w:ascii="宋体" w:hAnsi="宋体" w:cs="宋体"/>
                <w:kern w:val="0"/>
                <w:sz w:val="24"/>
                <w:szCs w:val="20"/>
              </w:rPr>
            </w:pPr>
          </w:p>
        </w:tc>
        <w:tc>
          <w:tcPr>
            <w:tcW w:w="7899" w:type="dxa"/>
            <w:gridSpan w:val="5"/>
            <w:vAlign w:val="center"/>
          </w:tcPr>
          <w:p>
            <w:pPr>
              <w:pStyle w:val="43"/>
              <w:tabs>
                <w:tab w:val="left" w:pos="1260"/>
              </w:tabs>
              <w:spacing w:before="40" w:beforeAutospacing="0" w:after="40" w:afterAutospacing="0" w:line="360" w:lineRule="auto"/>
              <w:ind w:left="0" w:right="0" w:firstLine="480"/>
              <w:rPr>
                <w:rFonts w:hint="default" w:ascii="宋体" w:hAnsi="宋体" w:cs="宋体"/>
                <w:kern w:val="0"/>
                <w:sz w:val="24"/>
                <w:szCs w:val="20"/>
              </w:rPr>
            </w:pPr>
            <w:r>
              <w:rPr>
                <w:rFonts w:hint="eastAsia" w:ascii="宋体" w:hAnsi="宋体" w:cs="宋体"/>
                <w:kern w:val="0"/>
                <w:sz w:val="24"/>
                <w:szCs w:val="20"/>
              </w:rPr>
              <w:t>如属所列情形的，请在括号内打“√”：</w:t>
            </w:r>
          </w:p>
          <w:p>
            <w:pPr>
              <w:pStyle w:val="43"/>
              <w:tabs>
                <w:tab w:val="left" w:pos="1260"/>
              </w:tabs>
              <w:spacing w:before="40" w:beforeAutospacing="0" w:after="4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  ）小型、微型企业投标且提供本企业制造的产品。</w:t>
            </w:r>
          </w:p>
          <w:p>
            <w:pPr>
              <w:pStyle w:val="43"/>
              <w:tabs>
                <w:tab w:val="left" w:pos="1260"/>
              </w:tabs>
              <w:spacing w:before="40" w:beforeAutospacing="0" w:after="4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  ）小微企业投标且提供其它小型、微型企业产品的，请填写下表内容：</w:t>
            </w:r>
          </w:p>
        </w:tc>
      </w:tr>
      <w:tr>
        <w:trPr>
          <w:trHeight w:val="729" w:hRule="atLeast"/>
          <w:jc w:val="center"/>
        </w:trPr>
        <w:tc>
          <w:tcPr>
            <w:tcW w:w="1608" w:type="dxa"/>
            <w:vMerge w:val="continue"/>
            <w:vAlign w:val="center"/>
          </w:tcPr>
          <w:p>
            <w:pPr>
              <w:pStyle w:val="43"/>
              <w:tabs>
                <w:tab w:val="left" w:pos="1260"/>
              </w:tabs>
              <w:spacing w:before="156" w:beforeAutospacing="0" w:after="156" w:afterAutospacing="0"/>
              <w:ind w:left="0" w:right="0" w:firstLine="480"/>
              <w:jc w:val="center"/>
              <w:rPr>
                <w:rFonts w:hint="default" w:ascii="宋体" w:hAnsi="宋体" w:cs="宋体"/>
                <w:kern w:val="0"/>
                <w:sz w:val="24"/>
                <w:szCs w:val="20"/>
              </w:rPr>
            </w:pPr>
          </w:p>
        </w:tc>
        <w:tc>
          <w:tcPr>
            <w:tcW w:w="1702" w:type="dxa"/>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eastAsia" w:ascii="宋体" w:hAnsi="宋体" w:cs="宋体"/>
                <w:kern w:val="0"/>
                <w:sz w:val="24"/>
                <w:szCs w:val="20"/>
              </w:rPr>
              <w:t>核心产品名称</w:t>
            </w:r>
          </w:p>
        </w:tc>
        <w:tc>
          <w:tcPr>
            <w:tcW w:w="1196" w:type="dxa"/>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eastAsia" w:ascii="宋体" w:hAnsi="宋体" w:cs="宋体"/>
                <w:kern w:val="0"/>
                <w:sz w:val="24"/>
                <w:szCs w:val="20"/>
              </w:rPr>
              <w:t>品牌型号</w:t>
            </w:r>
          </w:p>
        </w:tc>
        <w:tc>
          <w:tcPr>
            <w:tcW w:w="1356" w:type="dxa"/>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eastAsia" w:ascii="宋体" w:hAnsi="宋体" w:cs="宋体"/>
                <w:kern w:val="0"/>
                <w:sz w:val="24"/>
                <w:szCs w:val="20"/>
              </w:rPr>
              <w:t>制造商</w:t>
            </w:r>
          </w:p>
        </w:tc>
        <w:tc>
          <w:tcPr>
            <w:tcW w:w="1960" w:type="dxa"/>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eastAsia" w:ascii="宋体" w:hAnsi="宋体" w:cs="宋体"/>
                <w:kern w:val="0"/>
                <w:sz w:val="24"/>
                <w:szCs w:val="20"/>
              </w:rPr>
              <w:t>制造商企业类型</w:t>
            </w:r>
          </w:p>
        </w:tc>
        <w:tc>
          <w:tcPr>
            <w:tcW w:w="1685" w:type="dxa"/>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eastAsia" w:ascii="宋体" w:hAnsi="宋体" w:cs="宋体"/>
                <w:kern w:val="0"/>
                <w:sz w:val="24"/>
                <w:szCs w:val="20"/>
              </w:rPr>
              <w:t>金额（单价元）</w:t>
            </w:r>
          </w:p>
        </w:tc>
      </w:tr>
      <w:tr>
        <w:trPr>
          <w:trHeight w:val="729" w:hRule="atLeast"/>
          <w:jc w:val="center"/>
        </w:trPr>
        <w:tc>
          <w:tcPr>
            <w:tcW w:w="1608" w:type="dxa"/>
            <w:vMerge w:val="continue"/>
            <w:vAlign w:val="center"/>
          </w:tcPr>
          <w:p>
            <w:pPr>
              <w:pStyle w:val="43"/>
              <w:tabs>
                <w:tab w:val="left" w:pos="1260"/>
              </w:tabs>
              <w:spacing w:before="156" w:beforeAutospacing="0" w:after="156" w:afterAutospacing="0"/>
              <w:ind w:left="0" w:right="0" w:firstLine="480"/>
              <w:jc w:val="center"/>
              <w:rPr>
                <w:rFonts w:hint="default" w:ascii="宋体" w:hAnsi="宋体" w:cs="宋体"/>
                <w:kern w:val="0"/>
                <w:sz w:val="24"/>
                <w:szCs w:val="20"/>
              </w:rPr>
            </w:pPr>
          </w:p>
        </w:tc>
        <w:tc>
          <w:tcPr>
            <w:tcW w:w="1702"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196"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356"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960"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685"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r>
      <w:tr>
        <w:trPr>
          <w:trHeight w:val="729" w:hRule="atLeast"/>
          <w:jc w:val="center"/>
        </w:trPr>
        <w:tc>
          <w:tcPr>
            <w:tcW w:w="1608" w:type="dxa"/>
            <w:vMerge w:val="continue"/>
            <w:vAlign w:val="center"/>
          </w:tcPr>
          <w:p>
            <w:pPr>
              <w:pStyle w:val="43"/>
              <w:tabs>
                <w:tab w:val="left" w:pos="1260"/>
              </w:tabs>
              <w:spacing w:before="156" w:beforeAutospacing="0" w:after="156" w:afterAutospacing="0"/>
              <w:ind w:left="0" w:right="0" w:firstLine="480"/>
              <w:jc w:val="center"/>
              <w:rPr>
                <w:rFonts w:hint="default" w:ascii="宋体" w:hAnsi="宋体" w:cs="宋体"/>
                <w:kern w:val="0"/>
                <w:sz w:val="24"/>
                <w:szCs w:val="20"/>
              </w:rPr>
            </w:pPr>
          </w:p>
        </w:tc>
        <w:tc>
          <w:tcPr>
            <w:tcW w:w="1702"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196"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356"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960"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c>
          <w:tcPr>
            <w:tcW w:w="1685"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r>
      <w:tr>
        <w:trPr>
          <w:trHeight w:val="671" w:hRule="atLeast"/>
          <w:jc w:val="center"/>
        </w:trPr>
        <w:tc>
          <w:tcPr>
            <w:tcW w:w="1608" w:type="dxa"/>
            <w:vMerge w:val="continue"/>
            <w:vAlign w:val="center"/>
          </w:tcPr>
          <w:p>
            <w:pPr>
              <w:pStyle w:val="43"/>
              <w:tabs>
                <w:tab w:val="left" w:pos="1260"/>
              </w:tabs>
              <w:spacing w:before="156" w:beforeAutospacing="0" w:after="156" w:afterAutospacing="0"/>
              <w:ind w:left="0" w:right="0" w:firstLine="480"/>
              <w:jc w:val="center"/>
              <w:rPr>
                <w:rFonts w:hint="default" w:ascii="宋体" w:hAnsi="宋体" w:cs="宋体"/>
                <w:kern w:val="0"/>
                <w:sz w:val="24"/>
                <w:szCs w:val="20"/>
              </w:rPr>
            </w:pPr>
          </w:p>
        </w:tc>
        <w:tc>
          <w:tcPr>
            <w:tcW w:w="6214" w:type="dxa"/>
            <w:gridSpan w:val="4"/>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r>
              <w:rPr>
                <w:rFonts w:hint="eastAsia" w:ascii="宋体" w:hAnsi="宋体" w:cs="宋体"/>
                <w:kern w:val="0"/>
                <w:sz w:val="24"/>
                <w:szCs w:val="20"/>
              </w:rPr>
              <w:t>小型、微型企业产品金额合计</w:t>
            </w:r>
          </w:p>
        </w:tc>
        <w:tc>
          <w:tcPr>
            <w:tcW w:w="1685" w:type="dxa"/>
            <w:vAlign w:val="center"/>
          </w:tcPr>
          <w:p>
            <w:pPr>
              <w:pStyle w:val="43"/>
              <w:tabs>
                <w:tab w:val="left" w:pos="1260"/>
              </w:tabs>
              <w:spacing w:before="40" w:beforeAutospacing="0" w:after="40" w:afterAutospacing="0"/>
              <w:ind w:left="0" w:right="0" w:firstLine="480"/>
              <w:jc w:val="center"/>
              <w:rPr>
                <w:rFonts w:hint="default" w:ascii="宋体" w:hAnsi="宋体" w:cs="宋体"/>
                <w:kern w:val="0"/>
                <w:sz w:val="24"/>
                <w:szCs w:val="20"/>
              </w:rPr>
            </w:pPr>
          </w:p>
        </w:tc>
      </w:tr>
      <w:tr>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43"/>
              <w:tabs>
                <w:tab w:val="left" w:pos="1260"/>
              </w:tabs>
              <w:spacing w:before="156" w:beforeAutospacing="0" w:after="156" w:afterAutospacing="0"/>
              <w:ind w:left="0" w:right="0"/>
              <w:rPr>
                <w:rFonts w:hint="default" w:ascii="宋体" w:hAnsi="宋体" w:cs="宋体"/>
                <w:kern w:val="0"/>
                <w:sz w:val="24"/>
                <w:szCs w:val="20"/>
              </w:rPr>
            </w:pPr>
            <w:r>
              <w:rPr>
                <w:rFonts w:hint="default" w:ascii="宋体" w:hAnsi="宋体" w:cs="宋体"/>
                <w:kern w:val="0"/>
                <w:sz w:val="24"/>
                <w:szCs w:val="20"/>
              </w:rPr>
              <w:t>监狱企业</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default" w:ascii="宋体" w:hAnsi="宋体" w:cs="宋体"/>
                <w:kern w:val="0"/>
                <w:sz w:val="24"/>
                <w:szCs w:val="20"/>
              </w:rPr>
              <w:t>（  ）我公司属于监狱企业，</w:t>
            </w:r>
            <w:r>
              <w:rPr>
                <w:rFonts w:hint="eastAsia" w:ascii="宋体" w:hAnsi="宋体" w:cs="宋体"/>
                <w:kern w:val="0"/>
                <w:sz w:val="24"/>
                <w:szCs w:val="20"/>
              </w:rPr>
              <w:t>并</w:t>
            </w:r>
            <w:r>
              <w:rPr>
                <w:rFonts w:hint="default" w:ascii="宋体" w:hAnsi="宋体" w:cs="宋体"/>
                <w:kern w:val="0"/>
                <w:sz w:val="24"/>
                <w:szCs w:val="20"/>
              </w:rPr>
              <w:t>提供由监狱管理局、戒毒管理局（含新疆生产建设兵团）出具的属于监狱企业的证明文件。</w:t>
            </w:r>
          </w:p>
        </w:tc>
      </w:tr>
      <w:tr>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43"/>
              <w:tabs>
                <w:tab w:val="left" w:pos="1260"/>
              </w:tabs>
              <w:spacing w:before="156" w:beforeAutospacing="0" w:after="156" w:afterAutospacing="0"/>
              <w:ind w:left="0" w:right="0"/>
              <w:rPr>
                <w:rFonts w:hint="default" w:ascii="宋体" w:hAnsi="宋体" w:cs="宋体"/>
                <w:kern w:val="0"/>
                <w:sz w:val="24"/>
                <w:szCs w:val="20"/>
              </w:rPr>
            </w:pPr>
            <w:r>
              <w:rPr>
                <w:rFonts w:hint="eastAsia" w:ascii="宋体" w:hAnsi="宋体" w:cs="宋体"/>
                <w:kern w:val="0"/>
                <w:sz w:val="24"/>
                <w:szCs w:val="20"/>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43"/>
              <w:tabs>
                <w:tab w:val="left" w:pos="1260"/>
              </w:tabs>
              <w:spacing w:before="40" w:beforeAutospacing="0" w:after="40" w:afterAutospacing="0"/>
              <w:ind w:left="0" w:right="0"/>
              <w:rPr>
                <w:rFonts w:hint="default" w:ascii="宋体" w:hAnsi="宋体" w:cs="宋体"/>
                <w:kern w:val="0"/>
                <w:sz w:val="24"/>
                <w:szCs w:val="20"/>
              </w:rPr>
            </w:pPr>
            <w:r>
              <w:rPr>
                <w:rFonts w:hint="default" w:ascii="宋体" w:hAnsi="宋体" w:cs="宋体"/>
                <w:kern w:val="0"/>
                <w:sz w:val="24"/>
                <w:szCs w:val="20"/>
              </w:rPr>
              <w:t>（  ）我公司属于</w:t>
            </w:r>
            <w:r>
              <w:rPr>
                <w:rFonts w:hint="eastAsia" w:ascii="宋体" w:hAnsi="宋体" w:cs="宋体"/>
                <w:kern w:val="0"/>
                <w:sz w:val="24"/>
                <w:szCs w:val="20"/>
              </w:rPr>
              <w:t>残疾人福利性单位</w:t>
            </w:r>
            <w:r>
              <w:rPr>
                <w:rFonts w:hint="default" w:ascii="宋体" w:hAnsi="宋体" w:cs="宋体"/>
                <w:kern w:val="0"/>
                <w:sz w:val="24"/>
                <w:szCs w:val="20"/>
              </w:rPr>
              <w:t>，</w:t>
            </w:r>
            <w:r>
              <w:rPr>
                <w:rFonts w:hint="eastAsia" w:ascii="宋体" w:hAnsi="宋体" w:cs="宋体"/>
                <w:kern w:val="0"/>
                <w:sz w:val="24"/>
                <w:szCs w:val="20"/>
              </w:rPr>
              <w:t>并</w:t>
            </w:r>
            <w:r>
              <w:rPr>
                <w:rFonts w:hint="default" w:ascii="宋体" w:hAnsi="宋体" w:cs="宋体"/>
                <w:kern w:val="0"/>
                <w:sz w:val="24"/>
                <w:szCs w:val="20"/>
              </w:rPr>
              <w:t>提供</w:t>
            </w:r>
            <w:r>
              <w:rPr>
                <w:rFonts w:hint="eastAsia" w:ascii="宋体" w:hAnsi="宋体" w:cs="宋体"/>
                <w:kern w:val="0"/>
                <w:sz w:val="24"/>
                <w:szCs w:val="20"/>
              </w:rPr>
              <w:t>残疾人福利性单位声明函</w:t>
            </w:r>
            <w:r>
              <w:rPr>
                <w:rFonts w:hint="default" w:ascii="宋体" w:hAnsi="宋体" w:cs="宋体"/>
                <w:kern w:val="0"/>
                <w:sz w:val="24"/>
                <w:szCs w:val="20"/>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rFonts w:ascii="宋体" w:hAnsi="宋体"/>
          <w:sz w:val="24"/>
          <w:szCs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autoSpaceDN w:val="0"/>
        <w:spacing w:line="360" w:lineRule="auto"/>
        <w:rPr>
          <w:b/>
          <w:bCs/>
          <w:sz w:val="24"/>
        </w:rPr>
      </w:pPr>
      <w:r>
        <w:rPr>
          <w:rFonts w:hint="eastAsia"/>
          <w:b/>
          <w:bCs/>
          <w:sz w:val="24"/>
        </w:rPr>
        <w:t>格式二十二：</w:t>
      </w:r>
    </w:p>
    <w:p>
      <w:pPr>
        <w:spacing w:line="588" w:lineRule="exact"/>
        <w:jc w:val="center"/>
        <w:rPr>
          <w:rFonts w:ascii="宋体" w:hAnsi="宋体" w:cs="宋体"/>
          <w:b/>
          <w:bCs/>
          <w:kern w:val="0"/>
          <w:sz w:val="24"/>
          <w:szCs w:val="24"/>
        </w:rPr>
      </w:pPr>
      <w:r>
        <w:rPr>
          <w:rFonts w:hint="eastAsia" w:ascii="宋体" w:hAnsi="宋体" w:cs="宋体"/>
          <w:b/>
          <w:bCs/>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54" w:name="OLE_LINK5"/>
      <w:bookmarkStart w:id="55" w:name="OLE_LINK2"/>
      <w:r>
        <w:rPr>
          <w:rFonts w:hint="eastAsia" w:ascii="宋体" w:hAnsi="宋体" w:cs="宋体"/>
          <w:kern w:val="0"/>
          <w:sz w:val="24"/>
          <w:szCs w:val="24"/>
        </w:rPr>
        <w:t>______（请填写：中型、小型、微型）企业</w:t>
      </w:r>
      <w:bookmarkEnd w:id="54"/>
      <w:bookmarkEnd w:id="55"/>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color w:val="000000"/>
          <w:kern w:val="0"/>
          <w:sz w:val="24"/>
          <w:szCs w:val="24"/>
        </w:rPr>
      </w:pPr>
      <w:r>
        <w:rPr>
          <w:rFonts w:hint="eastAsia" w:ascii="宋体" w:hAnsi="宋体"/>
          <w:b/>
          <w:bCs/>
          <w:color w:val="000000"/>
          <w:kern w:val="0"/>
          <w:sz w:val="24"/>
          <w:szCs w:val="24"/>
        </w:rPr>
        <w:t>格式二十三：</w:t>
      </w:r>
    </w:p>
    <w:p>
      <w:pPr>
        <w:spacing w:line="588" w:lineRule="exact"/>
        <w:jc w:val="center"/>
        <w:rPr>
          <w:rFonts w:ascii="宋体" w:hAnsi="宋体" w:cs="宋体"/>
          <w:b/>
          <w:bCs/>
          <w:kern w:val="0"/>
          <w:sz w:val="24"/>
          <w:szCs w:val="24"/>
        </w:rPr>
      </w:pPr>
      <w:r>
        <w:rPr>
          <w:rFonts w:hint="eastAsia" w:ascii="宋体" w:hAnsi="宋体" w:cs="宋体"/>
          <w:b/>
          <w:bCs/>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autoSpaceDE w:val="0"/>
        <w:autoSpaceDN w:val="0"/>
        <w:spacing w:line="360" w:lineRule="auto"/>
        <w:ind w:left="3132" w:hanging="3132" w:hangingChars="1300"/>
        <w:rPr>
          <w:rFonts w:ascii="宋体" w:hAnsi="宋体"/>
          <w:b/>
          <w:color w:val="000000"/>
          <w:sz w:val="24"/>
          <w:szCs w:val="24"/>
          <w:lang w:val="zh-CN"/>
        </w:rPr>
      </w:pPr>
      <w:r>
        <w:rPr>
          <w:rFonts w:hint="eastAsia" w:ascii="宋体" w:hAnsi="宋体"/>
          <w:b/>
          <w:bCs/>
          <w:color w:val="000000"/>
          <w:kern w:val="0"/>
          <w:sz w:val="24"/>
          <w:szCs w:val="24"/>
        </w:rPr>
        <w:t>格式二十</w:t>
      </w:r>
      <w:r>
        <w:rPr>
          <w:rFonts w:hint="eastAsia" w:ascii="宋体" w:hAnsi="宋体"/>
          <w:b/>
          <w:bCs/>
          <w:color w:val="000000"/>
          <w:kern w:val="0"/>
          <w:sz w:val="24"/>
          <w:szCs w:val="24"/>
          <w:lang w:val="en-US" w:eastAsia="zh-CN"/>
        </w:rPr>
        <w:t>四</w:t>
      </w:r>
      <w:r>
        <w:rPr>
          <w:rFonts w:hint="eastAsia" w:ascii="宋体" w:hAnsi="宋体"/>
          <w:b/>
          <w:bCs/>
          <w:color w:val="000000"/>
          <w:kern w:val="0"/>
          <w:sz w:val="24"/>
          <w:szCs w:val="24"/>
        </w:rPr>
        <w:t>：</w:t>
      </w:r>
      <w:r>
        <w:rPr>
          <w:rFonts w:ascii="宋体" w:hAnsi="宋体"/>
          <w:bCs/>
          <w:color w:val="000000"/>
          <w:kern w:val="0"/>
          <w:sz w:val="24"/>
          <w:szCs w:val="24"/>
        </w:rPr>
        <w:br/>
      </w:r>
      <w:r>
        <w:rPr>
          <w:rFonts w:hint="eastAsia" w:ascii="宋体" w:hAnsi="宋体"/>
          <w:b/>
          <w:color w:val="000000"/>
          <w:sz w:val="24"/>
          <w:szCs w:val="24"/>
        </w:rPr>
        <w:t>各类</w:t>
      </w:r>
      <w:r>
        <w:rPr>
          <w:rFonts w:hint="eastAsia" w:ascii="宋体" w:hAnsi="宋体"/>
          <w:b/>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6"/>
        <w:spacing w:line="360" w:lineRule="auto"/>
        <w:ind w:firstLine="2650" w:firstLineChars="1100"/>
        <w:rPr>
          <w:rFonts w:ascii="宋体" w:hAnsi="宋体" w:eastAsia="宋体"/>
          <w:bCs w:val="0"/>
          <w:color w:val="000000"/>
          <w:sz w:val="24"/>
          <w:szCs w:val="24"/>
        </w:rPr>
      </w:pPr>
      <w:r>
        <w:rPr>
          <w:rFonts w:ascii="宋体" w:hAnsi="宋体" w:eastAsia="宋体"/>
          <w:bCs w:val="0"/>
          <w:color w:val="000000"/>
          <w:sz w:val="24"/>
          <w:szCs w:val="24"/>
        </w:rPr>
        <w:br w:type="page"/>
      </w:r>
    </w:p>
    <w:p>
      <w:pPr>
        <w:spacing w:line="360" w:lineRule="auto"/>
        <w:ind w:firstLine="4216" w:firstLineChars="1750"/>
        <w:outlineLvl w:val="0"/>
        <w:rPr>
          <w:rFonts w:ascii="宋体" w:hAnsi="宋体"/>
          <w:b/>
          <w:color w:val="000000"/>
          <w:sz w:val="24"/>
          <w:szCs w:val="24"/>
        </w:rPr>
      </w:pPr>
      <w:bookmarkStart w:id="56" w:name="_Toc497408664"/>
      <w:r>
        <w:rPr>
          <w:rFonts w:hint="eastAsia" w:ascii="宋体" w:hAnsi="宋体"/>
          <w:b/>
          <w:color w:val="000000"/>
          <w:sz w:val="24"/>
          <w:szCs w:val="24"/>
        </w:rPr>
        <w:t>温馨提示</w:t>
      </w:r>
      <w:bookmarkEnd w:id="56"/>
    </w:p>
    <w:p>
      <w:pPr>
        <w:spacing w:line="360" w:lineRule="auto"/>
        <w:rPr>
          <w:rFonts w:ascii="宋体" w:hAnsi="宋体"/>
          <w:b/>
          <w:color w:val="000000"/>
          <w:sz w:val="24"/>
          <w:szCs w:val="24"/>
        </w:rPr>
      </w:pPr>
      <w:r>
        <w:rPr>
          <w:rFonts w:hint="eastAsia" w:ascii="宋体" w:hAnsi="宋体"/>
          <w:b/>
          <w:color w:val="000000"/>
          <w:sz w:val="24"/>
          <w:szCs w:val="24"/>
        </w:rPr>
        <w:t>各位投标人:</w:t>
      </w:r>
    </w:p>
    <w:p>
      <w:pPr>
        <w:spacing w:line="360" w:lineRule="auto"/>
        <w:rPr>
          <w:rFonts w:ascii="宋体" w:hAnsi="宋体"/>
          <w:b/>
          <w:color w:val="000000"/>
          <w:sz w:val="24"/>
          <w:szCs w:val="24"/>
        </w:rPr>
      </w:pPr>
    </w:p>
    <w:p>
      <w:pPr>
        <w:spacing w:line="360" w:lineRule="auto"/>
        <w:rPr>
          <w:rFonts w:ascii="宋体" w:hAnsi="宋体"/>
          <w:sz w:val="24"/>
          <w:szCs w:val="24"/>
        </w:rPr>
      </w:pP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4" w:type="default"/>
      <w:footerReference r:id="rId5" w:type="default"/>
      <w:pgSz w:w="11906" w:h="16838"/>
      <w:pgMar w:top="737" w:right="1247" w:bottom="737" w:left="1247" w:header="851" w:footer="992" w:gutter="0"/>
      <w:pgNumType w:start="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楷体简体">
    <w:altName w:val="黑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jc w:val="center"/>
    </w:pPr>
    <w:r>
      <w:fldChar w:fldCharType="begin"/>
    </w:r>
    <w:r>
      <w:instrText xml:space="preserve">PAGE   \* MERGEFORMAT</w:instrText>
    </w:r>
    <w:r>
      <w:fldChar w:fldCharType="separate"/>
    </w:r>
    <w:r>
      <w:rPr>
        <w:lang w:val="zh-CN"/>
      </w:rPr>
      <w:t>1</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2"/>
      <w:numFmt w:val="japaneseCounting"/>
      <w:lvlText w:val="第%1节"/>
      <w:lvlJc w:val="left"/>
      <w:pPr>
        <w:tabs>
          <w:tab w:val="left" w:pos="1674"/>
        </w:tabs>
        <w:ind w:left="1674" w:hanging="1125"/>
      </w:pPr>
      <w:rPr>
        <w:rFonts w:hint="default"/>
      </w:rPr>
    </w:lvl>
    <w:lvl w:ilvl="1" w:tentative="1">
      <w:start w:val="1"/>
      <w:numFmt w:val="japaneseCounting"/>
      <w:lvlText w:val="第%2章"/>
      <w:lvlJc w:val="left"/>
      <w:pPr>
        <w:tabs>
          <w:tab w:val="left" w:pos="3495"/>
        </w:tabs>
        <w:ind w:left="3495" w:hanging="1515"/>
      </w:pPr>
      <w:rPr>
        <w:rFonts w:hint="default"/>
      </w:rPr>
    </w:lvl>
    <w:lvl w:ilvl="2" w:tentative="1">
      <w:start w:val="1"/>
      <w:numFmt w:val="lowerRoman"/>
      <w:lvlText w:val="%3."/>
      <w:lvlJc w:val="right"/>
      <w:pPr>
        <w:tabs>
          <w:tab w:val="left" w:pos="1809"/>
        </w:tabs>
        <w:ind w:left="1809" w:hanging="420"/>
      </w:pPr>
    </w:lvl>
    <w:lvl w:ilvl="3" w:tentative="1">
      <w:start w:val="1"/>
      <w:numFmt w:val="decimal"/>
      <w:lvlText w:val="%4."/>
      <w:lvlJc w:val="left"/>
      <w:pPr>
        <w:tabs>
          <w:tab w:val="left" w:pos="2229"/>
        </w:tabs>
        <w:ind w:left="2229" w:hanging="420"/>
      </w:pPr>
    </w:lvl>
    <w:lvl w:ilvl="4" w:tentative="1">
      <w:start w:val="1"/>
      <w:numFmt w:val="lowerLetter"/>
      <w:pStyle w:val="11"/>
      <w:lvlText w:val="%5)"/>
      <w:lvlJc w:val="left"/>
      <w:pPr>
        <w:tabs>
          <w:tab w:val="left" w:pos="2649"/>
        </w:tabs>
        <w:ind w:left="2649" w:hanging="420"/>
      </w:pPr>
    </w:lvl>
    <w:lvl w:ilvl="5" w:tentative="1">
      <w:start w:val="1"/>
      <w:numFmt w:val="lowerRoman"/>
      <w:pStyle w:val="12"/>
      <w:lvlText w:val="%6."/>
      <w:lvlJc w:val="right"/>
      <w:pPr>
        <w:tabs>
          <w:tab w:val="left" w:pos="3069"/>
        </w:tabs>
        <w:ind w:left="3069" w:hanging="420"/>
      </w:pPr>
    </w:lvl>
    <w:lvl w:ilvl="6" w:tentative="1">
      <w:start w:val="1"/>
      <w:numFmt w:val="decimal"/>
      <w:pStyle w:val="13"/>
      <w:lvlText w:val="%7."/>
      <w:lvlJc w:val="left"/>
      <w:pPr>
        <w:tabs>
          <w:tab w:val="left" w:pos="3489"/>
        </w:tabs>
        <w:ind w:left="3489" w:hanging="420"/>
      </w:pPr>
    </w:lvl>
    <w:lvl w:ilvl="7" w:tentative="1">
      <w:start w:val="1"/>
      <w:numFmt w:val="lowerLetter"/>
      <w:pStyle w:val="14"/>
      <w:lvlText w:val="%8)"/>
      <w:lvlJc w:val="left"/>
      <w:pPr>
        <w:tabs>
          <w:tab w:val="left" w:pos="3909"/>
        </w:tabs>
        <w:ind w:left="3909" w:hanging="420"/>
      </w:pPr>
    </w:lvl>
    <w:lvl w:ilvl="8" w:tentative="1">
      <w:start w:val="1"/>
      <w:numFmt w:val="lowerRoman"/>
      <w:pStyle w:val="15"/>
      <w:lvlText w:val="%9."/>
      <w:lvlJc w:val="right"/>
      <w:pPr>
        <w:tabs>
          <w:tab w:val="left" w:pos="4329"/>
        </w:tabs>
        <w:ind w:left="4329" w:hanging="420"/>
      </w:pPr>
    </w:lvl>
  </w:abstractNum>
  <w:abstractNum w:abstractNumId="1460002827">
    <w:nsid w:val="5705E00B"/>
    <w:multiLevelType w:val="singleLevel"/>
    <w:tmpl w:val="5705E00B"/>
    <w:lvl w:ilvl="0" w:tentative="1">
      <w:start w:val="2"/>
      <w:numFmt w:val="decimal"/>
      <w:suff w:val="nothing"/>
      <w:lvlText w:val="%1．"/>
      <w:lvlJc w:val="left"/>
    </w:lvl>
  </w:abstractNum>
  <w:num w:numId="1">
    <w:abstractNumId w:val="10"/>
  </w:num>
  <w:num w:numId="2">
    <w:abstractNumId w:val="14600028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11">
    <w:name w:val="heading 5"/>
    <w:basedOn w:val="1"/>
    <w:next w:val="1"/>
    <w:link w:val="51"/>
    <w:qFormat/>
    <w:uiPriority w:val="0"/>
    <w:pPr>
      <w:keepNext/>
      <w:keepLines/>
      <w:numPr>
        <w:ilvl w:val="4"/>
        <w:numId w:val="1"/>
      </w:numPr>
      <w:tabs>
        <w:tab w:val="left" w:pos="1008"/>
        <w:tab w:val="left" w:pos="1674"/>
      </w:tabs>
      <w:suppressAutoHyphens/>
      <w:spacing w:before="280" w:after="290" w:line="372" w:lineRule="auto"/>
      <w:outlineLvl w:val="4"/>
    </w:pPr>
    <w:rPr>
      <w:rFonts w:ascii="宋体" w:hAnsi="宋体"/>
      <w:b/>
      <w:kern w:val="21"/>
      <w:lang w:eastAsia="ar-SA"/>
    </w:rPr>
  </w:style>
  <w:style w:type="paragraph" w:styleId="12">
    <w:name w:val="heading 6"/>
    <w:basedOn w:val="1"/>
    <w:next w:val="1"/>
    <w:link w:val="52"/>
    <w:qFormat/>
    <w:uiPriority w:val="0"/>
    <w:pPr>
      <w:keepNext/>
      <w:keepLines/>
      <w:numPr>
        <w:ilvl w:val="5"/>
        <w:numId w:val="1"/>
      </w:numPr>
      <w:tabs>
        <w:tab w:val="left" w:pos="1152"/>
        <w:tab w:val="left" w:pos="1674"/>
      </w:tabs>
      <w:suppressAutoHyphens/>
      <w:spacing w:before="240" w:after="64" w:line="317" w:lineRule="auto"/>
      <w:outlineLvl w:val="5"/>
    </w:pPr>
    <w:rPr>
      <w:rFonts w:ascii="Arial" w:hAnsi="Arial" w:eastAsia="黑体"/>
      <w:b/>
      <w:kern w:val="21"/>
      <w:sz w:val="24"/>
      <w:lang w:eastAsia="ar-SA"/>
    </w:rPr>
  </w:style>
  <w:style w:type="paragraph" w:styleId="13">
    <w:name w:val="heading 7"/>
    <w:basedOn w:val="1"/>
    <w:next w:val="1"/>
    <w:link w:val="53"/>
    <w:qFormat/>
    <w:uiPriority w:val="0"/>
    <w:pPr>
      <w:keepNext/>
      <w:keepLines/>
      <w:numPr>
        <w:ilvl w:val="6"/>
        <w:numId w:val="1"/>
      </w:numPr>
      <w:tabs>
        <w:tab w:val="left" w:pos="1296"/>
        <w:tab w:val="left" w:pos="1674"/>
      </w:tabs>
      <w:suppressAutoHyphens/>
      <w:spacing w:before="240" w:after="64" w:line="317" w:lineRule="auto"/>
      <w:outlineLvl w:val="6"/>
    </w:pPr>
    <w:rPr>
      <w:rFonts w:ascii="宋体" w:hAnsi="宋体"/>
      <w:b/>
      <w:kern w:val="21"/>
      <w:sz w:val="24"/>
      <w:lang w:eastAsia="ar-SA"/>
    </w:rPr>
  </w:style>
  <w:style w:type="paragraph" w:styleId="14">
    <w:name w:val="heading 8"/>
    <w:basedOn w:val="1"/>
    <w:next w:val="1"/>
    <w:link w:val="54"/>
    <w:qFormat/>
    <w:uiPriority w:val="0"/>
    <w:pPr>
      <w:keepNext/>
      <w:keepLines/>
      <w:numPr>
        <w:ilvl w:val="7"/>
        <w:numId w:val="1"/>
      </w:numPr>
      <w:tabs>
        <w:tab w:val="left" w:pos="1440"/>
        <w:tab w:val="left" w:pos="1674"/>
      </w:tabs>
      <w:suppressAutoHyphens/>
      <w:spacing w:before="240" w:after="64" w:line="317" w:lineRule="auto"/>
      <w:outlineLvl w:val="7"/>
    </w:pPr>
    <w:rPr>
      <w:rFonts w:ascii="Arial" w:hAnsi="Arial" w:eastAsia="黑体"/>
      <w:kern w:val="21"/>
      <w:sz w:val="24"/>
      <w:lang w:eastAsia="ar-SA"/>
    </w:rPr>
  </w:style>
  <w:style w:type="paragraph" w:styleId="15">
    <w:name w:val="heading 9"/>
    <w:basedOn w:val="1"/>
    <w:next w:val="1"/>
    <w:link w:val="55"/>
    <w:qFormat/>
    <w:uiPriority w:val="0"/>
    <w:pPr>
      <w:keepNext/>
      <w:keepLines/>
      <w:numPr>
        <w:ilvl w:val="8"/>
        <w:numId w:val="1"/>
      </w:numPr>
      <w:tabs>
        <w:tab w:val="left" w:pos="1584"/>
        <w:tab w:val="left" w:pos="1674"/>
        <w:tab w:val="clear" w:pos="4329"/>
      </w:tabs>
      <w:suppressAutoHyphens/>
      <w:spacing w:before="240" w:after="64" w:line="317" w:lineRule="auto"/>
      <w:outlineLvl w:val="8"/>
    </w:pPr>
    <w:rPr>
      <w:rFonts w:ascii="Arial" w:hAnsi="Arial" w:eastAsia="黑体"/>
      <w:kern w:val="21"/>
      <w:sz w:val="21"/>
      <w:lang w:eastAsia="ar-SA"/>
    </w:rPr>
  </w:style>
  <w:style w:type="character" w:default="1" w:styleId="20">
    <w:name w:val="Default Paragraph Font"/>
    <w:semiHidden/>
    <w:unhideWhenUsed/>
    <w:qFormat/>
    <w:uiPriority w:val="1"/>
  </w:style>
  <w:style w:type="paragraph" w:customStyle="1" w:styleId="2">
    <w:name w:val="Body Text 2"/>
    <w:basedOn w:val="1"/>
    <w:qFormat/>
    <w:uiPriority w:val="0"/>
    <w:pPr>
      <w:spacing w:line="480" w:lineRule="auto"/>
    </w:pPr>
  </w:style>
  <w:style w:type="character" w:customStyle="1" w:styleId="3">
    <w:name w:val="标题 1 Char"/>
    <w:link w:val="4"/>
    <w:semiHidden/>
    <w:qFormat/>
    <w:uiPriority w:val="0"/>
    <w:rPr>
      <w:rFonts w:ascii="Times New Roman" w:hAnsi="Times New Roman"/>
      <w:b/>
      <w:bCs/>
      <w:kern w:val="44"/>
      <w:sz w:val="36"/>
      <w:szCs w:val="44"/>
    </w:rPr>
  </w:style>
  <w:style w:type="paragraph" w:customStyle="1" w:styleId="4">
    <w:name w:val="标题 11"/>
    <w:basedOn w:val="1"/>
    <w:next w:val="1"/>
    <w:link w:val="3"/>
    <w:qFormat/>
    <w:uiPriority w:val="0"/>
    <w:pPr>
      <w:keepNext/>
      <w:keepLines/>
      <w:spacing w:before="340" w:after="330" w:line="576" w:lineRule="auto"/>
      <w:jc w:val="center"/>
      <w:outlineLvl w:val="0"/>
    </w:pPr>
    <w:rPr>
      <w:b/>
      <w:bCs/>
      <w:kern w:val="44"/>
      <w:sz w:val="36"/>
      <w:szCs w:val="44"/>
    </w:rPr>
  </w:style>
  <w:style w:type="character" w:customStyle="1" w:styleId="5">
    <w:name w:val="标题 2 Char"/>
    <w:link w:val="6"/>
    <w:semiHidden/>
    <w:qFormat/>
    <w:uiPriority w:val="0"/>
    <w:rPr>
      <w:rFonts w:ascii="Arial" w:hAnsi="Arial" w:eastAsia="黑体"/>
      <w:b/>
      <w:bCs/>
      <w:sz w:val="32"/>
      <w:szCs w:val="32"/>
    </w:rPr>
  </w:style>
  <w:style w:type="paragraph" w:customStyle="1" w:styleId="6">
    <w:name w:val="标题 21"/>
    <w:basedOn w:val="1"/>
    <w:next w:val="1"/>
    <w:link w:val="5"/>
    <w:qFormat/>
    <w:uiPriority w:val="0"/>
    <w:pPr>
      <w:keepNext/>
      <w:keepLines/>
      <w:spacing w:before="260" w:after="260" w:line="413" w:lineRule="auto"/>
      <w:outlineLvl w:val="1"/>
    </w:pPr>
    <w:rPr>
      <w:rFonts w:ascii="Arial" w:hAnsi="Arial" w:eastAsia="黑体"/>
      <w:b/>
      <w:bCs/>
      <w:sz w:val="32"/>
      <w:szCs w:val="32"/>
    </w:rPr>
  </w:style>
  <w:style w:type="character" w:customStyle="1" w:styleId="7">
    <w:name w:val="标题 3 Char"/>
    <w:link w:val="8"/>
    <w:semiHidden/>
    <w:qFormat/>
    <w:uiPriority w:val="0"/>
    <w:rPr>
      <w:rFonts w:ascii="Times New Roman" w:hAnsi="Times New Roman"/>
      <w:b/>
      <w:bCs/>
      <w:sz w:val="32"/>
      <w:szCs w:val="32"/>
    </w:rPr>
  </w:style>
  <w:style w:type="paragraph" w:customStyle="1" w:styleId="8">
    <w:name w:val="标题 31"/>
    <w:basedOn w:val="1"/>
    <w:next w:val="1"/>
    <w:link w:val="7"/>
    <w:qFormat/>
    <w:uiPriority w:val="0"/>
    <w:pPr>
      <w:keepNext/>
      <w:keepLines/>
      <w:spacing w:before="260" w:after="260" w:line="413" w:lineRule="auto"/>
      <w:outlineLvl w:val="2"/>
    </w:pPr>
    <w:rPr>
      <w:b/>
      <w:bCs/>
      <w:sz w:val="32"/>
      <w:szCs w:val="32"/>
    </w:rPr>
  </w:style>
  <w:style w:type="character" w:customStyle="1" w:styleId="9">
    <w:name w:val="标题 4 Char"/>
    <w:link w:val="10"/>
    <w:semiHidden/>
    <w:qFormat/>
    <w:uiPriority w:val="0"/>
    <w:rPr>
      <w:rFonts w:ascii="仿宋_GB2312" w:hAnsi="Times New Roman" w:eastAsia="仿宋_GB2312"/>
      <w:sz w:val="28"/>
      <w:szCs w:val="24"/>
    </w:rPr>
  </w:style>
  <w:style w:type="paragraph" w:customStyle="1" w:styleId="10">
    <w:name w:val="标题 41"/>
    <w:basedOn w:val="1"/>
    <w:next w:val="1"/>
    <w:link w:val="9"/>
    <w:qFormat/>
    <w:uiPriority w:val="0"/>
    <w:pPr>
      <w:keepNext/>
      <w:spacing w:line="440" w:lineRule="exact"/>
      <w:jc w:val="center"/>
      <w:outlineLvl w:val="3"/>
    </w:pPr>
    <w:rPr>
      <w:rFonts w:ascii="仿宋_GB2312" w:eastAsia="仿宋_GB2312"/>
      <w:szCs w:val="24"/>
    </w:rPr>
  </w:style>
  <w:style w:type="character" w:customStyle="1" w:styleId="16">
    <w:name w:val="正文文本 3 Char"/>
    <w:link w:val="17"/>
    <w:semiHidden/>
    <w:qFormat/>
    <w:uiPriority w:val="0"/>
    <w:rPr>
      <w:rFonts w:ascii="黑体" w:hAnsi="Arial" w:eastAsia="黑体"/>
      <w:b/>
      <w:sz w:val="28"/>
    </w:rPr>
  </w:style>
  <w:style w:type="paragraph" w:customStyle="1" w:styleId="17">
    <w:name w:val="正文文本 31"/>
    <w:basedOn w:val="1"/>
    <w:link w:val="16"/>
    <w:qFormat/>
    <w:uiPriority w:val="0"/>
    <w:rPr>
      <w:rFonts w:ascii="黑体" w:hAnsi="Arial" w:eastAsia="黑体"/>
      <w:b/>
    </w:rPr>
  </w:style>
  <w:style w:type="paragraph" w:styleId="18">
    <w:name w:val="Body Text"/>
    <w:basedOn w:val="1"/>
    <w:qFormat/>
    <w:uiPriority w:val="0"/>
    <w:rPr>
      <w:rFonts w:eastAsia="黑体" w:cs="Times New Roman"/>
      <w:b/>
      <w:bCs/>
      <w:spacing w:val="20"/>
      <w:kern w:val="52"/>
      <w:sz w:val="56"/>
    </w:rPr>
  </w:style>
  <w:style w:type="character" w:customStyle="1" w:styleId="19">
    <w:name w:val="正文文本缩进 Char"/>
    <w:basedOn w:val="20"/>
    <w:link w:val="21"/>
    <w:semiHidden/>
    <w:qFormat/>
    <w:uiPriority w:val="0"/>
    <w:rPr>
      <w:rFonts w:ascii="Times New Roman" w:hAnsi="Times New Roman"/>
      <w:kern w:val="2"/>
      <w:sz w:val="28"/>
    </w:rPr>
  </w:style>
  <w:style w:type="paragraph" w:customStyle="1" w:styleId="21">
    <w:name w:val="正文文本缩进1"/>
    <w:basedOn w:val="1"/>
    <w:link w:val="19"/>
    <w:qFormat/>
    <w:uiPriority w:val="0"/>
    <w:pPr>
      <w:spacing w:after="120"/>
      <w:ind w:left="420" w:leftChars="200"/>
    </w:pPr>
  </w:style>
  <w:style w:type="paragraph" w:styleId="22">
    <w:name w:val="toc 3"/>
    <w:basedOn w:val="1"/>
    <w:next w:val="1"/>
    <w:qFormat/>
    <w:uiPriority w:val="0"/>
    <w:pPr>
      <w:widowControl/>
      <w:spacing w:after="100" w:line="276" w:lineRule="auto"/>
      <w:ind w:left="440"/>
      <w:jc w:val="left"/>
    </w:pPr>
    <w:rPr>
      <w:rFonts w:ascii="Calibri" w:hAnsi="Calibri" w:cs="黑体"/>
      <w:kern w:val="0"/>
      <w:sz w:val="22"/>
      <w:szCs w:val="22"/>
    </w:rPr>
  </w:style>
  <w:style w:type="character" w:customStyle="1" w:styleId="23">
    <w:name w:val="纯文本 Char"/>
    <w:link w:val="24"/>
    <w:semiHidden/>
    <w:qFormat/>
    <w:uiPriority w:val="0"/>
    <w:rPr>
      <w:rFonts w:ascii="宋体" w:hAnsi="Courier New" w:cs="Courier New"/>
      <w:szCs w:val="21"/>
    </w:rPr>
  </w:style>
  <w:style w:type="paragraph" w:customStyle="1" w:styleId="24">
    <w:name w:val="纯文本1"/>
    <w:basedOn w:val="1"/>
    <w:link w:val="23"/>
    <w:qFormat/>
    <w:uiPriority w:val="0"/>
    <w:rPr>
      <w:rFonts w:ascii="宋体" w:hAnsi="Courier New" w:cs="Courier New"/>
      <w:szCs w:val="21"/>
    </w:rPr>
  </w:style>
  <w:style w:type="character" w:customStyle="1" w:styleId="25">
    <w:name w:val="批注框文本 Char"/>
    <w:basedOn w:val="20"/>
    <w:link w:val="26"/>
    <w:semiHidden/>
    <w:qFormat/>
    <w:uiPriority w:val="0"/>
    <w:rPr>
      <w:rFonts w:ascii="Times New Roman" w:hAnsi="Times New Roman"/>
      <w:kern w:val="2"/>
      <w:sz w:val="18"/>
      <w:szCs w:val="18"/>
    </w:rPr>
  </w:style>
  <w:style w:type="paragraph" w:customStyle="1" w:styleId="26">
    <w:name w:val="批注框文本1"/>
    <w:basedOn w:val="1"/>
    <w:link w:val="25"/>
    <w:qFormat/>
    <w:uiPriority w:val="0"/>
    <w:rPr>
      <w:sz w:val="18"/>
      <w:szCs w:val="18"/>
    </w:rPr>
  </w:style>
  <w:style w:type="paragraph" w:styleId="27">
    <w:name w:val="footer"/>
    <w:basedOn w:val="1"/>
    <w:link w:val="56"/>
    <w:qFormat/>
    <w:uiPriority w:val="0"/>
    <w:pPr>
      <w:tabs>
        <w:tab w:val="center" w:pos="4153"/>
        <w:tab w:val="right" w:pos="8306"/>
      </w:tabs>
      <w:snapToGrid w:val="0"/>
      <w:jc w:val="left"/>
    </w:pPr>
    <w:rPr>
      <w:sz w:val="18"/>
      <w:szCs w:val="18"/>
    </w:rPr>
  </w:style>
  <w:style w:type="paragraph" w:styleId="28">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Subtitle"/>
    <w:basedOn w:val="1"/>
    <w:next w:val="1"/>
    <w:link w:val="58"/>
    <w:qFormat/>
    <w:uiPriority w:val="0"/>
    <w:pPr>
      <w:spacing w:before="240" w:after="60" w:line="312" w:lineRule="auto"/>
      <w:jc w:val="center"/>
      <w:outlineLvl w:val="1"/>
    </w:pPr>
    <w:rPr>
      <w:rFonts w:ascii="Cambria" w:hAnsi="Cambria" w:eastAsia="方正楷体简体"/>
      <w:bCs/>
      <w:kern w:val="28"/>
      <w:szCs w:val="32"/>
    </w:rPr>
  </w:style>
  <w:style w:type="paragraph" w:styleId="31">
    <w:name w:val="toc 2"/>
    <w:basedOn w:val="1"/>
    <w:next w:val="1"/>
    <w:qFormat/>
    <w:uiPriority w:val="0"/>
    <w:pPr>
      <w:ind w:left="420" w:leftChars="200"/>
    </w:pPr>
    <w:rPr>
      <w:sz w:val="24"/>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59"/>
    <w:qFormat/>
    <w:uiPriority w:val="0"/>
    <w:pPr>
      <w:spacing w:before="240" w:after="60"/>
      <w:jc w:val="center"/>
      <w:outlineLvl w:val="0"/>
    </w:pPr>
    <w:rPr>
      <w:rFonts w:ascii="Cambria" w:hAnsi="Cambria" w:eastAsia="方正小标宋简体"/>
      <w:b/>
      <w:bCs/>
      <w:sz w:val="44"/>
      <w:szCs w:val="32"/>
    </w:rPr>
  </w:style>
  <w:style w:type="character" w:styleId="34">
    <w:name w:val="Strong"/>
    <w:qFormat/>
    <w:uiPriority w:val="0"/>
    <w:rPr>
      <w:b/>
    </w:rPr>
  </w:style>
  <w:style w:type="character" w:styleId="35">
    <w:name w:val="FollowedHyperlink"/>
    <w:basedOn w:val="20"/>
    <w:qFormat/>
    <w:uiPriority w:val="0"/>
    <w:rPr>
      <w:color w:val="333333"/>
      <w:u w:val="none"/>
    </w:rPr>
  </w:style>
  <w:style w:type="character" w:styleId="36">
    <w:name w:val="Emphasis"/>
    <w:qFormat/>
    <w:uiPriority w:val="0"/>
    <w:rPr>
      <w:rFonts w:hint="default" w:ascii="Times New Roman" w:hAnsi="Times New Roman" w:cs="Times New Roman"/>
    </w:rPr>
  </w:style>
  <w:style w:type="character" w:styleId="37">
    <w:name w:val="Hyperlink"/>
    <w:basedOn w:val="20"/>
    <w:qFormat/>
    <w:uiPriority w:val="0"/>
    <w:rPr>
      <w:color w:val="333333"/>
      <w:u w:val="none"/>
    </w:rPr>
  </w:style>
  <w:style w:type="paragraph" w:customStyle="1" w:styleId="38">
    <w:name w:val="列出段落1"/>
    <w:basedOn w:val="1"/>
    <w:qFormat/>
    <w:uiPriority w:val="0"/>
    <w:pPr>
      <w:ind w:firstLine="420" w:firstLineChars="200"/>
    </w:pPr>
    <w:rPr>
      <w:rFonts w:ascii="Calibri" w:hAnsi="Calibri"/>
      <w:szCs w:val="22"/>
    </w:rPr>
  </w:style>
  <w:style w:type="paragraph" w:customStyle="1" w:styleId="39">
    <w:name w:val="无间隔1"/>
    <w:link w:val="60"/>
    <w:qFormat/>
    <w:uiPriority w:val="0"/>
    <w:rPr>
      <w:rFonts w:ascii="Calibri" w:hAnsi="Calibri" w:eastAsia="宋体" w:cs="Calibri"/>
      <w:sz w:val="22"/>
      <w:lang w:val="en-US" w:eastAsia="zh-CN" w:bidi="ar-SA"/>
    </w:rPr>
  </w:style>
  <w:style w:type="paragraph" w:customStyle="1" w:styleId="40">
    <w:name w:val="列出段落2"/>
    <w:basedOn w:val="1"/>
    <w:qFormat/>
    <w:uiPriority w:val="0"/>
    <w:pPr>
      <w:ind w:firstLine="420" w:firstLineChars="200"/>
    </w:pPr>
    <w:rPr>
      <w:szCs w:val="21"/>
    </w:rPr>
  </w:style>
  <w:style w:type="paragraph" w:customStyle="1" w:styleId="41">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44">
    <w:name w:val="List Paragraph"/>
    <w:basedOn w:val="1"/>
    <w:qFormat/>
    <w:uiPriority w:val="34"/>
    <w:pPr>
      <w:ind w:firstLine="420" w:firstLineChars="200"/>
    </w:pPr>
  </w:style>
  <w:style w:type="paragraph" w:customStyle="1" w:styleId="45">
    <w:name w:val="正文_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46">
    <w:name w:val="普通(网站)_0"/>
    <w:basedOn w:val="45"/>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7">
    <w:name w:val="标题 2_0"/>
    <w:basedOn w:val="45"/>
    <w:next w:val="45"/>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customStyle="1" w:styleId="48">
    <w:name w:val="段"/>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9">
    <w:name w:val="标题 3_0"/>
    <w:basedOn w:val="45"/>
    <w:next w:val="45"/>
    <w:unhideWhenUsed/>
    <w:qFormat/>
    <w:uiPriority w:val="9"/>
    <w:pPr>
      <w:keepNext/>
      <w:keepLines/>
      <w:spacing w:before="260" w:after="260" w:line="416" w:lineRule="auto"/>
      <w:outlineLvl w:val="2"/>
    </w:pPr>
    <w:rPr>
      <w:rFonts w:ascii="等线" w:hAnsi="等线" w:eastAsia="等线"/>
      <w:b/>
      <w:bCs/>
      <w:sz w:val="32"/>
      <w:szCs w:val="32"/>
    </w:rPr>
  </w:style>
  <w:style w:type="paragraph" w:customStyle="1" w:styleId="50">
    <w:name w:val="列出段落_0"/>
    <w:basedOn w:val="45"/>
    <w:qFormat/>
    <w:uiPriority w:val="34"/>
    <w:pPr>
      <w:ind w:firstLine="420" w:firstLineChars="200"/>
    </w:pPr>
    <w:rPr>
      <w:rFonts w:ascii="等线" w:hAnsi="等线" w:eastAsia="等线"/>
      <w:szCs w:val="21"/>
    </w:rPr>
  </w:style>
  <w:style w:type="character" w:customStyle="1" w:styleId="51">
    <w:name w:val="标题 5 Char Char"/>
    <w:link w:val="11"/>
    <w:uiPriority w:val="0"/>
    <w:rPr>
      <w:rFonts w:ascii="宋体" w:hAnsi="宋体"/>
      <w:b/>
      <w:kern w:val="21"/>
      <w:sz w:val="28"/>
      <w:lang w:eastAsia="ar-SA"/>
    </w:rPr>
  </w:style>
  <w:style w:type="character" w:customStyle="1" w:styleId="52">
    <w:name w:val="标题 6 Char Char"/>
    <w:link w:val="12"/>
    <w:uiPriority w:val="0"/>
    <w:rPr>
      <w:rFonts w:ascii="Arial" w:hAnsi="Arial" w:eastAsia="黑体"/>
      <w:b/>
      <w:kern w:val="21"/>
      <w:sz w:val="24"/>
      <w:lang w:eastAsia="ar-SA"/>
    </w:rPr>
  </w:style>
  <w:style w:type="character" w:customStyle="1" w:styleId="53">
    <w:name w:val="标题 7 Char Char"/>
    <w:link w:val="13"/>
    <w:uiPriority w:val="0"/>
    <w:rPr>
      <w:rFonts w:ascii="宋体" w:hAnsi="宋体"/>
      <w:b/>
      <w:kern w:val="21"/>
      <w:sz w:val="24"/>
      <w:lang w:eastAsia="ar-SA"/>
    </w:rPr>
  </w:style>
  <w:style w:type="character" w:customStyle="1" w:styleId="54">
    <w:name w:val="标题 8 Char Char"/>
    <w:link w:val="14"/>
    <w:uiPriority w:val="0"/>
    <w:rPr>
      <w:rFonts w:ascii="Arial" w:hAnsi="Arial" w:eastAsia="黑体"/>
      <w:kern w:val="21"/>
      <w:sz w:val="24"/>
      <w:lang w:eastAsia="ar-SA"/>
    </w:rPr>
  </w:style>
  <w:style w:type="character" w:customStyle="1" w:styleId="55">
    <w:name w:val="标题 9 Char Char"/>
    <w:link w:val="15"/>
    <w:uiPriority w:val="0"/>
    <w:rPr>
      <w:rFonts w:ascii="Arial" w:hAnsi="Arial" w:eastAsia="黑体"/>
      <w:kern w:val="21"/>
      <w:sz w:val="21"/>
      <w:lang w:eastAsia="ar-SA"/>
    </w:rPr>
  </w:style>
  <w:style w:type="character" w:customStyle="1" w:styleId="56">
    <w:name w:val="页脚 Char Char"/>
    <w:basedOn w:val="20"/>
    <w:link w:val="27"/>
    <w:uiPriority w:val="0"/>
    <w:rPr>
      <w:rFonts w:ascii="Times New Roman" w:hAnsi="Times New Roman"/>
      <w:kern w:val="2"/>
      <w:sz w:val="18"/>
      <w:szCs w:val="18"/>
    </w:rPr>
  </w:style>
  <w:style w:type="character" w:customStyle="1" w:styleId="57">
    <w:name w:val="页眉 Char Char"/>
    <w:basedOn w:val="20"/>
    <w:link w:val="28"/>
    <w:uiPriority w:val="0"/>
    <w:rPr>
      <w:rFonts w:ascii="Times New Roman" w:hAnsi="Times New Roman"/>
      <w:kern w:val="2"/>
      <w:sz w:val="18"/>
      <w:szCs w:val="18"/>
    </w:rPr>
  </w:style>
  <w:style w:type="character" w:customStyle="1" w:styleId="58">
    <w:name w:val="副标题 Char Char"/>
    <w:link w:val="30"/>
    <w:uiPriority w:val="0"/>
    <w:rPr>
      <w:rFonts w:ascii="Cambria" w:hAnsi="Cambria" w:eastAsia="方正楷体简体"/>
      <w:bCs/>
      <w:kern w:val="28"/>
      <w:szCs w:val="32"/>
    </w:rPr>
  </w:style>
  <w:style w:type="character" w:customStyle="1" w:styleId="59">
    <w:name w:val="标题 Char Char"/>
    <w:link w:val="33"/>
    <w:uiPriority w:val="0"/>
    <w:rPr>
      <w:rFonts w:ascii="Cambria" w:hAnsi="Cambria" w:eastAsia="方正小标宋简体"/>
      <w:b/>
      <w:bCs/>
      <w:sz w:val="44"/>
      <w:szCs w:val="32"/>
    </w:rPr>
  </w:style>
  <w:style w:type="character" w:customStyle="1" w:styleId="60">
    <w:name w:val="无间隔 Char"/>
    <w:link w:val="39"/>
    <w:semiHidden/>
    <w:qFormat/>
    <w:uiPriority w:val="0"/>
    <w:rPr>
      <w:sz w:val="22"/>
    </w:rPr>
  </w:style>
  <w:style w:type="character" w:customStyle="1" w:styleId="61">
    <w:name w:val="正文文本 3 Char1"/>
    <w:basedOn w:val="20"/>
    <w:qFormat/>
    <w:uiPriority w:val="0"/>
    <w:rPr>
      <w:rFonts w:ascii="Times New Roman" w:hAnsi="Times New Roman"/>
      <w:kern w:val="2"/>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4441</Words>
  <Characters>25320</Characters>
  <Lines>211</Lines>
  <Paragraphs>59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2019-06-06T07:50:00Z</dcterms:created>
  <dc:creator>Administrator</dc:creator>
  <cp:lastModifiedBy>lenovo3</cp:lastModifiedBy>
  <cp:lastPrinted>2019-06-06T07:50:00Z</cp:lastPrinted>
  <dcterms:modified xsi:type="dcterms:W3CDTF">2020-04-02T04:08:42Z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