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hint="eastAsia" w:ascii="宋体" w:hAnsi="宋体"/>
          <w:b/>
          <w:bCs/>
          <w:color w:val="000000"/>
          <w:spacing w:val="36"/>
          <w:w w:val="66"/>
          <w:sz w:val="52"/>
          <w:szCs w:val="52"/>
          <w:lang w:eastAsia="zh-CN"/>
        </w:rPr>
      </w:pPr>
    </w:p>
    <w:p>
      <w:pPr>
        <w:tabs>
          <w:tab w:val="left" w:pos="420"/>
        </w:tabs>
        <w:spacing w:line="360" w:lineRule="auto"/>
        <w:jc w:val="center"/>
        <w:rPr>
          <w:rFonts w:ascii="宋体" w:hAnsi="宋体"/>
          <w:b/>
          <w:bCs/>
          <w:color w:val="000000"/>
          <w:spacing w:val="36"/>
          <w:w w:val="66"/>
          <w:sz w:val="52"/>
          <w:szCs w:val="52"/>
        </w:rPr>
      </w:pPr>
      <w:r>
        <w:rPr>
          <w:rFonts w:hint="eastAsia" w:ascii="宋体" w:hAnsi="宋体"/>
          <w:b/>
          <w:bCs/>
          <w:color w:val="000000"/>
          <w:spacing w:val="36"/>
          <w:w w:val="66"/>
          <w:sz w:val="52"/>
          <w:szCs w:val="52"/>
          <w:lang w:eastAsia="zh-CN"/>
        </w:rPr>
        <w:t>鄂托克前旗卫生健康委员会采购卫生院“清零达标”设备项目</w:t>
      </w:r>
    </w:p>
    <w:p>
      <w:pPr>
        <w:tabs>
          <w:tab w:val="left" w:pos="315"/>
          <w:tab w:val="left" w:pos="8820"/>
        </w:tabs>
        <w:spacing w:line="360" w:lineRule="auto"/>
        <w:ind w:right="356" w:rightChars="127"/>
        <w:rPr>
          <w:rFonts w:ascii="宋体" w:hAnsi="宋体"/>
          <w:b/>
          <w:bCs/>
          <w:color w:val="000000"/>
          <w:sz w:val="72"/>
          <w:szCs w:val="72"/>
        </w:rPr>
      </w:pPr>
    </w:p>
    <w:p>
      <w:pPr>
        <w:tabs>
          <w:tab w:val="left" w:pos="315"/>
          <w:tab w:val="left" w:pos="8820"/>
        </w:tabs>
        <w:spacing w:line="360" w:lineRule="auto"/>
        <w:ind w:right="356" w:rightChars="127"/>
        <w:jc w:val="center"/>
        <w:rPr>
          <w:rFonts w:ascii="宋体" w:hAnsi="宋体"/>
          <w:b/>
          <w:bCs/>
          <w:color w:val="000000"/>
          <w:sz w:val="72"/>
          <w:szCs w:val="72"/>
        </w:rPr>
      </w:pPr>
      <w:r>
        <w:rPr>
          <w:rFonts w:hint="eastAsia" w:ascii="宋体" w:hAnsi="宋体"/>
          <w:b/>
          <w:bCs/>
          <w:color w:val="000000"/>
          <w:sz w:val="72"/>
          <w:szCs w:val="72"/>
        </w:rPr>
        <w:t>磋 商 文 件</w:t>
      </w:r>
    </w:p>
    <w:p>
      <w:pPr>
        <w:tabs>
          <w:tab w:val="left" w:pos="315"/>
          <w:tab w:val="left" w:pos="8820"/>
        </w:tabs>
        <w:spacing w:line="360" w:lineRule="auto"/>
        <w:ind w:right="356" w:rightChars="127"/>
        <w:rPr>
          <w:rFonts w:ascii="宋体" w:hAnsi="宋体"/>
          <w:b/>
          <w:bCs/>
          <w:color w:val="000000"/>
          <w:kern w:val="0"/>
          <w:szCs w:val="28"/>
          <w:lang w:val="zh-CN"/>
        </w:rPr>
      </w:pPr>
    </w:p>
    <w:p>
      <w:pPr>
        <w:pStyle w:val="13"/>
        <w:spacing w:line="360" w:lineRule="auto"/>
        <w:ind w:left="2341" w:leftChars="836" w:firstLine="573" w:firstLineChars="204"/>
        <w:jc w:val="both"/>
        <w:rPr>
          <w:rFonts w:ascii="宋体" w:hAnsi="宋体" w:eastAsia="宋体"/>
          <w:b/>
          <w:bCs/>
          <w:color w:val="000000"/>
          <w:szCs w:val="28"/>
        </w:rPr>
      </w:pPr>
      <w:r>
        <w:rPr>
          <w:rFonts w:hint="eastAsia" w:ascii="宋体" w:hAnsi="宋体" w:eastAsia="宋体"/>
          <w:b/>
          <w:bCs/>
          <w:color w:val="000000"/>
          <w:szCs w:val="28"/>
        </w:rPr>
        <w:t>项目编号：</w:t>
      </w:r>
      <w:r>
        <w:rPr>
          <w:rFonts w:hint="eastAsia" w:ascii="宋体" w:hAnsi="宋体" w:eastAsia="宋体"/>
          <w:b/>
          <w:bCs/>
          <w:color w:val="0000FF"/>
          <w:szCs w:val="28"/>
          <w:lang w:eastAsia="zh-CN"/>
        </w:rPr>
        <w:t>CG2020HCS101</w:t>
      </w:r>
    </w:p>
    <w:p>
      <w:pPr>
        <w:tabs>
          <w:tab w:val="left" w:pos="315"/>
          <w:tab w:val="left" w:pos="8820"/>
        </w:tabs>
        <w:spacing w:line="360" w:lineRule="auto"/>
        <w:ind w:right="356" w:rightChars="127"/>
        <w:jc w:val="center"/>
        <w:rPr>
          <w:rFonts w:ascii="宋体" w:hAnsi="宋体"/>
          <w:b/>
          <w:bCs/>
          <w:color w:val="000000"/>
          <w:szCs w:val="28"/>
        </w:rPr>
      </w:pPr>
    </w:p>
    <w:p>
      <w:pPr>
        <w:tabs>
          <w:tab w:val="left" w:pos="315"/>
          <w:tab w:val="left" w:pos="8820"/>
        </w:tabs>
        <w:spacing w:line="360" w:lineRule="auto"/>
        <w:ind w:right="356" w:rightChars="127"/>
        <w:jc w:val="center"/>
        <w:rPr>
          <w:rFonts w:ascii="宋体" w:hAnsi="宋体"/>
          <w:b/>
          <w:bCs/>
          <w:color w:val="000000"/>
          <w:szCs w:val="28"/>
        </w:rPr>
      </w:pPr>
    </w:p>
    <w:p>
      <w:pPr>
        <w:tabs>
          <w:tab w:val="left" w:pos="315"/>
          <w:tab w:val="left" w:pos="8820"/>
        </w:tabs>
        <w:spacing w:line="360" w:lineRule="auto"/>
        <w:ind w:right="356" w:rightChars="127"/>
        <w:rPr>
          <w:rFonts w:ascii="宋体" w:hAnsi="宋体"/>
          <w:b/>
          <w:bCs/>
          <w:color w:val="000000"/>
          <w:szCs w:val="28"/>
        </w:rPr>
      </w:pPr>
    </w:p>
    <w:p>
      <w:pPr>
        <w:pStyle w:val="2"/>
        <w:rPr>
          <w:rFonts w:ascii="宋体" w:hAnsi="宋体"/>
          <w:b/>
          <w:bCs/>
          <w:color w:val="000000"/>
          <w:szCs w:val="28"/>
        </w:rPr>
      </w:pPr>
    </w:p>
    <w:p>
      <w:pPr>
        <w:pStyle w:val="2"/>
        <w:rPr>
          <w:rFonts w:ascii="宋体" w:hAnsi="宋体"/>
          <w:b/>
          <w:bCs/>
          <w:color w:val="000000"/>
          <w:szCs w:val="28"/>
        </w:rPr>
      </w:pPr>
    </w:p>
    <w:p>
      <w:pPr>
        <w:pStyle w:val="2"/>
        <w:rPr>
          <w:rFonts w:ascii="宋体" w:hAnsi="宋体"/>
          <w:b/>
          <w:bCs/>
          <w:color w:val="000000"/>
          <w:szCs w:val="28"/>
        </w:rPr>
      </w:pPr>
    </w:p>
    <w:p>
      <w:pPr>
        <w:tabs>
          <w:tab w:val="left" w:pos="315"/>
          <w:tab w:val="left" w:pos="8820"/>
        </w:tabs>
        <w:spacing w:line="360" w:lineRule="auto"/>
        <w:ind w:right="356" w:rightChars="127"/>
        <w:rPr>
          <w:rFonts w:ascii="宋体" w:hAnsi="宋体"/>
          <w:b/>
          <w:bCs/>
          <w:color w:val="000000"/>
          <w:szCs w:val="28"/>
        </w:rPr>
      </w:pPr>
    </w:p>
    <w:p>
      <w:pPr>
        <w:pStyle w:val="13"/>
        <w:spacing w:line="360" w:lineRule="auto"/>
        <w:ind w:left="2476" w:leftChars="337" w:hanging="1532" w:hangingChars="545"/>
        <w:rPr>
          <w:rFonts w:hint="eastAsia" w:ascii="宋体" w:hAnsi="宋体" w:eastAsia="宋体"/>
          <w:b/>
          <w:bCs/>
          <w:color w:val="000000"/>
          <w:szCs w:val="28"/>
          <w:lang w:eastAsia="zh-CN"/>
        </w:rPr>
      </w:pPr>
      <w:r>
        <w:rPr>
          <w:rFonts w:hint="eastAsia" w:ascii="宋体" w:hAnsi="宋体" w:eastAsia="宋体"/>
          <w:b/>
          <w:bCs/>
          <w:color w:val="000000"/>
          <w:szCs w:val="28"/>
          <w:lang w:val="en-US" w:eastAsia="zh-CN"/>
        </w:rPr>
        <w:t>采   购   人</w:t>
      </w:r>
      <w:r>
        <w:rPr>
          <w:rFonts w:hint="eastAsia" w:ascii="宋体" w:hAnsi="宋体" w:eastAsia="宋体"/>
          <w:b/>
          <w:bCs/>
          <w:color w:val="000000"/>
          <w:szCs w:val="28"/>
        </w:rPr>
        <w:t>：</w:t>
      </w:r>
      <w:r>
        <w:rPr>
          <w:rFonts w:hint="eastAsia" w:ascii="宋体" w:hAnsi="宋体" w:eastAsia="宋体"/>
          <w:b/>
          <w:bCs/>
          <w:color w:val="000000"/>
          <w:szCs w:val="28"/>
          <w:lang w:eastAsia="zh-CN"/>
        </w:rPr>
        <w:t>鄂托克前旗卫生健康委员会</w:t>
      </w:r>
    </w:p>
    <w:p>
      <w:pPr>
        <w:pStyle w:val="13"/>
        <w:spacing w:line="360" w:lineRule="auto"/>
        <w:ind w:left="2476" w:leftChars="337" w:hanging="1532" w:hangingChars="545"/>
        <w:rPr>
          <w:rFonts w:hint="default" w:ascii="宋体" w:hAnsi="宋体" w:eastAsia="宋体"/>
          <w:b/>
          <w:bCs/>
          <w:color w:val="000000"/>
          <w:szCs w:val="28"/>
          <w:lang w:val="en-US" w:eastAsia="zh-CN"/>
        </w:rPr>
      </w:pPr>
      <w:r>
        <w:rPr>
          <w:rFonts w:hint="eastAsia" w:ascii="宋体" w:hAnsi="宋体" w:eastAsia="宋体"/>
          <w:b/>
          <w:bCs/>
          <w:color w:val="000000"/>
          <w:szCs w:val="28"/>
          <w:lang w:val="en-US" w:eastAsia="zh-CN"/>
        </w:rPr>
        <w:t>采购代理机构：鄂尔多斯市金博工程项目管理有限公司</w:t>
      </w:r>
    </w:p>
    <w:p>
      <w:pPr>
        <w:pStyle w:val="13"/>
        <w:spacing w:line="360" w:lineRule="auto"/>
        <w:rPr>
          <w:rFonts w:ascii="宋体" w:hAnsi="宋体" w:eastAsia="宋体"/>
          <w:b/>
          <w:bCs/>
          <w:color w:val="000000"/>
          <w:szCs w:val="28"/>
        </w:rPr>
      </w:pPr>
    </w:p>
    <w:p>
      <w:pPr>
        <w:pStyle w:val="49"/>
        <w:keepNext w:val="0"/>
        <w:keepLines w:val="0"/>
        <w:spacing w:before="0" w:line="360" w:lineRule="auto"/>
        <w:jc w:val="center"/>
        <w:rPr>
          <w:rFonts w:hint="eastAsia" w:ascii="宋体" w:hAnsi="宋体"/>
          <w:b/>
          <w:bCs/>
          <w:color w:val="auto"/>
          <w:szCs w:val="28"/>
          <w:lang w:eastAsia="zh-CN"/>
        </w:rPr>
        <w:sectPr>
          <w:footerReference r:id="rId3" w:type="default"/>
          <w:pgSz w:w="11906" w:h="16838"/>
          <w:pgMar w:top="737" w:right="1247" w:bottom="737" w:left="1247" w:header="851" w:footer="992" w:gutter="0"/>
          <w:cols w:space="720" w:num="1"/>
          <w:titlePg/>
          <w:docGrid w:linePitch="312" w:charSpace="0"/>
        </w:sectPr>
      </w:pPr>
      <w:r>
        <w:rPr>
          <w:rFonts w:hint="eastAsia" w:ascii="宋体" w:hAnsi="宋体"/>
          <w:b/>
          <w:bCs/>
          <w:color w:val="auto"/>
          <w:szCs w:val="28"/>
          <w:lang w:eastAsia="zh-CN"/>
        </w:rPr>
        <w:t>2020年04月08日</w:t>
      </w:r>
    </w:p>
    <w:p>
      <w:pPr>
        <w:pStyle w:val="49"/>
        <w:keepNext w:val="0"/>
        <w:keepLines w:val="0"/>
        <w:spacing w:before="0" w:line="360" w:lineRule="auto"/>
        <w:jc w:val="center"/>
        <w:rPr>
          <w:rFonts w:ascii="宋体" w:hAnsi="宋体"/>
          <w:color w:val="000000"/>
          <w:sz w:val="24"/>
          <w:szCs w:val="24"/>
        </w:rPr>
      </w:pPr>
      <w:r>
        <w:rPr>
          <w:rFonts w:hint="eastAsia" w:ascii="宋体" w:hAnsi="宋体"/>
          <w:color w:val="000000"/>
          <w:sz w:val="24"/>
          <w:szCs w:val="24"/>
        </w:rPr>
        <w:t>目   录</w:t>
      </w:r>
    </w:p>
    <w:p>
      <w:pPr>
        <w:pStyle w:val="20"/>
        <w:tabs>
          <w:tab w:val="right" w:leader="dot" w:pos="9402"/>
        </w:tabs>
        <w:rPr>
          <w:rFonts w:asciiTheme="minorHAnsi" w:hAnsiTheme="minorHAnsi" w:eastAsiaTheme="minorEastAsia" w:cstheme="minorBidi"/>
          <w:b w:val="0"/>
          <w:bCs w:val="0"/>
          <w:caps w:val="0"/>
          <w:sz w:val="20"/>
          <w:szCs w:val="21"/>
        </w:rPr>
      </w:pPr>
      <w:r>
        <w:rPr>
          <w:rFonts w:ascii="宋体" w:hAnsi="宋体"/>
          <w:b w:val="0"/>
          <w:color w:val="000000"/>
          <w:sz w:val="24"/>
          <w:szCs w:val="24"/>
        </w:rPr>
        <w:fldChar w:fldCharType="begin"/>
      </w:r>
      <w:r>
        <w:rPr>
          <w:rFonts w:ascii="宋体" w:hAnsi="宋体"/>
          <w:b w:val="0"/>
          <w:color w:val="000000"/>
          <w:sz w:val="24"/>
          <w:szCs w:val="24"/>
        </w:rPr>
        <w:instrText xml:space="preserve"> TOC \o "1-3" \h \z \u </w:instrText>
      </w:r>
      <w:r>
        <w:rPr>
          <w:rFonts w:ascii="宋体" w:hAnsi="宋体"/>
          <w:b w:val="0"/>
          <w:color w:val="000000"/>
          <w:sz w:val="24"/>
          <w:szCs w:val="24"/>
        </w:rPr>
        <w:fldChar w:fldCharType="separate"/>
      </w:r>
      <w:r>
        <w:rPr>
          <w:sz w:val="24"/>
          <w:szCs w:val="18"/>
        </w:rPr>
        <w:fldChar w:fldCharType="begin"/>
      </w:r>
      <w:r>
        <w:rPr>
          <w:sz w:val="24"/>
          <w:szCs w:val="18"/>
        </w:rPr>
        <w:instrText xml:space="preserve"> HYPERLINK \l "_Toc497408600" </w:instrText>
      </w:r>
      <w:r>
        <w:rPr>
          <w:sz w:val="24"/>
          <w:szCs w:val="18"/>
        </w:rPr>
        <w:fldChar w:fldCharType="separate"/>
      </w:r>
      <w:r>
        <w:rPr>
          <w:rStyle w:val="32"/>
          <w:rFonts w:hint="eastAsia" w:ascii="宋体" w:hAnsi="宋体"/>
          <w:sz w:val="24"/>
          <w:szCs w:val="18"/>
        </w:rPr>
        <w:t>第一章磋商公告</w:t>
      </w:r>
      <w:r>
        <w:rPr>
          <w:sz w:val="24"/>
          <w:szCs w:val="18"/>
        </w:rPr>
        <w:tab/>
      </w:r>
      <w:r>
        <w:rPr>
          <w:sz w:val="24"/>
          <w:szCs w:val="18"/>
        </w:rPr>
        <w:fldChar w:fldCharType="begin"/>
      </w:r>
      <w:r>
        <w:rPr>
          <w:sz w:val="24"/>
          <w:szCs w:val="18"/>
        </w:rPr>
        <w:instrText xml:space="preserve"> PAGEREF _Toc497408600 \h </w:instrText>
      </w:r>
      <w:r>
        <w:rPr>
          <w:sz w:val="24"/>
          <w:szCs w:val="18"/>
        </w:rPr>
        <w:fldChar w:fldCharType="separate"/>
      </w:r>
      <w:r>
        <w:rPr>
          <w:sz w:val="24"/>
          <w:szCs w:val="18"/>
        </w:rPr>
        <w:t>2</w:t>
      </w:r>
      <w:r>
        <w:rPr>
          <w:sz w:val="24"/>
          <w:szCs w:val="18"/>
        </w:rPr>
        <w:fldChar w:fldCharType="end"/>
      </w:r>
      <w:r>
        <w:rPr>
          <w:sz w:val="24"/>
          <w:szCs w:val="18"/>
        </w:rPr>
        <w:fldChar w:fldCharType="end"/>
      </w:r>
    </w:p>
    <w:p>
      <w:pPr>
        <w:pStyle w:val="20"/>
        <w:tabs>
          <w:tab w:val="right" w:leader="dot" w:pos="9402"/>
        </w:tabs>
        <w:rPr>
          <w:rFonts w:asciiTheme="minorHAnsi" w:hAnsiTheme="minorHAnsi" w:eastAsiaTheme="minorEastAsia" w:cstheme="minorBidi"/>
          <w:b w:val="0"/>
          <w:bCs w:val="0"/>
          <w:caps w:val="0"/>
          <w:sz w:val="20"/>
          <w:szCs w:val="21"/>
        </w:rPr>
      </w:pPr>
      <w:r>
        <w:rPr>
          <w:sz w:val="24"/>
          <w:szCs w:val="18"/>
        </w:rPr>
        <w:fldChar w:fldCharType="begin"/>
      </w:r>
      <w:r>
        <w:rPr>
          <w:sz w:val="24"/>
          <w:szCs w:val="18"/>
        </w:rPr>
        <w:instrText xml:space="preserve"> HYPERLINK \l "_Toc497408601" </w:instrText>
      </w:r>
      <w:r>
        <w:rPr>
          <w:sz w:val="24"/>
          <w:szCs w:val="18"/>
        </w:rPr>
        <w:fldChar w:fldCharType="separate"/>
      </w:r>
      <w:r>
        <w:rPr>
          <w:rStyle w:val="32"/>
          <w:rFonts w:hint="eastAsia" w:ascii="宋体" w:hAnsi="宋体"/>
          <w:sz w:val="24"/>
          <w:szCs w:val="18"/>
        </w:rPr>
        <w:t>第二章供应商须知</w:t>
      </w:r>
      <w:r>
        <w:rPr>
          <w:sz w:val="24"/>
          <w:szCs w:val="18"/>
        </w:rPr>
        <w:tab/>
      </w:r>
      <w:r>
        <w:rPr>
          <w:sz w:val="24"/>
          <w:szCs w:val="18"/>
        </w:rPr>
        <w:fldChar w:fldCharType="begin"/>
      </w:r>
      <w:r>
        <w:rPr>
          <w:sz w:val="24"/>
          <w:szCs w:val="18"/>
        </w:rPr>
        <w:instrText xml:space="preserve"> PAGEREF _Toc497408601 \h </w:instrText>
      </w:r>
      <w:r>
        <w:rPr>
          <w:sz w:val="24"/>
          <w:szCs w:val="18"/>
        </w:rPr>
        <w:fldChar w:fldCharType="separate"/>
      </w:r>
      <w:r>
        <w:rPr>
          <w:sz w:val="24"/>
          <w:szCs w:val="18"/>
        </w:rPr>
        <w:t>5</w:t>
      </w:r>
      <w:r>
        <w:rPr>
          <w:sz w:val="24"/>
          <w:szCs w:val="18"/>
        </w:rPr>
        <w:fldChar w:fldCharType="end"/>
      </w:r>
      <w:r>
        <w:rPr>
          <w:sz w:val="24"/>
          <w:szCs w:val="18"/>
        </w:rPr>
        <w:fldChar w:fldCharType="end"/>
      </w:r>
    </w:p>
    <w:p>
      <w:pPr>
        <w:pStyle w:val="20"/>
        <w:tabs>
          <w:tab w:val="right" w:leader="dot" w:pos="9402"/>
        </w:tabs>
        <w:rPr>
          <w:rFonts w:asciiTheme="minorHAnsi" w:hAnsiTheme="minorHAnsi" w:eastAsiaTheme="minorEastAsia" w:cstheme="minorBidi"/>
          <w:b w:val="0"/>
          <w:bCs w:val="0"/>
          <w:caps w:val="0"/>
          <w:sz w:val="20"/>
          <w:szCs w:val="21"/>
        </w:rPr>
      </w:pPr>
      <w:r>
        <w:rPr>
          <w:sz w:val="24"/>
          <w:szCs w:val="18"/>
        </w:rPr>
        <w:fldChar w:fldCharType="begin"/>
      </w:r>
      <w:r>
        <w:rPr>
          <w:sz w:val="24"/>
          <w:szCs w:val="18"/>
        </w:rPr>
        <w:instrText xml:space="preserve"> HYPERLINK \l "_Toc497408602" </w:instrText>
      </w:r>
      <w:r>
        <w:rPr>
          <w:sz w:val="24"/>
          <w:szCs w:val="18"/>
        </w:rPr>
        <w:fldChar w:fldCharType="separate"/>
      </w:r>
      <w:r>
        <w:rPr>
          <w:rStyle w:val="32"/>
          <w:rFonts w:hint="eastAsia" w:ascii="宋体" w:hAnsi="宋体" w:cs="宋体"/>
          <w:sz w:val="24"/>
          <w:szCs w:val="18"/>
        </w:rPr>
        <w:t>第三章合同与验收</w:t>
      </w:r>
      <w:r>
        <w:rPr>
          <w:sz w:val="24"/>
          <w:szCs w:val="18"/>
        </w:rPr>
        <w:tab/>
      </w:r>
      <w:r>
        <w:rPr>
          <w:sz w:val="24"/>
          <w:szCs w:val="18"/>
        </w:rPr>
        <w:fldChar w:fldCharType="begin"/>
      </w:r>
      <w:r>
        <w:rPr>
          <w:sz w:val="24"/>
          <w:szCs w:val="18"/>
        </w:rPr>
        <w:instrText xml:space="preserve"> PAGEREF _Toc497408602 \h </w:instrText>
      </w:r>
      <w:r>
        <w:rPr>
          <w:sz w:val="24"/>
          <w:szCs w:val="18"/>
        </w:rPr>
        <w:fldChar w:fldCharType="separate"/>
      </w:r>
      <w:r>
        <w:rPr>
          <w:sz w:val="24"/>
          <w:szCs w:val="18"/>
        </w:rPr>
        <w:t>1</w:t>
      </w:r>
      <w:r>
        <w:rPr>
          <w:rFonts w:hint="eastAsia"/>
          <w:sz w:val="24"/>
          <w:szCs w:val="18"/>
          <w:lang w:val="en-US" w:eastAsia="zh-CN"/>
        </w:rPr>
        <w:t>7</w:t>
      </w:r>
      <w:r>
        <w:rPr>
          <w:sz w:val="24"/>
          <w:szCs w:val="18"/>
        </w:rPr>
        <w:fldChar w:fldCharType="end"/>
      </w:r>
      <w:r>
        <w:rPr>
          <w:sz w:val="24"/>
          <w:szCs w:val="18"/>
        </w:rPr>
        <w:fldChar w:fldCharType="end"/>
      </w:r>
    </w:p>
    <w:p>
      <w:pPr>
        <w:pStyle w:val="20"/>
        <w:tabs>
          <w:tab w:val="right" w:leader="dot" w:pos="9402"/>
        </w:tabs>
        <w:rPr>
          <w:rFonts w:hint="eastAsia" w:eastAsia="宋体" w:asciiTheme="minorHAnsi" w:hAnsiTheme="minorHAnsi" w:cstheme="minorBidi"/>
          <w:b w:val="0"/>
          <w:bCs w:val="0"/>
          <w:caps w:val="0"/>
          <w:sz w:val="20"/>
          <w:szCs w:val="21"/>
          <w:lang w:val="en-US" w:eastAsia="zh-CN"/>
        </w:rPr>
      </w:pPr>
      <w:r>
        <w:rPr>
          <w:sz w:val="24"/>
          <w:szCs w:val="18"/>
        </w:rPr>
        <w:fldChar w:fldCharType="begin"/>
      </w:r>
      <w:r>
        <w:rPr>
          <w:sz w:val="24"/>
          <w:szCs w:val="18"/>
        </w:rPr>
        <w:instrText xml:space="preserve"> HYPERLINK \l "_Toc497408603" </w:instrText>
      </w:r>
      <w:r>
        <w:rPr>
          <w:sz w:val="24"/>
          <w:szCs w:val="18"/>
        </w:rPr>
        <w:fldChar w:fldCharType="separate"/>
      </w:r>
      <w:r>
        <w:rPr>
          <w:rStyle w:val="32"/>
          <w:rFonts w:hint="eastAsia" w:ascii="宋体" w:hAnsi="宋体"/>
          <w:kern w:val="44"/>
          <w:sz w:val="24"/>
          <w:szCs w:val="18"/>
          <w:lang w:val="zh-CN"/>
        </w:rPr>
        <w:t>第四章磋商内容与技术要求</w:t>
      </w:r>
      <w:r>
        <w:rPr>
          <w:sz w:val="24"/>
          <w:szCs w:val="18"/>
        </w:rPr>
        <w:tab/>
      </w:r>
      <w:r>
        <w:rPr>
          <w:rFonts w:hint="eastAsia"/>
          <w:sz w:val="24"/>
          <w:szCs w:val="18"/>
          <w:lang w:val="en-US" w:eastAsia="zh-CN"/>
        </w:rPr>
        <w:t>2</w:t>
      </w:r>
      <w:r>
        <w:rPr>
          <w:sz w:val="24"/>
          <w:szCs w:val="18"/>
        </w:rPr>
        <w:fldChar w:fldCharType="end"/>
      </w:r>
      <w:r>
        <w:rPr>
          <w:rFonts w:hint="eastAsia"/>
          <w:sz w:val="24"/>
          <w:szCs w:val="18"/>
          <w:lang w:val="en-US" w:eastAsia="zh-CN"/>
        </w:rPr>
        <w:t>0</w:t>
      </w:r>
    </w:p>
    <w:p>
      <w:pPr>
        <w:pStyle w:val="20"/>
        <w:tabs>
          <w:tab w:val="right" w:leader="dot" w:pos="9402"/>
        </w:tabs>
        <w:rPr>
          <w:rFonts w:asciiTheme="minorHAnsi" w:hAnsiTheme="minorHAnsi" w:eastAsiaTheme="minorEastAsia" w:cstheme="minorBidi"/>
          <w:b w:val="0"/>
          <w:bCs w:val="0"/>
          <w:caps w:val="0"/>
          <w:sz w:val="20"/>
          <w:szCs w:val="21"/>
        </w:rPr>
      </w:pPr>
      <w:r>
        <w:rPr>
          <w:sz w:val="24"/>
          <w:szCs w:val="18"/>
        </w:rPr>
        <w:fldChar w:fldCharType="begin"/>
      </w:r>
      <w:r>
        <w:rPr>
          <w:sz w:val="24"/>
          <w:szCs w:val="18"/>
        </w:rPr>
        <w:instrText xml:space="preserve"> HYPERLINK \l "_Toc497408604" </w:instrText>
      </w:r>
      <w:r>
        <w:rPr>
          <w:sz w:val="24"/>
          <w:szCs w:val="18"/>
        </w:rPr>
        <w:fldChar w:fldCharType="separate"/>
      </w:r>
      <w:r>
        <w:rPr>
          <w:rStyle w:val="32"/>
          <w:rFonts w:hint="eastAsia" w:ascii="宋体" w:hAnsi="宋体"/>
          <w:kern w:val="44"/>
          <w:sz w:val="24"/>
          <w:szCs w:val="18"/>
          <w:lang w:val="zh-CN"/>
        </w:rPr>
        <w:t>第五章供应商资格证明及相关文件要求</w:t>
      </w:r>
      <w:r>
        <w:rPr>
          <w:sz w:val="24"/>
          <w:szCs w:val="18"/>
        </w:rPr>
        <w:tab/>
      </w:r>
      <w:r>
        <w:rPr>
          <w:sz w:val="24"/>
          <w:szCs w:val="18"/>
        </w:rPr>
        <w:fldChar w:fldCharType="begin"/>
      </w:r>
      <w:r>
        <w:rPr>
          <w:sz w:val="24"/>
          <w:szCs w:val="18"/>
        </w:rPr>
        <w:instrText xml:space="preserve"> PAGEREF _Toc497408604 \h </w:instrText>
      </w:r>
      <w:r>
        <w:rPr>
          <w:sz w:val="24"/>
          <w:szCs w:val="18"/>
        </w:rPr>
        <w:fldChar w:fldCharType="separate"/>
      </w:r>
      <w:r>
        <w:rPr>
          <w:sz w:val="24"/>
          <w:szCs w:val="18"/>
        </w:rPr>
        <w:t>2</w:t>
      </w:r>
      <w:r>
        <w:rPr>
          <w:rFonts w:hint="eastAsia"/>
          <w:sz w:val="24"/>
          <w:szCs w:val="18"/>
          <w:lang w:val="en-US" w:eastAsia="zh-CN"/>
        </w:rPr>
        <w:t>5</w:t>
      </w:r>
      <w:r>
        <w:rPr>
          <w:sz w:val="24"/>
          <w:szCs w:val="18"/>
        </w:rPr>
        <w:fldChar w:fldCharType="end"/>
      </w:r>
      <w:r>
        <w:rPr>
          <w:sz w:val="24"/>
          <w:szCs w:val="18"/>
        </w:rPr>
        <w:fldChar w:fldCharType="end"/>
      </w:r>
    </w:p>
    <w:p>
      <w:pPr>
        <w:pStyle w:val="20"/>
        <w:tabs>
          <w:tab w:val="right" w:leader="dot" w:pos="9402"/>
        </w:tabs>
        <w:rPr>
          <w:rFonts w:hint="eastAsia" w:eastAsia="宋体" w:asciiTheme="minorHAnsi" w:hAnsiTheme="minorHAnsi" w:cstheme="minorBidi"/>
          <w:b w:val="0"/>
          <w:bCs w:val="0"/>
          <w:caps w:val="0"/>
          <w:sz w:val="20"/>
          <w:szCs w:val="21"/>
          <w:lang w:val="en-US" w:eastAsia="zh-CN"/>
        </w:rPr>
      </w:pPr>
      <w:r>
        <w:rPr>
          <w:sz w:val="24"/>
          <w:szCs w:val="18"/>
        </w:rPr>
        <w:fldChar w:fldCharType="begin"/>
      </w:r>
      <w:r>
        <w:rPr>
          <w:sz w:val="24"/>
          <w:szCs w:val="18"/>
        </w:rPr>
        <w:instrText xml:space="preserve"> HYPERLINK \l "_Toc497408605" </w:instrText>
      </w:r>
      <w:r>
        <w:rPr>
          <w:sz w:val="24"/>
          <w:szCs w:val="18"/>
        </w:rPr>
        <w:fldChar w:fldCharType="separate"/>
      </w:r>
      <w:r>
        <w:rPr>
          <w:rStyle w:val="32"/>
          <w:rFonts w:hint="eastAsia" w:ascii="宋体" w:hAnsi="宋体"/>
          <w:kern w:val="44"/>
          <w:sz w:val="24"/>
          <w:szCs w:val="18"/>
          <w:lang w:val="zh-CN"/>
        </w:rPr>
        <w:t>第六章评标办法（综合评</w:t>
      </w:r>
      <w:r>
        <w:rPr>
          <w:rStyle w:val="32"/>
          <w:rFonts w:hint="eastAsia" w:ascii="宋体" w:hAnsi="宋体"/>
          <w:kern w:val="44"/>
          <w:sz w:val="24"/>
          <w:szCs w:val="18"/>
          <w:lang w:val="en-US" w:eastAsia="zh-CN"/>
        </w:rPr>
        <w:t>估法</w:t>
      </w:r>
      <w:r>
        <w:rPr>
          <w:rStyle w:val="32"/>
          <w:rFonts w:hint="eastAsia" w:ascii="宋体" w:hAnsi="宋体"/>
          <w:kern w:val="44"/>
          <w:sz w:val="24"/>
          <w:szCs w:val="18"/>
          <w:lang w:val="zh-CN"/>
        </w:rPr>
        <w:t>）</w:t>
      </w:r>
      <w:r>
        <w:rPr>
          <w:sz w:val="24"/>
          <w:szCs w:val="18"/>
        </w:rPr>
        <w:tab/>
      </w:r>
      <w:r>
        <w:rPr>
          <w:rFonts w:hint="eastAsia"/>
          <w:sz w:val="24"/>
          <w:szCs w:val="18"/>
          <w:lang w:val="en-US" w:eastAsia="zh-CN"/>
        </w:rPr>
        <w:t>2</w:t>
      </w:r>
      <w:r>
        <w:rPr>
          <w:sz w:val="24"/>
          <w:szCs w:val="18"/>
        </w:rPr>
        <w:fldChar w:fldCharType="end"/>
      </w:r>
      <w:r>
        <w:rPr>
          <w:rFonts w:hint="eastAsia"/>
          <w:sz w:val="24"/>
          <w:szCs w:val="18"/>
          <w:lang w:val="en-US" w:eastAsia="zh-CN"/>
        </w:rPr>
        <w:t>6</w:t>
      </w:r>
    </w:p>
    <w:p>
      <w:pPr>
        <w:pStyle w:val="20"/>
        <w:tabs>
          <w:tab w:val="right" w:leader="dot" w:pos="9402"/>
        </w:tabs>
        <w:rPr>
          <w:rFonts w:hint="default" w:eastAsia="宋体" w:asciiTheme="minorHAnsi" w:hAnsiTheme="minorHAnsi" w:cstheme="minorBidi"/>
          <w:b w:val="0"/>
          <w:bCs w:val="0"/>
          <w:caps w:val="0"/>
          <w:sz w:val="20"/>
          <w:szCs w:val="21"/>
          <w:lang w:val="en-US" w:eastAsia="zh-CN"/>
        </w:rPr>
      </w:pPr>
      <w:r>
        <w:rPr>
          <w:sz w:val="24"/>
          <w:szCs w:val="18"/>
        </w:rPr>
        <w:fldChar w:fldCharType="begin"/>
      </w:r>
      <w:r>
        <w:rPr>
          <w:sz w:val="24"/>
          <w:szCs w:val="18"/>
        </w:rPr>
        <w:instrText xml:space="preserve"> HYPERLINK \l "_Toc497408606" </w:instrText>
      </w:r>
      <w:r>
        <w:rPr>
          <w:sz w:val="24"/>
          <w:szCs w:val="18"/>
        </w:rPr>
        <w:fldChar w:fldCharType="separate"/>
      </w:r>
      <w:r>
        <w:rPr>
          <w:rStyle w:val="32"/>
          <w:rFonts w:hint="eastAsia" w:ascii="宋体" w:hAnsi="宋体"/>
          <w:sz w:val="24"/>
          <w:szCs w:val="18"/>
        </w:rPr>
        <w:t>第七章响应文件格式与要求</w:t>
      </w:r>
      <w:r>
        <w:rPr>
          <w:sz w:val="24"/>
          <w:szCs w:val="18"/>
        </w:rPr>
        <w:tab/>
      </w:r>
      <w:r>
        <w:rPr>
          <w:sz w:val="24"/>
          <w:szCs w:val="18"/>
        </w:rPr>
        <w:fldChar w:fldCharType="end"/>
      </w:r>
      <w:r>
        <w:rPr>
          <w:rFonts w:hint="eastAsia"/>
          <w:sz w:val="24"/>
          <w:szCs w:val="18"/>
          <w:lang w:val="en-US" w:eastAsia="zh-CN"/>
        </w:rPr>
        <w:t>33</w:t>
      </w:r>
    </w:p>
    <w:p>
      <w:pPr>
        <w:pStyle w:val="20"/>
        <w:tabs>
          <w:tab w:val="right" w:leader="dot" w:pos="9402"/>
        </w:tabs>
        <w:rPr>
          <w:rFonts w:hint="default" w:eastAsia="宋体" w:asciiTheme="minorHAnsi" w:hAnsiTheme="minorHAnsi" w:cstheme="minorBidi"/>
          <w:b w:val="0"/>
          <w:bCs w:val="0"/>
          <w:caps w:val="0"/>
          <w:sz w:val="20"/>
          <w:szCs w:val="21"/>
          <w:lang w:val="en-US" w:eastAsia="zh-CN"/>
        </w:rPr>
      </w:pPr>
      <w:r>
        <w:rPr>
          <w:sz w:val="24"/>
          <w:szCs w:val="18"/>
        </w:rPr>
        <w:fldChar w:fldCharType="begin"/>
      </w:r>
      <w:r>
        <w:rPr>
          <w:sz w:val="24"/>
          <w:szCs w:val="18"/>
        </w:rPr>
        <w:instrText xml:space="preserve"> HYPERLINK \l "_Toc497408607" </w:instrText>
      </w:r>
      <w:r>
        <w:rPr>
          <w:sz w:val="24"/>
          <w:szCs w:val="18"/>
        </w:rPr>
        <w:fldChar w:fldCharType="separate"/>
      </w:r>
      <w:r>
        <w:rPr>
          <w:rStyle w:val="32"/>
          <w:rFonts w:hint="eastAsia" w:ascii="宋体" w:hAnsi="宋体"/>
          <w:sz w:val="24"/>
          <w:szCs w:val="18"/>
          <w:lang w:val="zh-CN"/>
        </w:rPr>
        <w:t>温馨提示</w:t>
      </w:r>
      <w:r>
        <w:rPr>
          <w:sz w:val="24"/>
          <w:szCs w:val="18"/>
        </w:rPr>
        <w:tab/>
      </w:r>
      <w:r>
        <w:rPr>
          <w:sz w:val="24"/>
          <w:szCs w:val="18"/>
        </w:rPr>
        <w:fldChar w:fldCharType="end"/>
      </w:r>
      <w:r>
        <w:rPr>
          <w:rFonts w:hint="eastAsia"/>
          <w:sz w:val="24"/>
          <w:szCs w:val="18"/>
          <w:lang w:val="en-US" w:eastAsia="zh-CN"/>
        </w:rPr>
        <w:t>61</w:t>
      </w:r>
    </w:p>
    <w:p>
      <w:pPr>
        <w:outlineLvl w:val="0"/>
        <w:rPr>
          <w:rFonts w:ascii="宋体" w:hAnsi="宋体"/>
          <w:b/>
          <w:color w:val="000000"/>
          <w:szCs w:val="28"/>
        </w:rPr>
      </w:pPr>
      <w:r>
        <w:rPr>
          <w:rFonts w:ascii="宋体" w:hAnsi="宋体"/>
          <w:b/>
          <w:color w:val="000000"/>
          <w:sz w:val="24"/>
          <w:szCs w:val="24"/>
        </w:rPr>
        <w:fldChar w:fldCharType="end"/>
      </w:r>
      <w:r>
        <w:rPr>
          <w:rFonts w:ascii="宋体" w:hAnsi="宋体"/>
          <w:b/>
          <w:color w:val="000000"/>
          <w:szCs w:val="28"/>
        </w:rPr>
        <w:br w:type="page"/>
      </w:r>
    </w:p>
    <w:p>
      <w:pPr>
        <w:pStyle w:val="48"/>
        <w:numPr>
          <w:ilvl w:val="0"/>
          <w:numId w:val="2"/>
        </w:numPr>
        <w:ind w:firstLineChars="0"/>
        <w:jc w:val="center"/>
        <w:outlineLvl w:val="0"/>
        <w:rPr>
          <w:rFonts w:ascii="宋体" w:hAnsi="宋体"/>
          <w:b/>
          <w:sz w:val="32"/>
          <w:szCs w:val="32"/>
        </w:rPr>
      </w:pPr>
      <w:bookmarkStart w:id="0" w:name="_Toc497408600"/>
      <w:r>
        <w:rPr>
          <w:rFonts w:hint="eastAsia" w:ascii="宋体" w:hAnsi="宋体"/>
          <w:b/>
          <w:sz w:val="32"/>
          <w:szCs w:val="32"/>
        </w:rPr>
        <w:t>磋商公告</w:t>
      </w:r>
      <w:bookmarkEnd w:id="0"/>
    </w:p>
    <w:p>
      <w:pPr>
        <w:pStyle w:val="2"/>
      </w:pPr>
    </w:p>
    <w:p>
      <w:pPr>
        <w:widowControl/>
        <w:jc w:val="center"/>
        <w:rPr>
          <w:rFonts w:ascii="宋体" w:hAnsi="宋体"/>
          <w:bCs/>
          <w:color w:val="000000"/>
          <w:kern w:val="44"/>
          <w:sz w:val="36"/>
          <w:szCs w:val="36"/>
          <w:lang w:val="zh-CN"/>
        </w:rPr>
      </w:pPr>
      <w:r>
        <w:rPr>
          <w:rFonts w:hint="eastAsia" w:ascii="宋体" w:hAnsi="宋体"/>
          <w:b/>
          <w:sz w:val="32"/>
          <w:szCs w:val="32"/>
          <w:lang w:eastAsia="zh-CN"/>
        </w:rPr>
        <w:t>鄂托克前旗卫生健康委员会采购卫生院“清零达标”设备项目</w:t>
      </w:r>
      <w:r>
        <w:rPr>
          <w:rFonts w:hint="eastAsia" w:ascii="宋体" w:hAnsi="宋体"/>
          <w:b/>
          <w:sz w:val="32"/>
          <w:szCs w:val="32"/>
        </w:rPr>
        <w:t>竞争性磋商招标公告</w:t>
      </w:r>
    </w:p>
    <w:p>
      <w:pPr>
        <w:spacing w:line="360" w:lineRule="auto"/>
        <w:ind w:firstLine="600" w:firstLineChars="250"/>
        <w:rPr>
          <w:rFonts w:ascii="宋体" w:hAnsi="宋体"/>
          <w:color w:val="000000"/>
          <w:sz w:val="24"/>
          <w:szCs w:val="24"/>
        </w:rPr>
      </w:pPr>
      <w:r>
        <w:rPr>
          <w:rFonts w:hint="eastAsia" w:ascii="宋体" w:hAnsi="宋体"/>
          <w:sz w:val="24"/>
          <w:szCs w:val="24"/>
          <w:lang w:val="en-US" w:eastAsia="zh-CN"/>
        </w:rPr>
        <w:t>鄂尔多斯市金博工程项目管理有限公司</w:t>
      </w:r>
      <w:r>
        <w:rPr>
          <w:rFonts w:hint="eastAsia" w:ascii="宋体" w:hAnsi="宋体"/>
          <w:sz w:val="24"/>
          <w:szCs w:val="24"/>
        </w:rPr>
        <w:t>受</w:t>
      </w:r>
      <w:r>
        <w:rPr>
          <w:rFonts w:hint="eastAsia" w:ascii="宋体" w:hAnsi="宋体"/>
          <w:sz w:val="24"/>
          <w:szCs w:val="24"/>
          <w:lang w:eastAsia="zh-CN"/>
        </w:rPr>
        <w:t>鄂托克前旗卫生健康委员会</w:t>
      </w:r>
      <w:r>
        <w:rPr>
          <w:rFonts w:hint="eastAsia" w:ascii="宋体" w:hAnsi="宋体"/>
          <w:sz w:val="24"/>
          <w:szCs w:val="24"/>
        </w:rPr>
        <w:t>委托，按照鄂托克前旗财政局审批（竞争性磋商）方式组织采购</w:t>
      </w:r>
      <w:r>
        <w:rPr>
          <w:rFonts w:hint="eastAsia" w:ascii="宋体" w:hAnsi="宋体"/>
          <w:color w:val="000000"/>
          <w:sz w:val="24"/>
          <w:szCs w:val="24"/>
          <w:lang w:eastAsia="zh-CN"/>
        </w:rPr>
        <w:t>鄂托克前旗卫生健康委员会采购卫生院“清零达标”设备项目</w:t>
      </w:r>
      <w:r>
        <w:rPr>
          <w:rFonts w:hint="eastAsia" w:ascii="宋体" w:hAnsi="宋体"/>
          <w:color w:val="000000"/>
          <w:sz w:val="24"/>
          <w:szCs w:val="24"/>
        </w:rPr>
        <w:t>项目。欢迎符合资格条件的供应商前来报名参加。</w:t>
      </w:r>
    </w:p>
    <w:p>
      <w:pPr>
        <w:spacing w:line="360" w:lineRule="auto"/>
        <w:rPr>
          <w:rFonts w:ascii="宋体" w:hAnsi="宋体"/>
          <w:b/>
          <w:color w:val="000000"/>
          <w:sz w:val="24"/>
          <w:szCs w:val="24"/>
        </w:rPr>
      </w:pPr>
      <w:r>
        <w:rPr>
          <w:rFonts w:hint="eastAsia" w:ascii="宋体" w:hAnsi="宋体"/>
          <w:b/>
          <w:color w:val="000000"/>
          <w:sz w:val="24"/>
          <w:szCs w:val="24"/>
        </w:rPr>
        <w:t>一.项目概述</w:t>
      </w:r>
    </w:p>
    <w:p>
      <w:pPr>
        <w:pStyle w:val="48"/>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sz w:val="24"/>
          <w:szCs w:val="24"/>
        </w:rPr>
        <w:t>项目名称：</w:t>
      </w:r>
      <w:r>
        <w:rPr>
          <w:rFonts w:hint="eastAsia" w:ascii="宋体" w:hAnsi="宋体"/>
          <w:color w:val="000000"/>
          <w:sz w:val="24"/>
          <w:szCs w:val="24"/>
          <w:lang w:eastAsia="zh-CN"/>
        </w:rPr>
        <w:t>鄂托克前旗卫生健康委员会采购卫生院“清零达标”设备项目</w:t>
      </w:r>
    </w:p>
    <w:p>
      <w:pPr>
        <w:spacing w:line="360" w:lineRule="auto"/>
        <w:ind w:firstLine="480" w:firstLineChars="200"/>
        <w:jc w:val="left"/>
        <w:rPr>
          <w:rFonts w:ascii="宋体" w:hAnsi="宋体"/>
          <w:sz w:val="24"/>
          <w:szCs w:val="24"/>
        </w:rPr>
      </w:pPr>
      <w:r>
        <w:rPr>
          <w:rFonts w:hint="eastAsia" w:ascii="宋体" w:hAnsi="宋体"/>
          <w:color w:val="000000"/>
          <w:sz w:val="24"/>
          <w:szCs w:val="24"/>
        </w:rPr>
        <w:t>批准文件编号：</w:t>
      </w:r>
      <w:r>
        <w:rPr>
          <w:rFonts w:hint="eastAsia" w:ascii="宋体" w:hAnsi="宋体"/>
          <w:color w:val="auto"/>
          <w:sz w:val="24"/>
          <w:szCs w:val="24"/>
        </w:rPr>
        <w:t>鄂财购备字（电子）[</w:t>
      </w:r>
      <w:r>
        <w:rPr>
          <w:rFonts w:ascii="宋体" w:hAnsi="宋体"/>
          <w:color w:val="auto"/>
          <w:sz w:val="24"/>
          <w:szCs w:val="24"/>
        </w:rPr>
        <w:t>2020]QQ000</w:t>
      </w:r>
      <w:r>
        <w:rPr>
          <w:rFonts w:hint="eastAsia" w:ascii="宋体" w:hAnsi="宋体"/>
          <w:color w:val="auto"/>
          <w:sz w:val="24"/>
          <w:szCs w:val="24"/>
          <w:lang w:val="en-US" w:eastAsia="zh-CN"/>
        </w:rPr>
        <w:t>46</w:t>
      </w:r>
      <w:r>
        <w:rPr>
          <w:rFonts w:hint="eastAsia" w:ascii="宋体" w:hAnsi="宋体"/>
          <w:color w:val="auto"/>
          <w:sz w:val="24"/>
          <w:szCs w:val="24"/>
        </w:rPr>
        <w:t>号</w:t>
      </w:r>
    </w:p>
    <w:p>
      <w:pPr>
        <w:spacing w:line="360" w:lineRule="auto"/>
        <w:ind w:firstLine="480" w:firstLineChars="200"/>
        <w:jc w:val="left"/>
        <w:rPr>
          <w:rFonts w:ascii="宋体" w:hAnsi="宋体"/>
          <w:color w:val="000000"/>
          <w:sz w:val="24"/>
          <w:szCs w:val="24"/>
        </w:rPr>
      </w:pPr>
      <w:r>
        <w:rPr>
          <w:rFonts w:hint="eastAsia" w:ascii="宋体" w:hAnsi="宋体"/>
          <w:sz w:val="24"/>
          <w:szCs w:val="24"/>
        </w:rPr>
        <w:t>采购文件编号：</w:t>
      </w:r>
      <w:bookmarkStart w:id="52" w:name="_GoBack"/>
      <w:bookmarkEnd w:id="52"/>
      <w:r>
        <w:rPr>
          <w:rFonts w:hint="eastAsia" w:ascii="宋体" w:hAnsi="宋体"/>
          <w:color w:val="0000FF"/>
          <w:sz w:val="24"/>
          <w:szCs w:val="24"/>
          <w:lang w:eastAsia="zh-CN"/>
        </w:rPr>
        <w:t>CG2020HCS101</w:t>
      </w:r>
      <w:r>
        <w:rPr>
          <w:rFonts w:hint="eastAsia" w:ascii="宋体" w:hAnsi="宋体"/>
          <w:color w:val="0000FF"/>
          <w:sz w:val="24"/>
          <w:szCs w:val="24"/>
        </w:rPr>
        <w:t xml:space="preserve"> </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2.内容及分包情况（技术规格、参数及要求）</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899"/>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货物服务名称</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卫生院“清零达标”设备项目</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详见磋商文件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lang w:eastAsia="zh-CN"/>
              </w:rPr>
              <w:t>940000</w:t>
            </w:r>
            <w:r>
              <w:rPr>
                <w:rFonts w:hint="eastAsia" w:ascii="宋体" w:hAnsi="宋体"/>
                <w:sz w:val="24"/>
                <w:szCs w:val="24"/>
              </w:rPr>
              <w:t>.00</w:t>
            </w:r>
          </w:p>
        </w:tc>
      </w:tr>
    </w:tbl>
    <w:p>
      <w:pPr>
        <w:spacing w:line="360" w:lineRule="auto"/>
        <w:rPr>
          <w:rFonts w:ascii="宋体" w:hAnsi="宋体"/>
          <w:b/>
          <w:sz w:val="24"/>
          <w:szCs w:val="24"/>
        </w:rPr>
      </w:pPr>
      <w:r>
        <w:rPr>
          <w:rFonts w:hint="eastAsia" w:ascii="宋体" w:hAnsi="宋体"/>
          <w:b/>
          <w:sz w:val="24"/>
          <w:szCs w:val="24"/>
        </w:rPr>
        <w:t>二.供应商的资格要求</w:t>
      </w:r>
    </w:p>
    <w:p>
      <w:pPr>
        <w:spacing w:line="360" w:lineRule="auto"/>
        <w:ind w:firstLine="480" w:firstLineChars="200"/>
        <w:rPr>
          <w:rFonts w:hint="default" w:eastAsia="宋体"/>
          <w:lang w:val="en-US" w:eastAsia="zh-CN"/>
        </w:rPr>
      </w:pPr>
      <w:r>
        <w:rPr>
          <w:rFonts w:hint="eastAsia" w:ascii="宋体" w:hAnsi="宋体"/>
          <w:color w:val="000000"/>
          <w:sz w:val="24"/>
          <w:szCs w:val="24"/>
        </w:rPr>
        <w:t>1.供应商应符合《中华人民共和国政府采购法》第二十二条规定的条件；</w:t>
      </w:r>
    </w:p>
    <w:p>
      <w:pPr>
        <w:pStyle w:val="2"/>
        <w:spacing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2.供应商须具备有效的医疗器械经营许可证；</w:t>
      </w:r>
    </w:p>
    <w:p>
      <w:pPr>
        <w:pStyle w:val="2"/>
        <w:spacing w:line="360" w:lineRule="auto"/>
        <w:ind w:firstLine="480" w:firstLineChars="200"/>
        <w:rPr>
          <w:rFonts w:hint="eastAsia" w:ascii="宋体" w:hAnsi="宋体"/>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sz w:val="24"/>
          <w:szCs w:val="24"/>
        </w:rPr>
        <w:t>该项目不接受联合体投标。</w:t>
      </w:r>
    </w:p>
    <w:p>
      <w:pPr>
        <w:spacing w:line="360" w:lineRule="auto"/>
        <w:rPr>
          <w:rFonts w:ascii="宋体" w:hAnsi="宋体"/>
          <w:color w:val="auto"/>
          <w:sz w:val="24"/>
          <w:szCs w:val="24"/>
        </w:rPr>
      </w:pPr>
      <w:r>
        <w:rPr>
          <w:rFonts w:hint="eastAsia" w:ascii="宋体" w:hAnsi="宋体"/>
          <w:b/>
          <w:color w:val="000000"/>
          <w:sz w:val="24"/>
          <w:szCs w:val="24"/>
        </w:rPr>
        <w:t>三.获取磋商文件的时间、地点、</w:t>
      </w:r>
      <w:r>
        <w:rPr>
          <w:rFonts w:hint="eastAsia" w:ascii="宋体" w:hAnsi="宋体"/>
          <w:b/>
          <w:color w:val="auto"/>
          <w:sz w:val="24"/>
          <w:szCs w:val="24"/>
        </w:rPr>
        <w:t>方式</w:t>
      </w:r>
    </w:p>
    <w:p>
      <w:pPr>
        <w:spacing w:line="360" w:lineRule="auto"/>
        <w:ind w:firstLine="480" w:firstLineChars="200"/>
        <w:textAlignment w:val="baseline"/>
        <w:rPr>
          <w:rFonts w:ascii="宋体" w:hAnsi="宋体"/>
          <w:sz w:val="24"/>
          <w:szCs w:val="24"/>
        </w:rPr>
      </w:pPr>
      <w:r>
        <w:rPr>
          <w:rFonts w:hint="eastAsia" w:ascii="宋体" w:hAnsi="宋体"/>
          <w:color w:val="auto"/>
          <w:sz w:val="24"/>
          <w:szCs w:val="24"/>
        </w:rPr>
        <w:t>符合上述条件的供应商可于</w:t>
      </w:r>
      <w:r>
        <w:rPr>
          <w:rFonts w:hint="eastAsia" w:ascii="宋体" w:hAnsi="宋体"/>
          <w:color w:val="auto"/>
          <w:sz w:val="24"/>
          <w:szCs w:val="24"/>
          <w:lang w:eastAsia="zh-CN"/>
        </w:rPr>
        <w:t>2020年04月08日</w:t>
      </w:r>
      <w:r>
        <w:rPr>
          <w:rFonts w:hint="eastAsia" w:ascii="宋体" w:hAnsi="宋体"/>
          <w:sz w:val="24"/>
          <w:szCs w:val="24"/>
        </w:rPr>
        <w:t>起登录内蒙古自治区政府采购网、内蒙古自治区公共资源交易网、鄂尔多斯市政府采购网、鄂尔多斯市公共资源交易网、鄂尔多斯市鄂托克前旗公共资源交易网、</w:t>
      </w:r>
      <w:r>
        <w:rPr>
          <w:rFonts w:hint="eastAsia" w:ascii="宋体" w:hAnsi="宋体"/>
          <w:bCs/>
          <w:sz w:val="24"/>
          <w:szCs w:val="24"/>
        </w:rPr>
        <w:t>鄂托克前旗人民政府网</w:t>
      </w:r>
      <w:r>
        <w:rPr>
          <w:rFonts w:hint="eastAsia" w:ascii="宋体" w:hAnsi="宋体"/>
          <w:sz w:val="24"/>
          <w:szCs w:val="24"/>
        </w:rPr>
        <w:t>站获取磋商文件。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鄂尔多斯市鄂托克前旗公共资源交易网（http://www.ordosggzyjy.org.cn/TPFront_etkqq/）。登陆网站页面，点击“政府采购”中的“信息公告”栏，查询采购信息，点击信息公告页面左下角“附件”即可浏览、下载招标文件</w:t>
      </w:r>
    </w:p>
    <w:p>
      <w:pPr>
        <w:spacing w:line="360" w:lineRule="auto"/>
        <w:ind w:firstLine="480" w:firstLineChars="200"/>
        <w:rPr>
          <w:rFonts w:ascii="宋体" w:hAnsi="宋体"/>
          <w:bCs/>
          <w:sz w:val="24"/>
          <w:szCs w:val="24"/>
        </w:rPr>
      </w:pPr>
      <w:r>
        <w:rPr>
          <w:rFonts w:hint="eastAsia" w:ascii="宋体" w:hAnsi="宋体"/>
          <w:bCs/>
          <w:sz w:val="24"/>
          <w:szCs w:val="24"/>
        </w:rPr>
        <w:t>6</w:t>
      </w:r>
      <w:r>
        <w:rPr>
          <w:rFonts w:hint="eastAsia" w:ascii="宋体" w:hAnsi="宋体"/>
          <w:sz w:val="24"/>
          <w:szCs w:val="24"/>
        </w:rPr>
        <w:t>.</w:t>
      </w:r>
      <w:r>
        <w:rPr>
          <w:rFonts w:hint="eastAsia" w:ascii="宋体" w:hAnsi="宋体"/>
          <w:bCs/>
          <w:sz w:val="24"/>
          <w:szCs w:val="24"/>
        </w:rPr>
        <w:t>鄂托克前旗人民政府网（http://www.etkqq.gov.cn/）。</w:t>
      </w:r>
      <w:r>
        <w:rPr>
          <w:rFonts w:hint="eastAsia" w:ascii="宋体" w:hAnsi="宋体"/>
          <w:sz w:val="24"/>
          <w:szCs w:val="24"/>
        </w:rPr>
        <w:t>登陆网站页面，点击“信息公开目录</w:t>
      </w:r>
      <w:r>
        <w:rPr>
          <w:rFonts w:hint="eastAsia" w:ascii="宋体" w:hAnsi="宋体"/>
          <w:bCs/>
          <w:sz w:val="24"/>
          <w:szCs w:val="24"/>
        </w:rPr>
        <w:t>”栏，点击公共资源交易中心链接进入后，栏目右侧通知公告一栏中即可浏览采购公告、也可下载招标文件。</w:t>
      </w:r>
    </w:p>
    <w:p>
      <w:pPr>
        <w:spacing w:line="360" w:lineRule="auto"/>
        <w:ind w:firstLine="480" w:firstLineChars="200"/>
        <w:textAlignment w:val="baseline"/>
        <w:rPr>
          <w:rFonts w:ascii="宋体" w:hAnsi="宋体"/>
          <w:bCs/>
          <w:color w:val="auto"/>
          <w:sz w:val="24"/>
          <w:szCs w:val="24"/>
        </w:rPr>
      </w:pPr>
      <w:r>
        <w:rPr>
          <w:rFonts w:hint="eastAsia" w:ascii="宋体" w:hAnsi="宋体" w:cs="宋体"/>
          <w:kern w:val="0"/>
          <w:sz w:val="24"/>
          <w:szCs w:val="24"/>
        </w:rPr>
        <w:t>7.报名时间（</w:t>
      </w:r>
      <w:r>
        <w:rPr>
          <w:rFonts w:hint="eastAsia" w:ascii="宋体" w:hAnsi="宋体"/>
          <w:sz w:val="24"/>
          <w:szCs w:val="24"/>
        </w:rPr>
        <w:t>磋商文件</w:t>
      </w:r>
      <w:r>
        <w:rPr>
          <w:rFonts w:hint="eastAsia" w:ascii="宋体" w:hAnsi="宋体" w:cs="宋体"/>
          <w:kern w:val="0"/>
          <w:sz w:val="24"/>
          <w:szCs w:val="24"/>
        </w:rPr>
        <w:t>提供期限）</w:t>
      </w:r>
      <w:r>
        <w:rPr>
          <w:rFonts w:hint="eastAsia" w:ascii="宋体" w:hAnsi="宋体" w:cs="宋体"/>
          <w:color w:val="auto"/>
          <w:kern w:val="0"/>
          <w:sz w:val="24"/>
          <w:szCs w:val="24"/>
        </w:rPr>
        <w:t>：</w:t>
      </w:r>
      <w:r>
        <w:rPr>
          <w:rFonts w:hint="eastAsia" w:ascii="宋体" w:hAnsi="宋体"/>
          <w:bCs/>
          <w:color w:val="auto"/>
          <w:sz w:val="24"/>
          <w:szCs w:val="24"/>
          <w:lang w:eastAsia="zh-CN"/>
        </w:rPr>
        <w:t>2020年04月08日</w:t>
      </w:r>
      <w:r>
        <w:rPr>
          <w:rFonts w:hint="eastAsia" w:ascii="宋体" w:hAnsi="宋体"/>
          <w:bCs/>
          <w:color w:val="auto"/>
          <w:sz w:val="24"/>
          <w:szCs w:val="24"/>
        </w:rPr>
        <w:t>至</w:t>
      </w:r>
      <w:r>
        <w:rPr>
          <w:rFonts w:hint="eastAsia" w:ascii="宋体" w:hAnsi="宋体"/>
          <w:bCs/>
          <w:color w:val="auto"/>
          <w:sz w:val="24"/>
          <w:szCs w:val="24"/>
          <w:lang w:eastAsia="zh-CN"/>
        </w:rPr>
        <w:t>2020年04月15日</w:t>
      </w:r>
      <w:r>
        <w:rPr>
          <w:rFonts w:hint="eastAsia" w:ascii="宋体" w:hAnsi="宋体"/>
          <w:bCs/>
          <w:color w:val="auto"/>
          <w:sz w:val="24"/>
          <w:szCs w:val="24"/>
        </w:rPr>
        <w:t>17时30分。</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hint="eastAsia" w:ascii="宋体" w:hAnsi="宋体"/>
          <w:b w:val="0"/>
          <w:bCs/>
          <w:sz w:val="24"/>
          <w:szCs w:val="24"/>
        </w:rPr>
      </w:pPr>
      <w:r>
        <w:rPr>
          <w:rFonts w:hint="eastAsia" w:ascii="宋体" w:hAnsi="宋体"/>
          <w:b w:val="0"/>
          <w:bCs/>
          <w:sz w:val="24"/>
          <w:szCs w:val="24"/>
        </w:rPr>
        <w:t>本次采购文件的售价为</w:t>
      </w:r>
      <w:r>
        <w:rPr>
          <w:rFonts w:hint="eastAsia" w:ascii="宋体" w:hAnsi="宋体"/>
          <w:b w:val="0"/>
          <w:bCs/>
          <w:sz w:val="24"/>
          <w:szCs w:val="24"/>
          <w:lang w:val="en-US" w:eastAsia="zh-CN"/>
        </w:rPr>
        <w:t>5</w:t>
      </w:r>
      <w:r>
        <w:rPr>
          <w:rFonts w:hint="eastAsia" w:ascii="宋体" w:hAnsi="宋体"/>
          <w:b w:val="0"/>
          <w:bCs/>
          <w:sz w:val="24"/>
          <w:szCs w:val="24"/>
        </w:rPr>
        <w:t>00元人民币，开标现场收取，</w:t>
      </w:r>
      <w:r>
        <w:rPr>
          <w:rFonts w:hint="eastAsia" w:ascii="宋体" w:hAnsi="宋体"/>
          <w:b w:val="0"/>
          <w:bCs/>
          <w:sz w:val="24"/>
          <w:szCs w:val="24"/>
          <w:lang w:val="en-US" w:eastAsia="zh-CN"/>
        </w:rPr>
        <w:t>售后不退，</w:t>
      </w:r>
      <w:r>
        <w:rPr>
          <w:rFonts w:hint="eastAsia" w:ascii="宋体" w:hAnsi="宋体"/>
          <w:b w:val="0"/>
          <w:bCs/>
          <w:sz w:val="24"/>
          <w:szCs w:val="24"/>
        </w:rPr>
        <w:t>不交纳采购文件费的拒绝接收投标文件。</w:t>
      </w:r>
    </w:p>
    <w:p>
      <w:pPr>
        <w:spacing w:line="360" w:lineRule="auto"/>
        <w:rPr>
          <w:rFonts w:ascii="宋体" w:hAnsi="宋体"/>
          <w:b/>
          <w:color w:val="auto"/>
          <w:sz w:val="24"/>
          <w:szCs w:val="24"/>
        </w:rPr>
      </w:pPr>
      <w:r>
        <w:rPr>
          <w:rFonts w:hint="eastAsia" w:ascii="宋体" w:hAnsi="宋体"/>
          <w:b/>
          <w:sz w:val="24"/>
          <w:szCs w:val="24"/>
        </w:rPr>
        <w:t>五.递交投标（响应）文件截止时间、</w:t>
      </w:r>
      <w:r>
        <w:rPr>
          <w:rFonts w:hint="eastAsia" w:ascii="宋体" w:hAnsi="宋体"/>
          <w:b/>
          <w:color w:val="auto"/>
          <w:sz w:val="24"/>
          <w:szCs w:val="24"/>
        </w:rPr>
        <w:t>开标时间及地点</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递交投标（响应）文件截止时间：</w:t>
      </w:r>
      <w:r>
        <w:rPr>
          <w:rFonts w:hint="eastAsia" w:ascii="宋体" w:hAnsi="宋体"/>
          <w:color w:val="auto"/>
          <w:sz w:val="24"/>
          <w:szCs w:val="24"/>
          <w:lang w:eastAsia="zh-CN"/>
        </w:rPr>
        <w:t>2020年04月20日上午09时00分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投标地点：鄂尔多斯市鄂托克前旗公共资源交易中心开标二室（鄂托克前旗公园西路文化产业园东区C2座）</w:t>
      </w:r>
    </w:p>
    <w:p>
      <w:pPr>
        <w:spacing w:line="360" w:lineRule="auto"/>
        <w:ind w:firstLine="480" w:firstLineChars="200"/>
        <w:rPr>
          <w:rFonts w:hint="eastAsia" w:ascii="宋体" w:hAnsi="宋体" w:eastAsia="宋体"/>
          <w:sz w:val="24"/>
          <w:szCs w:val="24"/>
          <w:lang w:eastAsia="zh-CN"/>
        </w:rPr>
      </w:pPr>
      <w:r>
        <w:rPr>
          <w:rFonts w:hint="eastAsia" w:ascii="宋体" w:hAnsi="宋体"/>
          <w:color w:val="auto"/>
          <w:sz w:val="24"/>
          <w:szCs w:val="24"/>
        </w:rPr>
        <w:t>开标时间：</w:t>
      </w:r>
      <w:r>
        <w:rPr>
          <w:rFonts w:hint="eastAsia" w:ascii="宋体" w:hAnsi="宋体"/>
          <w:color w:val="auto"/>
          <w:sz w:val="24"/>
          <w:szCs w:val="24"/>
          <w:lang w:eastAsia="zh-CN"/>
        </w:rPr>
        <w:t>2020年04月20日上午09时00分</w:t>
      </w:r>
    </w:p>
    <w:p>
      <w:pPr>
        <w:spacing w:line="360" w:lineRule="auto"/>
        <w:ind w:firstLine="480" w:firstLineChars="200"/>
        <w:rPr>
          <w:rFonts w:ascii="宋体" w:hAnsi="宋体"/>
          <w:sz w:val="24"/>
          <w:szCs w:val="24"/>
        </w:rPr>
      </w:pPr>
      <w:r>
        <w:rPr>
          <w:rFonts w:hint="eastAsia" w:ascii="宋体" w:hAnsi="宋体"/>
          <w:sz w:val="24"/>
          <w:szCs w:val="24"/>
        </w:rPr>
        <w:t>开标地点：鄂尔多斯市鄂托克前旗公共资源交易中心开标二室（鄂托克前旗公园西路文化产业园东区C2座）</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lang w:val="en-US" w:eastAsia="zh-CN"/>
        </w:rPr>
        <w:t>鄂尔多斯市金博工程项目管理有限公司</w:t>
      </w:r>
    </w:p>
    <w:p>
      <w:pPr>
        <w:spacing w:line="360" w:lineRule="auto"/>
        <w:ind w:right="-140" w:rightChars="-50" w:firstLine="480" w:firstLineChars="200"/>
        <w:rPr>
          <w:rFonts w:hint="eastAsia" w:ascii="宋体" w:hAnsi="宋体" w:eastAsia="宋体"/>
          <w:color w:val="000000"/>
          <w:sz w:val="24"/>
          <w:szCs w:val="24"/>
          <w:lang w:eastAsia="zh-CN"/>
        </w:rPr>
      </w:pPr>
      <w:r>
        <w:rPr>
          <w:rFonts w:hint="eastAsia" w:ascii="宋体" w:hAnsi="宋体"/>
          <w:sz w:val="24"/>
          <w:szCs w:val="24"/>
        </w:rPr>
        <w:t>地址：</w:t>
      </w:r>
      <w:r>
        <w:rPr>
          <w:rFonts w:hint="eastAsia" w:ascii="宋体" w:hAnsi="宋体"/>
          <w:color w:val="000000"/>
          <w:sz w:val="24"/>
          <w:szCs w:val="24"/>
        </w:rPr>
        <w:t>鄂托克前旗</w:t>
      </w:r>
      <w:r>
        <w:rPr>
          <w:rFonts w:hint="eastAsia" w:ascii="宋体" w:hAnsi="宋体"/>
          <w:color w:val="000000"/>
          <w:sz w:val="24"/>
          <w:szCs w:val="24"/>
          <w:lang w:val="en-US" w:eastAsia="zh-CN"/>
        </w:rPr>
        <w:t>敖勒召其镇</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sz w:val="24"/>
          <w:szCs w:val="24"/>
        </w:rPr>
        <w:t>联系人：</w:t>
      </w:r>
      <w:r>
        <w:rPr>
          <w:rFonts w:hint="eastAsia" w:ascii="宋体" w:hAnsi="宋体"/>
          <w:sz w:val="24"/>
          <w:szCs w:val="24"/>
          <w:lang w:eastAsia="zh-CN"/>
        </w:rPr>
        <w:t>林晓伟</w:t>
      </w:r>
      <w:r>
        <w:rPr>
          <w:rFonts w:hint="eastAsia" w:ascii="宋体" w:hAnsi="宋体"/>
          <w:sz w:val="24"/>
          <w:szCs w:val="24"/>
        </w:rPr>
        <w:t xml:space="preserve">      联系电话：</w:t>
      </w:r>
      <w:r>
        <w:rPr>
          <w:rFonts w:hint="eastAsia" w:ascii="宋体" w:hAnsi="宋体"/>
          <w:sz w:val="24"/>
          <w:szCs w:val="24"/>
          <w:lang w:eastAsia="zh-CN"/>
        </w:rPr>
        <w:t>18947706825</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采购单位名称：</w:t>
      </w:r>
      <w:r>
        <w:rPr>
          <w:rFonts w:hint="eastAsia" w:ascii="宋体" w:hAnsi="宋体"/>
          <w:sz w:val="24"/>
          <w:szCs w:val="24"/>
          <w:lang w:eastAsia="zh-CN"/>
        </w:rPr>
        <w:t>鄂托克前旗卫生健康委员会</w:t>
      </w:r>
    </w:p>
    <w:p>
      <w:pPr>
        <w:spacing w:line="360" w:lineRule="auto"/>
        <w:ind w:firstLine="480" w:firstLineChars="200"/>
        <w:rPr>
          <w:rFonts w:ascii="宋体" w:hAnsi="宋体"/>
          <w:sz w:val="24"/>
          <w:szCs w:val="24"/>
        </w:rPr>
      </w:pPr>
      <w:r>
        <w:rPr>
          <w:rFonts w:hint="eastAsia" w:ascii="宋体" w:hAnsi="宋体"/>
          <w:sz w:val="24"/>
          <w:szCs w:val="24"/>
        </w:rPr>
        <w:t>地址：</w:t>
      </w:r>
      <w:r>
        <w:rPr>
          <w:rFonts w:hint="eastAsia" w:ascii="宋体" w:hAnsi="宋体"/>
          <w:color w:val="000000"/>
          <w:sz w:val="24"/>
          <w:szCs w:val="24"/>
        </w:rPr>
        <w:t>鄂托克前旗</w:t>
      </w:r>
      <w:r>
        <w:rPr>
          <w:rFonts w:hint="eastAsia" w:ascii="宋体" w:hAnsi="宋体"/>
          <w:color w:val="000000"/>
          <w:sz w:val="24"/>
          <w:szCs w:val="24"/>
          <w:lang w:val="en-US" w:eastAsia="zh-CN"/>
        </w:rPr>
        <w:t>敖勒召其镇</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梁政银</w:t>
      </w:r>
      <w:r>
        <w:rPr>
          <w:rFonts w:hint="eastAsia" w:ascii="宋体" w:hAnsi="宋体"/>
          <w:sz w:val="24"/>
          <w:szCs w:val="24"/>
        </w:rPr>
        <w:t xml:space="preserve">       联系电话：</w:t>
      </w:r>
      <w:r>
        <w:rPr>
          <w:rFonts w:hint="eastAsia" w:ascii="宋体" w:hAnsi="宋体"/>
          <w:sz w:val="24"/>
          <w:szCs w:val="24"/>
          <w:lang w:eastAsia="zh-CN"/>
        </w:rPr>
        <w:t>13384801185</w:t>
      </w:r>
    </w:p>
    <w:p>
      <w:pPr>
        <w:spacing w:line="360" w:lineRule="auto"/>
        <w:ind w:firstLine="600" w:firstLineChars="250"/>
        <w:rPr>
          <w:rFonts w:ascii="宋体" w:hAnsi="宋体"/>
          <w:sz w:val="24"/>
          <w:szCs w:val="24"/>
        </w:rPr>
      </w:pPr>
      <w:r>
        <w:rPr>
          <w:rFonts w:hint="eastAsia" w:ascii="宋体" w:hAnsi="宋体"/>
          <w:sz w:val="24"/>
          <w:szCs w:val="24"/>
        </w:rPr>
        <w:t xml:space="preserve">                              </w:t>
      </w:r>
    </w:p>
    <w:p>
      <w:pPr>
        <w:pStyle w:val="2"/>
      </w:pPr>
    </w:p>
    <w:p>
      <w:pPr>
        <w:spacing w:line="360" w:lineRule="auto"/>
        <w:ind w:firstLine="3840" w:firstLineChars="1600"/>
        <w:rPr>
          <w:rFonts w:hint="eastAsia" w:ascii="宋体" w:hAnsi="宋体"/>
          <w:sz w:val="24"/>
          <w:szCs w:val="24"/>
          <w:lang w:val="en-US" w:eastAsia="zh-CN"/>
        </w:rPr>
      </w:pPr>
      <w:r>
        <w:rPr>
          <w:rFonts w:hint="eastAsia" w:ascii="宋体" w:hAnsi="宋体"/>
          <w:sz w:val="24"/>
          <w:szCs w:val="24"/>
          <w:lang w:val="en-US" w:eastAsia="zh-CN"/>
        </w:rPr>
        <w:t>鄂尔多斯市金博工程项目管理有限公司</w:t>
      </w:r>
    </w:p>
    <w:p>
      <w:pPr>
        <w:spacing w:line="360" w:lineRule="auto"/>
        <w:ind w:firstLine="4800" w:firstLineChars="2000"/>
        <w:rPr>
          <w:rFonts w:hint="eastAsia" w:ascii="宋体" w:hAnsi="宋体" w:eastAsia="宋体"/>
          <w:color w:val="auto"/>
          <w:sz w:val="24"/>
          <w:szCs w:val="24"/>
          <w:lang w:eastAsia="zh-CN"/>
        </w:rPr>
      </w:pPr>
      <w:r>
        <w:rPr>
          <w:rFonts w:hint="eastAsia" w:ascii="宋体" w:hAnsi="宋体"/>
          <w:color w:val="auto"/>
          <w:sz w:val="24"/>
          <w:szCs w:val="24"/>
          <w:lang w:eastAsia="zh-CN"/>
        </w:rPr>
        <w:t>2020年04月08日</w:t>
      </w:r>
    </w:p>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01"/>
      <w:r>
        <w:rPr>
          <w:rFonts w:hint="eastAsia" w:ascii="宋体" w:hAnsi="宋体"/>
          <w:b/>
          <w:sz w:val="24"/>
          <w:szCs w:val="24"/>
        </w:rPr>
        <w:t>第二章 供应商须知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5"/>
        <w:tblW w:w="9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条款名称</w:t>
            </w:r>
          </w:p>
        </w:tc>
        <w:tc>
          <w:tcPr>
            <w:tcW w:w="6452"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采购人</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4"/>
                <w:szCs w:val="18"/>
                <w:lang w:eastAsia="zh-CN"/>
              </w:rPr>
            </w:pPr>
            <w:r>
              <w:rPr>
                <w:rFonts w:hint="eastAsia"/>
                <w:sz w:val="24"/>
                <w:szCs w:val="18"/>
                <w:lang w:eastAsia="zh-CN"/>
              </w:rPr>
              <w:t>鄂托克前旗卫生健康委员会</w:t>
            </w:r>
          </w:p>
          <w:p>
            <w:pPr>
              <w:spacing w:line="360" w:lineRule="auto"/>
              <w:rPr>
                <w:rFonts w:hint="eastAsia"/>
                <w:sz w:val="24"/>
                <w:szCs w:val="18"/>
                <w:lang w:eastAsia="zh-CN"/>
              </w:rPr>
            </w:pPr>
            <w:r>
              <w:rPr>
                <w:rFonts w:hint="eastAsia"/>
                <w:sz w:val="24"/>
                <w:szCs w:val="18"/>
              </w:rPr>
              <w:t>联系人：</w:t>
            </w:r>
            <w:r>
              <w:rPr>
                <w:rFonts w:hint="eastAsia"/>
                <w:sz w:val="24"/>
                <w:szCs w:val="18"/>
                <w:lang w:eastAsia="zh-CN"/>
              </w:rPr>
              <w:t>梁政银</w:t>
            </w:r>
            <w:r>
              <w:rPr>
                <w:rFonts w:hint="eastAsia"/>
                <w:sz w:val="24"/>
                <w:szCs w:val="18"/>
              </w:rPr>
              <w:t xml:space="preserve">      联系电话：</w:t>
            </w:r>
            <w:r>
              <w:rPr>
                <w:rFonts w:hint="eastAsia"/>
                <w:sz w:val="24"/>
                <w:szCs w:val="18"/>
                <w:lang w:eastAsia="zh-CN"/>
              </w:rPr>
              <w:t>13384801185</w:t>
            </w:r>
          </w:p>
          <w:p>
            <w:pPr>
              <w:spacing w:line="360" w:lineRule="auto"/>
              <w:rPr>
                <w:sz w:val="24"/>
                <w:szCs w:val="18"/>
              </w:rPr>
            </w:pPr>
            <w:r>
              <w:rPr>
                <w:rFonts w:hint="eastAsia"/>
                <w:sz w:val="24"/>
                <w:szCs w:val="18"/>
              </w:rPr>
              <w:t>地址：鄂托克前旗</w:t>
            </w:r>
            <w:r>
              <w:rPr>
                <w:rFonts w:hint="eastAsia"/>
                <w:sz w:val="24"/>
                <w:szCs w:val="18"/>
                <w:lang w:val="en-US" w:eastAsia="zh-CN"/>
              </w:rPr>
              <w:t>敖勒召其镇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采购代理机构</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18"/>
              </w:rPr>
            </w:pPr>
            <w:r>
              <w:rPr>
                <w:rFonts w:hint="eastAsia"/>
                <w:sz w:val="24"/>
                <w:szCs w:val="18"/>
                <w:lang w:val="en-US" w:eastAsia="zh-CN"/>
              </w:rPr>
              <w:t>鄂尔多斯市金博工程项目管理有限公司</w:t>
            </w:r>
            <w:r>
              <w:rPr>
                <w:rFonts w:hint="eastAsia"/>
                <w:sz w:val="24"/>
                <w:szCs w:val="18"/>
              </w:rPr>
              <w:t xml:space="preserve"> </w:t>
            </w:r>
          </w:p>
          <w:p>
            <w:pPr>
              <w:spacing w:line="360" w:lineRule="auto"/>
              <w:rPr>
                <w:rFonts w:hint="eastAsia"/>
                <w:sz w:val="24"/>
                <w:szCs w:val="18"/>
                <w:lang w:eastAsia="zh-CN"/>
              </w:rPr>
            </w:pPr>
            <w:r>
              <w:rPr>
                <w:rFonts w:hint="eastAsia"/>
                <w:sz w:val="24"/>
                <w:szCs w:val="18"/>
              </w:rPr>
              <w:t>联系人：</w:t>
            </w:r>
            <w:r>
              <w:rPr>
                <w:rFonts w:hint="eastAsia"/>
                <w:sz w:val="24"/>
                <w:szCs w:val="18"/>
                <w:lang w:eastAsia="zh-CN"/>
              </w:rPr>
              <w:t>林晓伟</w:t>
            </w:r>
            <w:r>
              <w:rPr>
                <w:rFonts w:hint="eastAsia"/>
                <w:sz w:val="24"/>
                <w:szCs w:val="18"/>
              </w:rPr>
              <w:t xml:space="preserve">      联系电话：</w:t>
            </w:r>
            <w:r>
              <w:rPr>
                <w:rFonts w:hint="eastAsia"/>
                <w:sz w:val="24"/>
                <w:szCs w:val="18"/>
                <w:lang w:eastAsia="zh-CN"/>
              </w:rPr>
              <w:t>18947706825</w:t>
            </w:r>
          </w:p>
          <w:p>
            <w:pPr>
              <w:spacing w:line="360" w:lineRule="auto"/>
              <w:rPr>
                <w:sz w:val="24"/>
                <w:szCs w:val="18"/>
              </w:rPr>
            </w:pPr>
            <w:r>
              <w:rPr>
                <w:rFonts w:hint="eastAsia"/>
                <w:sz w:val="24"/>
                <w:szCs w:val="18"/>
              </w:rPr>
              <w:t>地址：鄂托克前旗</w:t>
            </w:r>
            <w:r>
              <w:rPr>
                <w:rFonts w:hint="eastAsia"/>
                <w:sz w:val="24"/>
                <w:szCs w:val="18"/>
                <w:lang w:val="en-US" w:eastAsia="zh-CN"/>
              </w:rPr>
              <w:t>敖勒召其镇</w:t>
            </w:r>
            <w:r>
              <w:rPr>
                <w:rFonts w:hint="eastAsia"/>
                <w:sz w:val="24"/>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项目内容及要求</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详见磋商文件第四章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采购预算</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lang w:eastAsia="zh-CN"/>
              </w:rPr>
              <w:t>940000</w:t>
            </w:r>
            <w:r>
              <w:rPr>
                <w:sz w:val="24"/>
                <w:szCs w:val="18"/>
              </w:rPr>
              <w:t>.00</w:t>
            </w:r>
            <w:r>
              <w:rPr>
                <w:rFonts w:hint="eastAsia"/>
                <w:sz w:val="24"/>
                <w:szCs w:val="18"/>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分包情况</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☑一整包、□共包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付款方式</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采购方式</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评标办法</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4"/>
                <w:szCs w:val="18"/>
              </w:rPr>
              <w:t>磋商小组数量</w:t>
            </w:r>
          </w:p>
        </w:tc>
        <w:tc>
          <w:tcPr>
            <w:tcW w:w="64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4"/>
                <w:szCs w:val="24"/>
              </w:rPr>
            </w:pPr>
            <w:r>
              <w:rPr>
                <w:rFonts w:hint="eastAsia" w:ascii="宋体" w:hAnsi="宋体"/>
                <w:color w:val="auto"/>
                <w:sz w:val="24"/>
                <w:szCs w:val="24"/>
              </w:rPr>
              <w:t>磋商小组依法组建，由采购人代表和评审专家组成共</w:t>
            </w:r>
            <w:r>
              <w:rPr>
                <w:rFonts w:hint="eastAsia" w:ascii="宋体" w:hAnsi="宋体"/>
                <w:color w:val="auto"/>
                <w:sz w:val="24"/>
                <w:szCs w:val="24"/>
                <w:u w:val="single"/>
              </w:rPr>
              <w:t xml:space="preserve"> 3 </w:t>
            </w:r>
            <w:r>
              <w:rPr>
                <w:rFonts w:hint="eastAsia" w:ascii="宋体" w:hAnsi="宋体"/>
                <w:color w:val="auto"/>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成交供应商确定</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□采购人授权磋商小组按照评审原则直接确定成交供应商。</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☑采购人按照评标报告中推荐的成交候选人确定成交供应商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供应商资格要求</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从提交响应文件的截止之日起90日历天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提交响应文件时间</w:t>
            </w:r>
          </w:p>
        </w:tc>
        <w:tc>
          <w:tcPr>
            <w:tcW w:w="6452" w:type="dxa"/>
            <w:tcBorders>
              <w:top w:val="single" w:color="auto" w:sz="4" w:space="0"/>
              <w:left w:val="single" w:color="auto" w:sz="4" w:space="0"/>
              <w:bottom w:val="single" w:color="auto" w:sz="4" w:space="0"/>
              <w:right w:val="single" w:color="auto" w:sz="4" w:space="0"/>
            </w:tcBorders>
            <w:vAlign w:val="center"/>
          </w:tcPr>
          <w:p>
            <w:pPr>
              <w:rPr>
                <w:rFonts w:hint="eastAsia"/>
                <w:sz w:val="24"/>
                <w:szCs w:val="18"/>
                <w:lang w:eastAsia="zh-CN"/>
              </w:rPr>
            </w:pPr>
            <w:r>
              <w:rPr>
                <w:rFonts w:hint="eastAsia"/>
                <w:sz w:val="24"/>
                <w:szCs w:val="18"/>
                <w:lang w:eastAsia="zh-CN"/>
              </w:rPr>
              <w:t>2020年04月20日08时</w:t>
            </w:r>
            <w:r>
              <w:rPr>
                <w:rFonts w:hint="eastAsia"/>
                <w:sz w:val="24"/>
                <w:szCs w:val="18"/>
              </w:rPr>
              <w:t>30分--</w:t>
            </w:r>
            <w:r>
              <w:rPr>
                <w:rFonts w:hint="eastAsia"/>
                <w:sz w:val="24"/>
                <w:szCs w:val="18"/>
                <w:lang w:val="en-US" w:eastAsia="zh-CN"/>
              </w:rPr>
              <w:t>09</w:t>
            </w:r>
            <w:r>
              <w:rPr>
                <w:rFonts w:hint="eastAsia"/>
                <w:sz w:val="24"/>
                <w:szCs w:val="18"/>
                <w:lang w:eastAsia="zh-CN"/>
              </w:rPr>
              <w:t>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开标时间</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lang w:eastAsia="zh-CN"/>
              </w:rPr>
              <w:t>2020年04月20日09时00分</w:t>
            </w:r>
            <w:r>
              <w:rPr>
                <w:rFonts w:hint="eastAsia"/>
                <w:sz w:val="24"/>
                <w:szCs w:val="18"/>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开标地点</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鄂尔多斯市鄂托克前旗公共资源交易中心开标二室（鄂托克前旗公园西路文化产业园东区C2座）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000000"/>
                <w:sz w:val="24"/>
                <w:szCs w:val="24"/>
              </w:rPr>
            </w:pPr>
            <w:r>
              <w:rPr>
                <w:rFonts w:hint="eastAsia" w:ascii="宋体" w:hAnsi="宋体"/>
                <w:color w:val="000000"/>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响应文件数量</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正本1份、副本2份，电子U盘</w:t>
            </w:r>
            <w:r>
              <w:rPr>
                <w:rFonts w:hint="eastAsia"/>
                <w:sz w:val="24"/>
                <w:szCs w:val="18"/>
                <w:lang w:val="en-US" w:eastAsia="zh-CN"/>
              </w:rPr>
              <w:t>3</w:t>
            </w:r>
            <w:r>
              <w:rPr>
                <w:rFonts w:hint="eastAsia"/>
                <w:sz w:val="24"/>
                <w:szCs w:val="18"/>
              </w:rPr>
              <w:t>份（标明</w:t>
            </w:r>
            <w:r>
              <w:rPr>
                <w:rFonts w:hint="eastAsia"/>
                <w:sz w:val="24"/>
                <w:szCs w:val="18"/>
                <w:lang w:eastAsia="zh-CN"/>
              </w:rPr>
              <w:t>供应商</w:t>
            </w:r>
            <w:r>
              <w:rPr>
                <w:rFonts w:hint="eastAsia"/>
                <w:sz w:val="24"/>
                <w:szCs w:val="18"/>
              </w:rPr>
              <w:t>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投标现场演示</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现场踏勘</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备选方案</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联合体投标</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履约保证金</w:t>
            </w:r>
          </w:p>
        </w:tc>
        <w:tc>
          <w:tcPr>
            <w:tcW w:w="6452" w:type="dxa"/>
            <w:tcBorders>
              <w:top w:val="single" w:color="auto" w:sz="4" w:space="0"/>
              <w:left w:val="single" w:color="auto" w:sz="4" w:space="0"/>
              <w:bottom w:val="single" w:color="auto" w:sz="4" w:space="0"/>
              <w:right w:val="single" w:color="auto" w:sz="4" w:space="0"/>
            </w:tcBorders>
            <w:vAlign w:val="center"/>
          </w:tcPr>
          <w:p>
            <w:pPr>
              <w:rPr>
                <w:rFonts w:hint="eastAsia"/>
                <w:sz w:val="24"/>
                <w:szCs w:val="18"/>
                <w:lang w:eastAsia="zh-CN"/>
              </w:rPr>
            </w:pPr>
            <w:r>
              <w:rPr>
                <w:rFonts w:hint="eastAsia"/>
                <w:sz w:val="24"/>
                <w:szCs w:val="18"/>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jc w:val="center"/>
              <w:rPr>
                <w:sz w:val="24"/>
                <w:szCs w:val="18"/>
              </w:rPr>
            </w:pPr>
            <w:r>
              <w:rPr>
                <w:rFonts w:hint="eastAsia"/>
                <w:sz w:val="24"/>
                <w:szCs w:val="18"/>
              </w:rPr>
              <w:t>采购机构代理费用</w:t>
            </w:r>
          </w:p>
        </w:tc>
        <w:tc>
          <w:tcPr>
            <w:tcW w:w="6452" w:type="dxa"/>
            <w:tcBorders>
              <w:top w:val="single" w:color="auto" w:sz="4" w:space="0"/>
              <w:left w:val="single" w:color="auto" w:sz="4" w:space="0"/>
              <w:bottom w:val="single" w:color="auto" w:sz="4" w:space="0"/>
              <w:right w:val="single" w:color="auto" w:sz="4" w:space="0"/>
            </w:tcBorders>
            <w:vAlign w:val="center"/>
          </w:tcPr>
          <w:p>
            <w:pPr>
              <w:rPr>
                <w:sz w:val="24"/>
                <w:szCs w:val="18"/>
              </w:rPr>
            </w:pPr>
            <w:r>
              <w:rPr>
                <w:rFonts w:hint="eastAsia"/>
                <w:sz w:val="24"/>
                <w:szCs w:val="18"/>
                <w:lang w:val="en-US" w:eastAsia="zh-CN"/>
              </w:rPr>
              <w:t>由中标人支付，按内蒙古自治区工程建设协会文件，内工建协[2016]17号文件规定收费收取。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投标保证金</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本招标项目采用“虚拟子账户”形式及法律法规规定的其它缴纳方式收退投标保证金。请各</w:t>
            </w:r>
            <w:r>
              <w:rPr>
                <w:rFonts w:hint="eastAsia" w:ascii="宋体" w:hAnsi="宋体"/>
                <w:sz w:val="24"/>
                <w:szCs w:val="24"/>
                <w:lang w:eastAsia="zh-CN"/>
              </w:rPr>
              <w:t>供应商</w:t>
            </w:r>
            <w:r>
              <w:rPr>
                <w:rFonts w:hint="eastAsia" w:ascii="宋体" w:hAnsi="宋体"/>
                <w:sz w:val="24"/>
                <w:szCs w:val="24"/>
              </w:rPr>
              <w:t>特别关注并严格遵照招标文件中有关投标保证金缴纳的规定。</w:t>
            </w:r>
          </w:p>
          <w:p>
            <w:pPr>
              <w:spacing w:line="360" w:lineRule="auto"/>
              <w:ind w:left="-140" w:leftChars="-50" w:right="-140" w:rightChars="-50"/>
              <w:rPr>
                <w:rFonts w:hint="eastAsia" w:ascii="宋体" w:hAnsi="宋体"/>
                <w:bCs/>
                <w:sz w:val="24"/>
                <w:szCs w:val="24"/>
              </w:rPr>
            </w:pPr>
            <w:r>
              <w:rPr>
                <w:rFonts w:hint="eastAsia" w:ascii="宋体" w:hAnsi="宋体"/>
                <w:bCs/>
                <w:sz w:val="24"/>
                <w:szCs w:val="24"/>
              </w:rPr>
              <w:t>保证金人民币：</w:t>
            </w:r>
          </w:p>
          <w:p>
            <w:pPr>
              <w:spacing w:line="360" w:lineRule="auto"/>
              <w:ind w:left="-140" w:leftChars="-50" w:right="-140" w:rightChars="-50" w:firstLine="482" w:firstLineChars="200"/>
              <w:rPr>
                <w:rFonts w:hint="eastAsia" w:ascii="宋体" w:hAnsi="宋体"/>
                <w:b/>
                <w:bCs w:val="0"/>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14:textFill>
                  <w14:solidFill>
                    <w14:schemeClr w14:val="tx1"/>
                  </w14:solidFill>
                </w14:textFill>
              </w:rPr>
              <w:t>大写：壹万捌仟</w:t>
            </w:r>
            <w:r>
              <w:rPr>
                <w:rFonts w:hint="eastAsia" w:ascii="宋体" w:hAnsi="宋体"/>
                <w:b/>
                <w:bCs w:val="0"/>
                <w:color w:val="000000" w:themeColor="text1"/>
                <w:sz w:val="24"/>
                <w:szCs w:val="24"/>
                <w14:textFill>
                  <w14:solidFill>
                    <w14:schemeClr w14:val="tx1"/>
                  </w14:solidFill>
                </w14:textFill>
              </w:rPr>
              <w:t xml:space="preserve">元整 </w:t>
            </w:r>
          </w:p>
          <w:p>
            <w:pPr>
              <w:spacing w:line="360" w:lineRule="auto"/>
              <w:ind w:left="-140" w:leftChars="-50" w:right="-140" w:rightChars="-50" w:firstLine="482" w:firstLineChars="200"/>
              <w:rPr>
                <w:rFonts w:ascii="宋体" w:hAnsi="宋体"/>
                <w:b/>
                <w:bCs w:val="0"/>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14:textFill>
                  <w14:solidFill>
                    <w14:schemeClr w14:val="tx1"/>
                  </w14:solidFill>
                </w14:textFill>
              </w:rPr>
              <w:t>小写：18000</w:t>
            </w:r>
            <w:r>
              <w:rPr>
                <w:rFonts w:hint="eastAsia" w:ascii="宋体" w:hAnsi="宋体"/>
                <w:b/>
                <w:bCs w:val="0"/>
                <w:color w:val="000000" w:themeColor="text1"/>
                <w:sz w:val="24"/>
                <w:szCs w:val="24"/>
                <w14:textFill>
                  <w14:solidFill>
                    <w14:schemeClr w14:val="tx1"/>
                  </w14:solidFill>
                </w14:textFill>
              </w:rPr>
              <w:t>.00元</w:t>
            </w:r>
          </w:p>
          <w:p>
            <w:pPr>
              <w:spacing w:line="360" w:lineRule="auto"/>
              <w:ind w:left="-140" w:leftChars="-50" w:right="-140" w:rightChars="-50"/>
              <w:rPr>
                <w:rFonts w:ascii="宋体" w:hAnsi="宋体"/>
                <w:sz w:val="24"/>
                <w:szCs w:val="24"/>
              </w:rPr>
            </w:pPr>
            <w:r>
              <w:rPr>
                <w:rFonts w:hint="eastAsia" w:ascii="宋体" w:hAnsi="宋体"/>
                <w:sz w:val="24"/>
                <w:szCs w:val="24"/>
              </w:rPr>
              <w:t>开户银行：鄂托克前旗农村商业银行股份有限公司。</w:t>
            </w:r>
          </w:p>
          <w:p>
            <w:pPr>
              <w:spacing w:line="360" w:lineRule="auto"/>
              <w:ind w:left="-140" w:leftChars="-50" w:right="-140" w:rightChars="-50"/>
              <w:rPr>
                <w:rFonts w:ascii="宋体" w:hAnsi="宋体"/>
                <w:sz w:val="24"/>
                <w:szCs w:val="24"/>
              </w:rPr>
            </w:pPr>
            <w:r>
              <w:rPr>
                <w:rFonts w:hint="eastAsia" w:ascii="宋体" w:hAnsi="宋体"/>
                <w:sz w:val="24"/>
                <w:szCs w:val="24"/>
              </w:rPr>
              <w:t>行号：402205481279。</w:t>
            </w:r>
          </w:p>
          <w:p>
            <w:pPr>
              <w:spacing w:line="360" w:lineRule="auto"/>
              <w:ind w:left="-140" w:leftChars="-50" w:right="-140" w:rightChars="-50"/>
              <w:rPr>
                <w:rFonts w:ascii="宋体" w:hAnsi="宋体"/>
                <w:sz w:val="24"/>
                <w:szCs w:val="24"/>
              </w:rPr>
            </w:pPr>
            <w:r>
              <w:rPr>
                <w:rFonts w:hint="eastAsia" w:ascii="宋体" w:hAnsi="宋体"/>
                <w:sz w:val="24"/>
                <w:szCs w:val="24"/>
              </w:rPr>
              <w:t>开户单位：鄂尔多斯市鄂托克前旗公共资源交易中心。</w:t>
            </w:r>
          </w:p>
          <w:p>
            <w:pPr>
              <w:spacing w:line="360" w:lineRule="auto"/>
              <w:ind w:left="-140" w:leftChars="-50" w:right="-140" w:rightChars="-50"/>
              <w:rPr>
                <w:rFonts w:ascii="宋体" w:hAnsi="宋体"/>
                <w:sz w:val="24"/>
                <w:szCs w:val="24"/>
              </w:rPr>
            </w:pPr>
            <w:r>
              <w:rPr>
                <w:rFonts w:hint="eastAsia" w:ascii="宋体" w:hAnsi="宋体"/>
                <w:sz w:val="24"/>
                <w:szCs w:val="24"/>
              </w:rPr>
              <w:t>账号：详见“政府采购投标信息回执函”下方所附“保证金缴纳信息”中载明的账号。</w:t>
            </w:r>
          </w:p>
          <w:p>
            <w:pPr>
              <w:spacing w:line="360" w:lineRule="auto"/>
              <w:rPr>
                <w:rFonts w:ascii="宋体" w:hAnsi="宋体"/>
                <w:color w:val="000000"/>
                <w:sz w:val="24"/>
                <w:szCs w:val="24"/>
              </w:rPr>
            </w:pPr>
            <w:r>
              <w:rPr>
                <w:rFonts w:hint="eastAsia" w:ascii="宋体" w:hAnsi="宋体"/>
                <w:sz w:val="24"/>
                <w:szCs w:val="24"/>
              </w:rPr>
              <w:t>投标保证金缴纳、退还联系人：白俊艳   0477—7625245投标</w:t>
            </w:r>
            <w:r>
              <w:rPr>
                <w:rFonts w:hint="eastAsia" w:ascii="宋体" w:hAnsi="宋体" w:cs="宋体"/>
                <w:kern w:val="0"/>
                <w:sz w:val="24"/>
                <w:szCs w:val="24"/>
              </w:rPr>
              <w:t>保证金缴纳截止时间：</w:t>
            </w:r>
            <w:r>
              <w:rPr>
                <w:rFonts w:hint="eastAsia" w:ascii="宋体" w:hAnsi="宋体" w:cs="宋体"/>
                <w:color w:val="auto"/>
                <w:kern w:val="0"/>
                <w:sz w:val="24"/>
                <w:szCs w:val="24"/>
                <w:lang w:eastAsia="zh-CN"/>
              </w:rPr>
              <w:t>2020年04月20日上午09时00分</w:t>
            </w:r>
            <w:r>
              <w:rPr>
                <w:rFonts w:hint="eastAsia" w:ascii="宋体" w:hAnsi="宋体" w:cs="宋体"/>
                <w:color w:val="auto"/>
                <w:kern w:val="0"/>
                <w:sz w:val="24"/>
                <w:szCs w:val="24"/>
              </w:rPr>
              <w:t>前。</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登录登录《鄂尔多斯市公共资源交易网》（http://www.ordosggzyjy.org.cn）或《鄂尔多斯市鄂托克前旗公共资源交易中心网》（http://www.ordosggzyjy.org.cn/TPFront_etkqq/）页面</w:t>
      </w:r>
      <w:r>
        <w:rPr>
          <w:rFonts w:hint="eastAsia" w:ascii="宋体" w:hAnsi="宋体" w:cs="宋体"/>
          <w:kern w:val="0"/>
          <w:sz w:val="24"/>
          <w:szCs w:val="24"/>
        </w:rPr>
        <w:t>，点击“政府采购”中的“采购公告”栏，打开本项目的磋商公告，点击公告页面下方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本磋商项目采用“虚拟子账号”形式收退投标保证金，每一个供应商在所投的每一项目或标包会自动生成一个账号，</w:t>
      </w:r>
      <w:r>
        <w:rPr>
          <w:rFonts w:hint="eastAsia" w:ascii="宋体" w:hAnsi="宋体" w:cs="宋体"/>
          <w:kern w:val="0"/>
          <w:sz w:val="24"/>
          <w:szCs w:val="24"/>
        </w:rPr>
        <w:t>称为“虚拟子账号”。供应商</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”下方所载明的账号，并按照磋商文件规定的金额、时间电汇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至上述账号中，付款人名称必须为投标单位全称且与报名信息一致，该账号可以自动识别单位名称、缴纳金额金额是否正确，缴纳时间是否符合磋商文件的规定，如果不符合，一律不予收取。   </w:t>
      </w:r>
    </w:p>
    <w:p>
      <w:pPr>
        <w:spacing w:line="360" w:lineRule="auto"/>
        <w:ind w:firstLine="480" w:firstLineChars="200"/>
        <w:textAlignment w:val="baseline"/>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2.报名时间及报名截止时间（网上报名）</w:t>
      </w:r>
    </w:p>
    <w:p>
      <w:pPr>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2.1报名时间（磋商文件提供期限）：</w:t>
      </w:r>
      <w:r>
        <w:rPr>
          <w:rFonts w:hint="eastAsia" w:ascii="宋体" w:hAnsi="宋体"/>
          <w:color w:val="auto"/>
          <w:sz w:val="24"/>
          <w:szCs w:val="24"/>
          <w:lang w:eastAsia="zh-CN"/>
        </w:rPr>
        <w:t>2020年04月08日</w:t>
      </w:r>
      <w:r>
        <w:rPr>
          <w:rFonts w:hint="eastAsia" w:ascii="宋体" w:hAnsi="宋体"/>
          <w:color w:val="auto"/>
          <w:sz w:val="24"/>
          <w:szCs w:val="24"/>
        </w:rPr>
        <w:t>至</w:t>
      </w:r>
      <w:r>
        <w:rPr>
          <w:rFonts w:hint="eastAsia" w:ascii="宋体" w:hAnsi="宋体"/>
          <w:color w:val="auto"/>
          <w:sz w:val="24"/>
          <w:szCs w:val="24"/>
          <w:lang w:eastAsia="zh-CN"/>
        </w:rPr>
        <w:t>2020年04月15日</w:t>
      </w:r>
      <w:r>
        <w:rPr>
          <w:rFonts w:hint="eastAsia" w:ascii="宋体" w:hAnsi="宋体"/>
          <w:color w:val="auto"/>
          <w:sz w:val="24"/>
          <w:szCs w:val="24"/>
        </w:rPr>
        <w:t>下午17时30分止</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2.2保证金缴纳截止时间（同提交响应文件截止时间）：</w:t>
      </w:r>
      <w:r>
        <w:rPr>
          <w:rFonts w:hint="eastAsia" w:ascii="宋体" w:hAnsi="宋体"/>
          <w:color w:val="auto"/>
          <w:sz w:val="24"/>
          <w:szCs w:val="24"/>
          <w:lang w:eastAsia="zh-CN"/>
        </w:rPr>
        <w:t>2020年04月20日上午09时00分</w:t>
      </w:r>
      <w:r>
        <w:rPr>
          <w:rFonts w:hint="eastAsia" w:ascii="宋体" w:hAnsi="宋体"/>
          <w:color w:val="auto"/>
          <w:sz w:val="24"/>
          <w:szCs w:val="24"/>
        </w:rPr>
        <w:t>。</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供应商在完成保证金缴纳后，应及时用“回执码”登陆查询报名状况，关注所投项目或标包的保证金缴纳确认状态，如果在开标前仍显示“未缴纳”状态时，应及时查找原因，必要时可联系财务人员进行咨询，以确保投标保证金缴纳情况符合磋商文件规定。供应商未按照磋商文件要求缴纳投标保证金导致的一切后果由供应商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3.2由于投标保证金到账需要一定时间，请供应商在投标截止前及早缴纳，以免导致报名无效。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3.4网上报名成功而放弃参加投标的供应商，请在提交响应文件前以书面形式并加盖单位公章（扫描件发送至</w:t>
      </w:r>
      <w:r>
        <w:rPr>
          <w:color w:val="auto"/>
        </w:rPr>
        <w:fldChar w:fldCharType="begin"/>
      </w:r>
      <w:r>
        <w:rPr>
          <w:color w:val="auto"/>
        </w:rPr>
        <w:instrText xml:space="preserve"> HYPERLINK "javascript:;" </w:instrText>
      </w:r>
      <w:r>
        <w:rPr>
          <w:color w:val="auto"/>
        </w:rPr>
        <w:fldChar w:fldCharType="separate"/>
      </w:r>
      <w:r>
        <w:rPr>
          <w:rStyle w:val="32"/>
          <w:rFonts w:hint="eastAsia" w:ascii="宋体" w:hAnsi="宋体" w:cs="宋体"/>
          <w:color w:val="auto"/>
          <w:kern w:val="0"/>
          <w:sz w:val="24"/>
          <w:szCs w:val="24"/>
          <w:lang w:eastAsia="zh-CN"/>
        </w:rPr>
        <w:t>117826335</w:t>
      </w:r>
      <w:r>
        <w:rPr>
          <w:rStyle w:val="32"/>
          <w:rFonts w:hint="eastAsia" w:ascii="宋体" w:hAnsi="宋体" w:cs="宋体"/>
          <w:color w:val="auto"/>
          <w:kern w:val="0"/>
          <w:sz w:val="24"/>
          <w:szCs w:val="24"/>
        </w:rPr>
        <w:t>@qq.com</w:t>
      </w:r>
      <w:r>
        <w:rPr>
          <w:rStyle w:val="32"/>
          <w:rFonts w:hint="eastAsia" w:ascii="宋体" w:hAnsi="宋体" w:cs="宋体"/>
          <w:color w:val="auto"/>
          <w:kern w:val="0"/>
          <w:sz w:val="24"/>
          <w:szCs w:val="24"/>
        </w:rPr>
        <w:fldChar w:fldCharType="end"/>
      </w:r>
      <w:r>
        <w:rPr>
          <w:rFonts w:hint="eastAsia" w:ascii="宋体" w:hAnsi="宋体"/>
          <w:sz w:val="24"/>
          <w:szCs w:val="24"/>
        </w:rPr>
        <w:t>或书面送达）通知鄂尔多斯市鄂托克前旗公共资源交易中心，并在网上报名页面中撤销报名。放弃投标未予告知的，鄂尔多斯市鄂托克前旗公共资源交易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0" w:firstLineChars="200"/>
        <w:rPr>
          <w:rFonts w:ascii="宋体" w:hAnsi="宋体" w:cs="宋体"/>
          <w:b/>
          <w:sz w:val="24"/>
          <w:szCs w:val="24"/>
        </w:rPr>
      </w:pPr>
      <w:r>
        <w:rPr>
          <w:rFonts w:hint="eastAsia" w:ascii="宋体" w:hAnsi="宋体" w:cs="宋体"/>
          <w:sz w:val="24"/>
          <w:szCs w:val="24"/>
        </w:rPr>
        <w:t>本磋商文件依据《中华人民共和国政府采购法》、《中华人民共和国政府采购法实施条例》和《政府采购竞争性磋商采购方式管理暂行办法》（财库〔2014〕214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供应商应仔细阅读本项目信息公告及磋商文件的所有内容（包括变更、补充、澄清以及修改等，且均为磋商文件的组成部分），按照磋商文件要求以及格式编制响应文件，并保证其真实性，否则一切后果自负。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本次竞争性磋商项目，</w:t>
      </w:r>
      <w:r>
        <w:rPr>
          <w:rFonts w:ascii="宋体" w:hAnsi="宋体"/>
          <w:sz w:val="24"/>
          <w:szCs w:val="24"/>
        </w:rPr>
        <w:t>是以磋商公告的方式邀请非特定的供应商参加投标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本磋商文件所称货物，是指各种形态和种类的物品。提供的货物必须合法生产或销售且符合国家有关标准要求。</w:t>
      </w:r>
    </w:p>
    <w:p>
      <w:pPr>
        <w:pStyle w:val="16"/>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6"/>
        <w:adjustRightInd w:val="0"/>
        <w:snapToGrid w:val="0"/>
        <w:spacing w:line="360" w:lineRule="auto"/>
        <w:ind w:firstLine="480" w:firstLineChars="200"/>
        <w:rPr>
          <w:rFonts w:hAnsi="宋体"/>
          <w:b/>
          <w:kern w:val="2"/>
          <w:sz w:val="24"/>
          <w:szCs w:val="24"/>
        </w:rPr>
      </w:pPr>
      <w:r>
        <w:rPr>
          <w:rFonts w:hint="eastAsia" w:hAnsi="宋体" w:cs="宋体"/>
          <w:sz w:val="24"/>
          <w:szCs w:val="24"/>
        </w:rPr>
        <w:t>本磋商文件仅适用于本次磋商公告中所涉及的项目和内容。</w:t>
      </w:r>
    </w:p>
    <w:p>
      <w:pPr>
        <w:pStyle w:val="16"/>
        <w:adjustRightInd w:val="0"/>
        <w:snapToGrid w:val="0"/>
        <w:spacing w:line="360" w:lineRule="auto"/>
        <w:rPr>
          <w:rFonts w:hAnsi="宋体"/>
          <w:b/>
          <w:sz w:val="24"/>
          <w:szCs w:val="24"/>
        </w:rPr>
      </w:pPr>
      <w:r>
        <w:rPr>
          <w:rFonts w:hint="eastAsia" w:hAnsi="宋体"/>
          <w:b/>
          <w:sz w:val="24"/>
          <w:szCs w:val="24"/>
        </w:rPr>
        <w:t>3.投标费用</w:t>
      </w:r>
    </w:p>
    <w:p>
      <w:pPr>
        <w:spacing w:line="360" w:lineRule="auto"/>
        <w:ind w:firstLine="480" w:firstLineChars="200"/>
        <w:rPr>
          <w:rFonts w:hAnsi="宋体" w:cs="Arial"/>
          <w:color w:val="000000"/>
          <w:sz w:val="24"/>
          <w:szCs w:val="24"/>
        </w:rPr>
      </w:pPr>
      <w:r>
        <w:rPr>
          <w:rFonts w:hint="eastAsia" w:hAnsi="宋体"/>
          <w:sz w:val="24"/>
          <w:szCs w:val="24"/>
        </w:rPr>
        <w:t>3.1供应商应承担所有与准备和参加投标有关的费用。不论投标结果如何，</w:t>
      </w:r>
      <w:r>
        <w:rPr>
          <w:rFonts w:hint="eastAsia" w:hAnsi="宋体"/>
          <w:sz w:val="24"/>
          <w:szCs w:val="24"/>
          <w:lang w:val="en-US" w:eastAsia="zh-CN"/>
        </w:rPr>
        <w:t>鄂尔多斯市金博工程项目管理有限公司</w:t>
      </w:r>
      <w:r>
        <w:rPr>
          <w:rFonts w:hint="eastAsia" w:hAnsi="宋体" w:cs="Arial"/>
          <w:color w:val="000000"/>
          <w:sz w:val="24"/>
          <w:szCs w:val="24"/>
        </w:rPr>
        <w:t>和采购人均无义务和责任承担相关费用。</w:t>
      </w:r>
    </w:p>
    <w:p>
      <w:pPr>
        <w:spacing w:line="360" w:lineRule="auto"/>
        <w:ind w:firstLine="480" w:firstLineChars="200"/>
        <w:rPr>
          <w:rFonts w:hAnsi="宋体" w:cs="Arial"/>
          <w:color w:val="auto"/>
          <w:sz w:val="24"/>
          <w:szCs w:val="24"/>
        </w:rPr>
      </w:pPr>
      <w:r>
        <w:rPr>
          <w:rFonts w:hint="eastAsia" w:ascii="宋体" w:hAnsi="宋体"/>
          <w:color w:val="auto"/>
          <w:sz w:val="24"/>
          <w:szCs w:val="24"/>
        </w:rPr>
        <w:t>3.2每标包中标人需承担本次项目评审专家劳务费（根据实际情况收取）。</w:t>
      </w:r>
    </w:p>
    <w:p>
      <w:pPr>
        <w:spacing w:line="360" w:lineRule="auto"/>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依法进行政府采购的国家机关、事业单位、团体组织。本磋商文件的采购人特指</w:t>
      </w:r>
      <w:r>
        <w:rPr>
          <w:rFonts w:hint="eastAsia" w:asciiTheme="minorEastAsia" w:hAnsiTheme="minorEastAsia" w:eastAsiaTheme="minorEastAsia"/>
          <w:b/>
          <w:bCs/>
          <w:sz w:val="24"/>
          <w:szCs w:val="24"/>
          <w:lang w:eastAsia="zh-CN"/>
        </w:rPr>
        <w:t>鄂托克前旗卫生健康委员会</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4.2“集中采购机构”是指人民政府依法设立的代理集中采购项目的执行机构。本磋商文件的集中采购机构特指</w:t>
      </w:r>
      <w:r>
        <w:rPr>
          <w:rFonts w:hint="eastAsia" w:ascii="宋体" w:hAnsi="宋体"/>
          <w:b/>
          <w:bCs/>
          <w:color w:val="000000"/>
          <w:sz w:val="24"/>
          <w:szCs w:val="24"/>
          <w:lang w:val="en-US" w:eastAsia="zh-CN"/>
        </w:rPr>
        <w:t>鄂尔多斯市金博工程项目管理有限公司</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4.3“供应商”是指向采购人提供货物、工程或者服务的法人、其他组织或者自然人。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4.4“磋商小组”是指根据《中华人民共和国政府采购法》等法律法规规定，由采购人代表和有关专家组成以确定成交供应商或者推荐成交候选人的临时组织。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4.5“成交供应商”是指经磋商小组评审确定的对磋商文件做出实质性响应，取得与采购人签订合同资格的供应商。</w:t>
      </w:r>
    </w:p>
    <w:p>
      <w:pPr>
        <w:spacing w:line="360" w:lineRule="auto"/>
        <w:rPr>
          <w:rFonts w:ascii="宋体" w:hAnsi="宋体"/>
          <w:b/>
          <w:color w:val="000000"/>
          <w:sz w:val="24"/>
          <w:szCs w:val="24"/>
        </w:rPr>
      </w:pPr>
      <w:r>
        <w:rPr>
          <w:rFonts w:hint="eastAsia" w:ascii="宋体" w:hAnsi="宋体"/>
          <w:b/>
          <w:color w:val="000000"/>
          <w:sz w:val="24"/>
          <w:szCs w:val="24"/>
        </w:rPr>
        <w:t>5.合格的供应商</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 符合本磋商文件规定的资格要求，并按照要求提供相关证明材料。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5.3单位负责人为同一人或者存在直接控股、管理关系的不同供应商，不得参加同一合同项下的政府采购活动。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5.4为采购项目提供整体设计、规范编制或者项目管理、监理、检测等服务的供应商，不得再参加该采购项目的其他采购活动。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5.5由于法人分支机构不能独立承担民事责任，不能以分支机构的身份参加政府采购，只能以法人身份参加。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6.1联合体各方应签订联合体协议书，明确联合体牵头人和各方权利义务，并装订至响应文件中。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同一资质条件的供应商组成的联合体，应当按照资质等级较低的供应商确定联合体资质等级。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8.1磋商文件规定组织踏勘现场的，采购人按磋商文件规定的时间、地点组织供应商踏勘项目现场。 </w:t>
      </w:r>
    </w:p>
    <w:p>
      <w:pPr>
        <w:spacing w:line="360" w:lineRule="auto"/>
        <w:ind w:firstLine="480" w:firstLineChars="200"/>
        <w:rPr>
          <w:rFonts w:ascii="宋体" w:hAnsi="宋体"/>
          <w:sz w:val="24"/>
          <w:szCs w:val="24"/>
        </w:rPr>
      </w:pPr>
      <w:r>
        <w:rPr>
          <w:rFonts w:hint="eastAsia" w:ascii="宋体" w:hAnsi="宋体"/>
          <w:sz w:val="24"/>
          <w:szCs w:val="24"/>
        </w:rPr>
        <w:t>8.2供应商自行承担踏勘现场发生的责任、风险和自身费用。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8.3采购人在踏勘现场中介绍的资料和数据等，不构成对磋商文件的修改或不作为供应商编制响应文件的依据。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无论中标与否供应商递交的响应文件均不予退还。</w:t>
      </w:r>
    </w:p>
    <w:p>
      <w:pPr>
        <w:spacing w:line="360" w:lineRule="auto"/>
        <w:rPr>
          <w:rFonts w:ascii="宋体" w:hAnsi="宋体"/>
          <w:b/>
          <w:sz w:val="24"/>
          <w:szCs w:val="24"/>
        </w:rPr>
      </w:pPr>
      <w:r>
        <w:rPr>
          <w:rFonts w:hint="eastAsia" w:ascii="宋体" w:hAnsi="宋体"/>
          <w:b/>
          <w:sz w:val="24"/>
          <w:szCs w:val="24"/>
        </w:rPr>
        <w:t>四.磋商文件的澄清或者修改</w:t>
      </w:r>
    </w:p>
    <w:p>
      <w:pPr>
        <w:spacing w:line="360" w:lineRule="auto"/>
        <w:ind w:firstLine="480" w:firstLineChars="200"/>
        <w:rPr>
          <w:rFonts w:ascii="宋体" w:hAnsi="宋体"/>
          <w:sz w:val="24"/>
          <w:szCs w:val="24"/>
        </w:rPr>
      </w:pPr>
      <w:r>
        <w:rPr>
          <w:rFonts w:hint="eastAsia" w:ascii="宋体" w:hAnsi="宋体"/>
          <w:sz w:val="24"/>
          <w:szCs w:val="24"/>
        </w:rPr>
        <w:t>提交首次响应文件截止之日前，采购人、</w:t>
      </w:r>
      <w:r>
        <w:rPr>
          <w:rFonts w:hint="eastAsia" w:ascii="宋体" w:hAnsi="宋体"/>
          <w:sz w:val="24"/>
          <w:szCs w:val="24"/>
          <w:lang w:val="en-US" w:eastAsia="zh-CN"/>
        </w:rPr>
        <w:t>鄂尔多斯市金博工程项目管理有限公司</w:t>
      </w:r>
      <w:r>
        <w:rPr>
          <w:rFonts w:hint="eastAsia" w:ascii="宋体" w:hAnsi="宋体"/>
          <w:sz w:val="24"/>
          <w:szCs w:val="24"/>
        </w:rPr>
        <w:t>或者磋商小组可以对已发出的磋商文件进行必要的澄清或者修改，澄清或者修改的内容作为磋商文件的组成部分。澄清或者修改的内容可能影响响应文件编制的，采购人、</w:t>
      </w:r>
      <w:r>
        <w:rPr>
          <w:rFonts w:hint="eastAsia" w:ascii="宋体" w:hAnsi="宋体"/>
          <w:sz w:val="24"/>
          <w:szCs w:val="24"/>
          <w:lang w:val="en-US" w:eastAsia="zh-CN"/>
        </w:rPr>
        <w:t>鄂尔多斯市金博工程项目管理有限公司</w:t>
      </w:r>
      <w:r>
        <w:rPr>
          <w:rFonts w:hint="eastAsia" w:ascii="宋体" w:hAnsi="宋体"/>
          <w:sz w:val="24"/>
          <w:szCs w:val="24"/>
        </w:rPr>
        <w:t>应当在提交首次响应文件截止时间至少5日前，不足5日的，采购人、</w:t>
      </w:r>
      <w:r>
        <w:rPr>
          <w:rFonts w:hint="eastAsia" w:ascii="宋体" w:hAnsi="宋体"/>
          <w:sz w:val="24"/>
          <w:szCs w:val="24"/>
          <w:lang w:val="en-US" w:eastAsia="zh-CN"/>
        </w:rPr>
        <w:t>鄂尔多斯市金博工程项目管理有限公司</w:t>
      </w:r>
      <w:r>
        <w:rPr>
          <w:rFonts w:hint="eastAsia" w:ascii="宋体" w:hAnsi="宋体"/>
          <w:sz w:val="24"/>
          <w:szCs w:val="24"/>
        </w:rPr>
        <w:t>应当顺延提交首次响应文件截止时间。</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鄂托克前旗人民政府网”上发布澄清或者变更公告进行通知。澄清或者变更公告的内容为磋商文件的组成部分，供应商应自行上网查询，采购人或</w:t>
      </w:r>
      <w:r>
        <w:rPr>
          <w:rFonts w:hint="eastAsia" w:ascii="宋体" w:hAnsi="宋体"/>
          <w:sz w:val="24"/>
          <w:szCs w:val="24"/>
          <w:lang w:val="en-US" w:eastAsia="zh-CN"/>
        </w:rPr>
        <w:t>鄂尔多斯市金博工程项目管理有限公司</w:t>
      </w:r>
      <w:r>
        <w:rPr>
          <w:rFonts w:hint="eastAsia" w:ascii="宋体" w:hAnsi="宋体"/>
          <w:sz w:val="24"/>
          <w:szCs w:val="24"/>
        </w:rPr>
        <w:t>不承担供应商未及时关注相关信息的责任。</w:t>
      </w:r>
    </w:p>
    <w:p>
      <w:pPr>
        <w:spacing w:line="360" w:lineRule="auto"/>
        <w:rPr>
          <w:rFonts w:ascii="宋体" w:hAnsi="宋体"/>
          <w:b/>
          <w:sz w:val="24"/>
          <w:szCs w:val="24"/>
        </w:rPr>
      </w:pPr>
      <w:r>
        <w:rPr>
          <w:rFonts w:hint="eastAsia" w:ascii="宋体" w:hAnsi="宋体"/>
          <w:b/>
          <w:sz w:val="24"/>
          <w:szCs w:val="24"/>
        </w:rPr>
        <w:t>五.响应文件</w:t>
      </w:r>
    </w:p>
    <w:p>
      <w:pPr>
        <w:spacing w:line="360" w:lineRule="auto"/>
        <w:rPr>
          <w:rFonts w:ascii="宋体" w:hAnsi="宋体"/>
          <w:b/>
          <w:sz w:val="24"/>
          <w:szCs w:val="24"/>
        </w:rPr>
      </w:pPr>
      <w:r>
        <w:rPr>
          <w:rFonts w:hint="eastAsia" w:ascii="宋体" w:hAnsi="宋体"/>
          <w:b/>
          <w:sz w:val="24"/>
          <w:szCs w:val="24"/>
        </w:rPr>
        <w:t>1.响应文件的构成</w:t>
      </w:r>
    </w:p>
    <w:p>
      <w:pPr>
        <w:spacing w:line="360" w:lineRule="auto"/>
        <w:ind w:firstLine="480" w:firstLineChars="200"/>
        <w:rPr>
          <w:rFonts w:ascii="宋体" w:hAnsi="宋体"/>
          <w:sz w:val="24"/>
          <w:szCs w:val="24"/>
        </w:rPr>
      </w:pPr>
      <w:r>
        <w:rPr>
          <w:rFonts w:hint="eastAsia" w:ascii="宋体" w:hAnsi="宋体"/>
          <w:sz w:val="24"/>
          <w:szCs w:val="24"/>
        </w:rPr>
        <w:t>响应文件应按照磋商文件第七章“响应文件格式”进行编写（可以增加附页），作为响应文件的组成部分。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供应商应按照“第四章磋商内容与要求”的供货内容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。投标总价中不得包含磋商文件要求以外的内容，否则，在评审时不予核减。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2.2</w:t>
      </w:r>
      <w:r>
        <w:rPr>
          <w:rFonts w:hint="eastAsia" w:ascii="宋体" w:hAnsi="宋体"/>
          <w:sz w:val="24"/>
          <w:szCs w:val="24"/>
        </w:rPr>
        <w:t>投标报价的范</w:t>
      </w:r>
      <w:r>
        <w:rPr>
          <w:rFonts w:hint="eastAsia" w:ascii="宋体" w:hAnsi="宋体"/>
          <w:kern w:val="0"/>
          <w:sz w:val="24"/>
          <w:szCs w:val="24"/>
        </w:rPr>
        <w:t>围：本项目实行两轮报价，第一轮为响应性报价，第二轮为磋商后报价（也是最后报价），必要时可进行第三轮报价。投标报价含本采购文件要求、合同履约需要及施工过程中所产生的全部费用。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）响应文件中开标一览表（报价表）内容与响应文件中相应内容不一致的，以开标一览表（报价表）为准；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rPr>
          <w:rFonts w:ascii="宋体" w:hAnsi="宋体"/>
          <w:b/>
          <w:sz w:val="24"/>
          <w:szCs w:val="24"/>
        </w:rPr>
      </w:pPr>
      <w:r>
        <w:rPr>
          <w:rFonts w:hint="eastAsia" w:ascii="宋体" w:hAnsi="宋体"/>
          <w:b/>
          <w:sz w:val="24"/>
          <w:szCs w:val="24"/>
        </w:rPr>
        <w:t>3.响应文件的密封、签署、盖章要求等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3.2电子版响应文件编制要求：提供PDF格式和word格式电子文档一份，内容必须一致，在电子文档上标明供应商全称。（电子文档须使用U盘）</w:t>
      </w:r>
      <w:r>
        <w:rPr>
          <w:rFonts w:hint="eastAsia" w:ascii="宋体" w:hAnsi="宋体"/>
          <w:kern w:val="0"/>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pPr>
        <w:spacing w:line="360" w:lineRule="auto"/>
        <w:ind w:firstLine="480" w:firstLineChars="200"/>
        <w:rPr>
          <w:rFonts w:ascii="宋体" w:hAnsi="宋体"/>
          <w:sz w:val="24"/>
          <w:szCs w:val="24"/>
        </w:rPr>
      </w:pPr>
      <w:r>
        <w:rPr>
          <w:rFonts w:hint="eastAsia" w:ascii="宋体" w:hAnsi="宋体"/>
          <w:sz w:val="24"/>
          <w:szCs w:val="24"/>
        </w:rPr>
        <w:t>3.4响应文件的密封。供应商</w:t>
      </w:r>
      <w:r>
        <w:rPr>
          <w:rFonts w:ascii="宋体" w:hAnsi="宋体"/>
          <w:sz w:val="24"/>
          <w:szCs w:val="24"/>
        </w:rPr>
        <w:t>应使用密封袋将</w:t>
      </w:r>
      <w:r>
        <w:rPr>
          <w:rFonts w:hint="eastAsia" w:ascii="宋体" w:hAnsi="宋体"/>
          <w:sz w:val="24"/>
          <w:szCs w:val="24"/>
        </w:rPr>
        <w:t>响应文件</w:t>
      </w:r>
      <w:r>
        <w:rPr>
          <w:rFonts w:ascii="宋体" w:hAnsi="宋体"/>
          <w:sz w:val="24"/>
          <w:szCs w:val="24"/>
        </w:rPr>
        <w:t>密封</w:t>
      </w:r>
      <w:r>
        <w:rPr>
          <w:rFonts w:hint="eastAsia" w:ascii="宋体" w:hAnsi="宋体"/>
          <w:sz w:val="24"/>
          <w:szCs w:val="24"/>
        </w:rPr>
        <w:t>，电子文档可密封至响应文件中也可单独密封。密封封面上需注明“项目名称”、“项目编号”、“分包号”、“供应商全称”和《</w:t>
      </w:r>
      <w:r>
        <w:rPr>
          <w:rFonts w:hint="eastAsia" w:ascii="宋体" w:hAnsi="宋体"/>
          <w:sz w:val="24"/>
          <w:szCs w:val="24"/>
          <w:lang w:eastAsia="zh-CN"/>
        </w:rPr>
        <w:t>磋商</w:t>
      </w:r>
      <w:r>
        <w:rPr>
          <w:rFonts w:hint="eastAsia" w:ascii="宋体" w:hAnsi="宋体"/>
          <w:sz w:val="24"/>
          <w:szCs w:val="24"/>
        </w:rPr>
        <w:t>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3.5供应商按上述规定进行密封和标记后，将响应文件按照</w:t>
      </w:r>
      <w:r>
        <w:rPr>
          <w:rFonts w:hint="eastAsia" w:ascii="宋体" w:hAnsi="宋体"/>
          <w:sz w:val="24"/>
          <w:szCs w:val="24"/>
          <w:lang w:eastAsia="zh-CN"/>
        </w:rPr>
        <w:t>磋商</w:t>
      </w:r>
      <w:r>
        <w:rPr>
          <w:rFonts w:hint="eastAsia" w:ascii="宋体" w:hAnsi="宋体"/>
          <w:sz w:val="24"/>
          <w:szCs w:val="24"/>
        </w:rPr>
        <w:t>文件的要求送达指定地点。如果未按上述规定进行密封和标记，采购代理机构对误投或提前启封概不负责。</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：1、供应商在响应文件及相关书面文件中的单位公章（包括印章、公章等）均指与供应商名称全称一致的标准公章，不得使用其他形式（如带有“专用章”、“财务章”、“业务章”等）的印章。</w:t>
      </w:r>
    </w:p>
    <w:p>
      <w:pPr>
        <w:pStyle w:val="2"/>
        <w:ind w:firstLine="480" w:firstLineChars="200"/>
      </w:pPr>
      <w:r>
        <w:rPr>
          <w:rFonts w:hint="eastAsia" w:ascii="宋体" w:hAnsi="宋体"/>
          <w:sz w:val="24"/>
          <w:szCs w:val="24"/>
        </w:rPr>
        <w:t>2、供应商应单独密封、单独递交一份《开标一览表》，用于唱标时使用。</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4.1投标有效期从提交响应文件的截止之日起算。响应文件中承诺的投标有效期应当不少于磋商文件中载明的投标有效期。投标有效期内供应商撤销响应文件的，采购人或者采购代理机构可以不退还投标保证金。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供应商在提交响应文件的同时，应按供应商须知前附表规定的金额、开户银行、行号、开户单位、账号和磋商文件本章“报名须知”规定的投标保证金缴纳要求递交投标保证金，并作为其响应文件的组成部分。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（1）未成交供应商投标保证金，自成交通知书发出之日起5个工作日内退还；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（2）成交供应商投标保证金，自政府采购合同签订之日起5个工作日内退还。</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（1）中标后，无正当理由放弃中标资格；</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（2）中标后，无正当理由不与磋商人签订合同；</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（3）在签订合同时，向磋商人提出附加条件；</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（4）不按照磋商文件要求提交履约保证金；</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（5）要求修改、补充和撤销响应文件的实质性内容；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（6）要求更改磋商文件和成交结果公告的实质性内容；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（7）法律法规和磋商文件规定的其他情形。</w:t>
      </w:r>
    </w:p>
    <w:p>
      <w:pPr>
        <w:spacing w:line="360" w:lineRule="auto"/>
        <w:rPr>
          <w:rFonts w:ascii="宋体" w:hAnsi="宋体"/>
          <w:color w:val="000000"/>
          <w:sz w:val="24"/>
          <w:szCs w:val="24"/>
        </w:rPr>
      </w:pPr>
      <w:r>
        <w:rPr>
          <w:rFonts w:hint="eastAsia" w:ascii="宋体" w:hAnsi="宋体"/>
          <w:b/>
          <w:sz w:val="24"/>
          <w:szCs w:val="24"/>
        </w:rPr>
        <w:t>6.</w:t>
      </w:r>
      <w:r>
        <w:rPr>
          <w:rFonts w:ascii="宋体" w:hAnsi="宋体"/>
          <w:b/>
          <w:sz w:val="24"/>
          <w:szCs w:val="24"/>
        </w:rPr>
        <w:t>响应文件的修改和撤回</w:t>
      </w:r>
    </w:p>
    <w:p>
      <w:pPr>
        <w:spacing w:line="360" w:lineRule="auto"/>
        <w:ind w:firstLine="480" w:firstLineChars="200"/>
        <w:rPr>
          <w:rFonts w:ascii="宋体" w:hAnsi="宋体"/>
          <w:sz w:val="24"/>
          <w:szCs w:val="24"/>
        </w:rPr>
      </w:pPr>
      <w:r>
        <w:rPr>
          <w:rFonts w:hint="eastAsia" w:ascii="宋体" w:hAnsi="宋体"/>
          <w:sz w:val="24"/>
          <w:szCs w:val="24"/>
        </w:rPr>
        <w:t>供应商在提交响应文件截止时间前，可以对所递交的响应文件进行补充、修改或者撤回。补充、修改的内容旁签署（法人或授权委托人签署）、盖章后生效，并作为响应文件的组成部分，补充、修改的内容与响应文件不一致的，以补充、修改的内容为准；撤回的应以书面形式告知</w:t>
      </w:r>
      <w:r>
        <w:rPr>
          <w:rFonts w:hint="eastAsia" w:ascii="宋体" w:hAnsi="宋体"/>
          <w:sz w:val="24"/>
          <w:szCs w:val="24"/>
          <w:lang w:val="en-US" w:eastAsia="zh-CN"/>
        </w:rPr>
        <w:t>鄂尔多斯市金博工程项目管理有限公司</w:t>
      </w:r>
      <w:r>
        <w:rPr>
          <w:rFonts w:hint="eastAsia" w:ascii="宋体" w:hAnsi="宋体"/>
          <w:sz w:val="24"/>
          <w:szCs w:val="24"/>
        </w:rPr>
        <w:t>或采购人。</w:t>
      </w:r>
    </w:p>
    <w:p>
      <w:pPr>
        <w:spacing w:line="360" w:lineRule="auto"/>
        <w:ind w:firstLine="480" w:firstLineChars="200"/>
        <w:rPr>
          <w:rFonts w:ascii="宋体" w:hAnsi="宋体"/>
          <w:sz w:val="24"/>
          <w:szCs w:val="24"/>
        </w:rPr>
      </w:pPr>
      <w:r>
        <w:rPr>
          <w:rFonts w:hint="eastAsia" w:ascii="宋体" w:hAnsi="宋体"/>
          <w:sz w:val="24"/>
          <w:szCs w:val="24"/>
        </w:rPr>
        <w:t>在提交响应文件截止时间后到磋商文件规定的投标有效期终止之前，供应商不得补充、修改、替代或者撤回其响应文件。</w:t>
      </w:r>
    </w:p>
    <w:p>
      <w:pPr>
        <w:spacing w:line="360" w:lineRule="auto"/>
        <w:rPr>
          <w:rFonts w:ascii="宋体" w:hAnsi="宋体"/>
          <w:sz w:val="24"/>
          <w:szCs w:val="24"/>
        </w:rPr>
      </w:pPr>
      <w:r>
        <w:rPr>
          <w:rFonts w:hint="eastAsia" w:ascii="宋体" w:hAnsi="宋体"/>
          <w:b/>
          <w:sz w:val="24"/>
          <w:szCs w:val="24"/>
        </w:rPr>
        <w:t>7.响应文件的递交</w:t>
      </w:r>
    </w:p>
    <w:p>
      <w:pPr>
        <w:spacing w:line="360" w:lineRule="auto"/>
        <w:ind w:firstLine="480" w:firstLineChars="200"/>
        <w:rPr>
          <w:rFonts w:ascii="宋体" w:hAnsi="宋体"/>
          <w:sz w:val="24"/>
          <w:szCs w:val="24"/>
        </w:rPr>
      </w:pPr>
      <w:r>
        <w:rPr>
          <w:rFonts w:hint="eastAsia" w:ascii="宋体" w:hAnsi="宋体"/>
          <w:sz w:val="24"/>
          <w:szCs w:val="24"/>
        </w:rPr>
        <w:t>在磋商文件要求提交响应文件的截止时间之后送达或没有将《开标一览表》单独密封、单独递交的响应文件，为无效响应文件，采购单位或采购代理机构将拒收。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磋商文件规定供应商提交样品的，样品属于响应文件的组成部分。样品的生产、运输、安装、保全等一切费用由供应商自理。</w:t>
      </w:r>
    </w:p>
    <w:p>
      <w:pPr>
        <w:spacing w:line="360" w:lineRule="auto"/>
        <w:ind w:firstLine="480" w:firstLineChars="200"/>
        <w:rPr>
          <w:rFonts w:ascii="宋体" w:hAnsi="宋体"/>
          <w:sz w:val="24"/>
          <w:szCs w:val="24"/>
        </w:rPr>
      </w:pPr>
      <w:r>
        <w:rPr>
          <w:rFonts w:hint="eastAsia" w:ascii="宋体" w:hAnsi="宋体"/>
          <w:sz w:val="24"/>
          <w:szCs w:val="24"/>
        </w:rPr>
        <w:t>8.1开标前，供应商应将样品送达至指定地点，并按要求摆放并做好展示。若需要现场演示的，供应商应提前做好演示准备（包括演示设备）。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8.2评标结束后，成交供应商与采购人共同清点、检查和密封样品，由成交供应商送至采购人指定地点封存。未中标供应商将样品自行带回。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开标时间与提交响应文件截止时间为同一时间；开标地点为磋商文件规定的地点。邀请所有供应商的法定代表人或其授权委托人准时参加。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w:t>
      </w:r>
      <w:r>
        <w:rPr>
          <w:rFonts w:hint="eastAsia" w:ascii="宋体" w:hAnsi="宋体"/>
          <w:sz w:val="24"/>
          <w:szCs w:val="24"/>
          <w:lang w:val="en-US" w:eastAsia="zh-CN"/>
        </w:rPr>
        <w:t>鄂尔多斯市金博工程项目管理有限公司</w:t>
      </w:r>
      <w:r>
        <w:rPr>
          <w:rFonts w:hint="eastAsia" w:ascii="宋体" w:hAnsi="宋体"/>
          <w:sz w:val="24"/>
          <w:szCs w:val="24"/>
        </w:rPr>
        <w:t>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（2）公布在投标截止时间前提交响应文件的供应商名称；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供应商或者其推选的代表检查响应文件的密封情况；经确认无误后，由采购人或者采购代理机构工作人员当众拆封，宣布供应商名称、投标价格和磋商文件规定的需要宣布的其他内容（以开标一览表要求为准），供应商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（6）开标结束，响应文件移交磋商小组。</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供应商代表对开标过程和开标记录有疑义，以及认为采购人、采购代理机构相关工作人员有需要回避的情形的，应当场提出询问或者回避申请，开标会议结束后不再接受相关询问、质疑或者回避申请。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1.磋商小组</w:t>
      </w:r>
    </w:p>
    <w:p>
      <w:pPr>
        <w:spacing w:line="360" w:lineRule="auto"/>
        <w:ind w:firstLine="480" w:firstLineChars="200"/>
        <w:rPr>
          <w:rFonts w:ascii="宋体" w:hAnsi="宋体"/>
          <w:sz w:val="24"/>
          <w:szCs w:val="24"/>
        </w:rPr>
      </w:pPr>
      <w:r>
        <w:rPr>
          <w:rFonts w:hint="eastAsia" w:ascii="宋体" w:hAnsi="宋体"/>
          <w:sz w:val="24"/>
          <w:szCs w:val="24"/>
        </w:rPr>
        <w:t>1.1磋商小组由采购人代表和评审专家共3人以上单数组成，其中评审专家人数不得少于磋商小组成员总数的2/3。</w:t>
      </w:r>
    </w:p>
    <w:p>
      <w:pPr>
        <w:spacing w:line="360" w:lineRule="auto"/>
        <w:ind w:firstLine="480" w:firstLineChars="200"/>
        <w:rPr>
          <w:rFonts w:ascii="宋体" w:hAnsi="宋体"/>
          <w:sz w:val="24"/>
          <w:szCs w:val="24"/>
        </w:rPr>
      </w:pPr>
      <w:r>
        <w:rPr>
          <w:rFonts w:hint="eastAsia" w:ascii="宋体" w:hAnsi="宋体"/>
          <w:sz w:val="24"/>
          <w:szCs w:val="24"/>
        </w:rPr>
        <w:t>1.2磋商小组成员有下列情形之一的，应当回避：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（1）参加采购活动前三年内,与供应商存在劳动关系,或者担任过供应商的董事、监事,或者是供应商的控股股东或实际控制人；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（2）与供应商的法定代表人或者负责人有夫妻、直系血亲、三代以内旁系血亲或者近姻亲关系；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（3）与供应商有其他可能影响政府采购活动公平、公正进行的关系；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2.1评标活动遵循公平、公正、科学和择优的原则，以磋商文件和响应文件为评标的基本依据，并按照磋商文件规定的评标方法和评标标准进行评标。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2.2具体评标事项由磋商小组负责，并按磋商文件的规定办法进行评审。</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3.1磋商小组不接受供应商主动提出的澄清、说明或补正。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3.2磋商小组对供应商提交的澄清、说明或补正有疑问的，可以要求供应商进一步澄清、说明或补正。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详见第六章评审表。经磋商小组认定，凡其中有一项不合格的，按无效投标处理。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5.有下列情形之一的，视为供应商串通投标：</w:t>
      </w:r>
    </w:p>
    <w:p>
      <w:pPr>
        <w:spacing w:line="360" w:lineRule="auto"/>
        <w:ind w:firstLine="360" w:firstLineChars="150"/>
        <w:rPr>
          <w:rFonts w:ascii="宋体" w:hAnsi="宋体"/>
          <w:sz w:val="24"/>
          <w:szCs w:val="24"/>
        </w:rPr>
      </w:pPr>
      <w:r>
        <w:rPr>
          <w:rFonts w:hint="eastAsia" w:ascii="宋体" w:hAnsi="宋体"/>
          <w:sz w:val="24"/>
          <w:szCs w:val="24"/>
        </w:rPr>
        <w:t>（1）不同供应商的响应文件由同一单位或者个人编制；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（2）不同供应商委托同一单位或者个人办理投标事宜；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（3）不同供应商的响应文件载明的项目管理成员或者联系人员为同一人；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（4）不同供应商的响应文件异常一致或者投标报价呈规律性差异；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（5）不同供应商的响应文件相互混装；</w:t>
      </w:r>
    </w:p>
    <w:p>
      <w:pPr>
        <w:spacing w:line="360" w:lineRule="auto"/>
        <w:ind w:firstLine="360" w:firstLineChars="150"/>
        <w:rPr>
          <w:rFonts w:ascii="宋体" w:hAnsi="宋体"/>
          <w:sz w:val="24"/>
          <w:szCs w:val="24"/>
        </w:rPr>
      </w:pPr>
      <w:r>
        <w:rPr>
          <w:rFonts w:hint="eastAsia" w:ascii="宋体" w:hAnsi="宋体"/>
          <w:sz w:val="24"/>
          <w:szCs w:val="24"/>
        </w:rPr>
        <w:t>（6）不同供应商的投标保证金从同一单位或者个人的账户转出。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（1）符合专业条件的供应商或者对磋商文件作实质响应的供应商不足三家的；（政府购买服务项目（含政府和社会资本合作项目）、市场竞争不充分的科研项目，以及需要扶持的科技成果转化项目除外）</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（3）供应商的报价均超过了采购预算；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（5）法律、法规以及磋商文件规定其他情形。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磋商小组按照磋商文件确定的评标方法、步骤、标准，对响应文件进行评审。评标结束后，对供应商的评审名次进行排序，确定成交供应商或者推荐成交候选人。</w:t>
      </w:r>
    </w:p>
    <w:p>
      <w:pPr>
        <w:spacing w:line="360" w:lineRule="auto"/>
        <w:rPr>
          <w:rFonts w:ascii="宋体" w:hAnsi="宋体"/>
          <w:b/>
          <w:sz w:val="24"/>
          <w:szCs w:val="24"/>
        </w:rPr>
      </w:pPr>
      <w:r>
        <w:rPr>
          <w:rFonts w:hint="eastAsia" w:ascii="宋体" w:hAnsi="宋体"/>
          <w:b/>
          <w:sz w:val="24"/>
          <w:szCs w:val="24"/>
        </w:rPr>
        <w:t>8.成交结果公告</w:t>
      </w:r>
    </w:p>
    <w:p>
      <w:pPr>
        <w:spacing w:line="360" w:lineRule="auto"/>
        <w:ind w:firstLine="480" w:firstLineChars="200"/>
        <w:rPr>
          <w:rFonts w:ascii="宋体" w:hAnsi="宋体"/>
          <w:sz w:val="24"/>
          <w:szCs w:val="24"/>
        </w:rPr>
      </w:pPr>
      <w:r>
        <w:rPr>
          <w:rFonts w:hint="eastAsia" w:ascii="宋体" w:hAnsi="宋体"/>
          <w:sz w:val="24"/>
          <w:szCs w:val="24"/>
        </w:rPr>
        <w:t>7.1成交供应商确定后，</w:t>
      </w:r>
      <w:r>
        <w:rPr>
          <w:rFonts w:hint="eastAsia" w:ascii="宋体" w:hAnsi="宋体"/>
          <w:sz w:val="24"/>
          <w:szCs w:val="24"/>
          <w:lang w:val="en-US" w:eastAsia="zh-CN"/>
        </w:rPr>
        <w:t>鄂尔多斯市金博工程项目管理有限公司</w:t>
      </w:r>
      <w:r>
        <w:rPr>
          <w:rFonts w:hint="eastAsia" w:ascii="宋体" w:hAnsi="宋体"/>
          <w:sz w:val="24"/>
          <w:szCs w:val="24"/>
        </w:rPr>
        <w:t>将在内蒙古自治区政府采购网、内蒙古自治区公共资源交易网、鄂尔多斯市政府采购网和鄂尔多斯市公共资源交易网、鄂托克前旗人民政府网上发布成交结果公告，同时将成交结果以公告形式通知未中标的供应商，成交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7.2成交供应商须将成交货物报价明细表（WORD格式电子版，格式下载地址：鄂尔多斯市公共资源交易网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w:t>
      </w:r>
      <w:r>
        <w:rPr>
          <w:rFonts w:hint="eastAsia" w:ascii="宋体" w:hAnsi="宋体"/>
          <w:sz w:val="24"/>
          <w:szCs w:val="24"/>
          <w:lang w:val="en-US" w:eastAsia="zh-CN"/>
        </w:rPr>
        <w:t>鄂尔多斯市金博工程项目管理有限公司</w:t>
      </w:r>
      <w:r>
        <w:rPr>
          <w:rFonts w:hint="eastAsia" w:ascii="宋体" w:hAnsi="宋体"/>
          <w:sz w:val="24"/>
          <w:szCs w:val="24"/>
        </w:rPr>
        <w:t>工作人员邮箱内（</w:t>
      </w:r>
      <w:r>
        <w:rPr>
          <w:sz w:val="24"/>
          <w:szCs w:val="18"/>
        </w:rPr>
        <w:fldChar w:fldCharType="begin"/>
      </w:r>
      <w:r>
        <w:rPr>
          <w:sz w:val="24"/>
          <w:szCs w:val="18"/>
        </w:rPr>
        <w:instrText xml:space="preserve"> HYPERLINK "mailto:youj_0722@163.com" </w:instrText>
      </w:r>
      <w:r>
        <w:rPr>
          <w:sz w:val="24"/>
          <w:szCs w:val="18"/>
        </w:rPr>
        <w:fldChar w:fldCharType="separate"/>
      </w:r>
      <w:r>
        <w:rPr>
          <w:rFonts w:hint="eastAsia"/>
          <w:sz w:val="24"/>
          <w:szCs w:val="18"/>
          <w:lang w:eastAsia="zh-CN"/>
        </w:rPr>
        <w:t>117826335</w:t>
      </w:r>
      <w:r>
        <w:rPr>
          <w:rFonts w:hint="eastAsia"/>
          <w:sz w:val="24"/>
          <w:szCs w:val="18"/>
        </w:rPr>
        <w:t>@qq.com</w:t>
      </w:r>
      <w:r>
        <w:rPr>
          <w:rFonts w:hint="eastAsia"/>
          <w:sz w:val="24"/>
          <w:szCs w:val="18"/>
        </w:rPr>
        <w:fldChar w:fldCharType="end"/>
      </w:r>
      <w:r>
        <w:rPr>
          <w:rFonts w:hint="eastAsia" w:ascii="宋体" w:hAnsi="宋体"/>
          <w:sz w:val="24"/>
          <w:szCs w:val="24"/>
        </w:rPr>
        <w:t>，联系人</w:t>
      </w:r>
      <w:r>
        <w:rPr>
          <w:rFonts w:hint="eastAsia" w:ascii="宋体" w:hAnsi="宋体"/>
          <w:sz w:val="24"/>
          <w:szCs w:val="24"/>
          <w:lang w:val="en-US" w:eastAsia="zh-CN"/>
        </w:rPr>
        <w:t>林晓伟</w:t>
      </w:r>
      <w:r>
        <w:rPr>
          <w:rFonts w:hint="eastAsia" w:ascii="宋体" w:hAnsi="宋体"/>
          <w:sz w:val="24"/>
          <w:szCs w:val="24"/>
        </w:rPr>
        <w:t>，联系电话</w:t>
      </w:r>
      <w:r>
        <w:rPr>
          <w:rFonts w:hint="eastAsia" w:ascii="宋体" w:hAnsi="宋体"/>
          <w:sz w:val="24"/>
          <w:szCs w:val="24"/>
          <w:lang w:eastAsia="zh-CN"/>
        </w:rPr>
        <w:t>18947706825</w:t>
      </w:r>
      <w:r>
        <w:rPr>
          <w:rFonts w:hint="eastAsia" w:ascii="宋体" w:hAnsi="宋体"/>
          <w:sz w:val="24"/>
          <w:szCs w:val="24"/>
        </w:rPr>
        <w:t>），并在邮件标题注明项目名称及中标单位名称，否则不予发布成交结果公告。</w:t>
      </w:r>
    </w:p>
    <w:p>
      <w:pPr>
        <w:spacing w:line="360" w:lineRule="auto"/>
        <w:rPr>
          <w:rFonts w:ascii="宋体" w:hAnsi="宋体"/>
          <w:b/>
          <w:sz w:val="24"/>
          <w:szCs w:val="24"/>
        </w:rPr>
      </w:pPr>
      <w:r>
        <w:rPr>
          <w:rFonts w:hint="eastAsia" w:ascii="宋体" w:hAnsi="宋体"/>
          <w:b/>
          <w:sz w:val="24"/>
          <w:szCs w:val="24"/>
        </w:rPr>
        <w:t>9.成交通知书发放</w:t>
      </w:r>
    </w:p>
    <w:p>
      <w:pPr>
        <w:spacing w:line="360" w:lineRule="auto"/>
        <w:ind w:firstLine="480" w:firstLineChars="200"/>
        <w:rPr>
          <w:rFonts w:ascii="宋体" w:hAnsi="宋体"/>
          <w:sz w:val="24"/>
          <w:szCs w:val="24"/>
        </w:rPr>
      </w:pPr>
      <w:r>
        <w:rPr>
          <w:rFonts w:hint="eastAsia" w:ascii="宋体" w:hAnsi="宋体"/>
          <w:sz w:val="24"/>
          <w:szCs w:val="24"/>
          <w:lang w:val="en-US" w:eastAsia="zh-CN"/>
        </w:rPr>
        <w:t>鄂尔多斯市金博工程项目管理有限公司</w:t>
      </w:r>
      <w:r>
        <w:rPr>
          <w:rFonts w:hint="eastAsia" w:ascii="宋体" w:hAnsi="宋体"/>
          <w:sz w:val="24"/>
          <w:szCs w:val="24"/>
        </w:rPr>
        <w:t>以书面形式向成交供应商发出成交通知书，</w:t>
      </w:r>
      <w:r>
        <w:rPr>
          <w:rFonts w:ascii="宋体" w:hAnsi="宋体"/>
          <w:sz w:val="24"/>
          <w:szCs w:val="24"/>
        </w:rPr>
        <w:t>成交通知书是合同的组成部分</w:t>
      </w:r>
      <w:r>
        <w:rPr>
          <w:rFonts w:hint="eastAsia" w:ascii="宋体" w:hAnsi="宋体"/>
          <w:sz w:val="24"/>
          <w:szCs w:val="24"/>
        </w:rPr>
        <w:t>，成交通知书对采购人和中标供应商具有同等法律效力。</w:t>
      </w:r>
    </w:p>
    <w:p>
      <w:pPr>
        <w:spacing w:line="360" w:lineRule="auto"/>
        <w:ind w:firstLine="480" w:firstLineChars="200"/>
        <w:rPr>
          <w:rFonts w:ascii="宋体" w:hAnsi="宋体"/>
          <w:sz w:val="24"/>
          <w:szCs w:val="24"/>
        </w:rPr>
      </w:pPr>
      <w:r>
        <w:rPr>
          <w:rFonts w:hint="eastAsia" w:ascii="宋体" w:hAnsi="宋体"/>
          <w:sz w:val="24"/>
          <w:szCs w:val="24"/>
        </w:rPr>
        <w:t>成交通知书发出后，采购人不得违法改变成交结果，成交供应商无正当理由不得放弃中标。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成交供应商须持法定代表人授权委托书及本人身份证至</w:t>
      </w:r>
      <w:r>
        <w:rPr>
          <w:rFonts w:hint="eastAsia" w:ascii="宋体" w:hAnsi="宋体"/>
          <w:sz w:val="24"/>
          <w:szCs w:val="24"/>
          <w:lang w:val="en-US" w:eastAsia="zh-CN"/>
        </w:rPr>
        <w:t>鄂尔多斯市金博工程项目管理有限公司</w:t>
      </w:r>
      <w:r>
        <w:rPr>
          <w:rFonts w:hint="eastAsia" w:ascii="宋体" w:hAnsi="宋体"/>
          <w:sz w:val="24"/>
          <w:szCs w:val="24"/>
        </w:rPr>
        <w:t>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供应商对政府采购活动事项有疑问的，可以向采购人或</w:t>
      </w:r>
      <w:r>
        <w:rPr>
          <w:rFonts w:hint="eastAsia" w:ascii="宋体" w:hAnsi="宋体" w:cs="宋体"/>
          <w:sz w:val="24"/>
          <w:szCs w:val="24"/>
          <w:lang w:eastAsia="zh-CN"/>
        </w:rPr>
        <w:t>采购代理机构</w:t>
      </w:r>
      <w:r>
        <w:rPr>
          <w:rFonts w:hint="eastAsia" w:ascii="宋体" w:hAnsi="宋体" w:cs="宋体"/>
          <w:sz w:val="24"/>
          <w:szCs w:val="24"/>
        </w:rPr>
        <w:t>提出询问，采购人或</w:t>
      </w:r>
      <w:r>
        <w:rPr>
          <w:rFonts w:hint="eastAsia" w:ascii="宋体" w:hAnsi="宋体" w:cs="宋体"/>
          <w:sz w:val="24"/>
          <w:szCs w:val="24"/>
          <w:lang w:eastAsia="zh-CN"/>
        </w:rPr>
        <w:t>采购代理机构</w:t>
      </w:r>
      <w:r>
        <w:rPr>
          <w:rFonts w:hint="eastAsia" w:ascii="宋体" w:hAnsi="宋体" w:cs="宋体"/>
          <w:sz w:val="24"/>
          <w:szCs w:val="24"/>
        </w:rPr>
        <w:t>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供应商提出的询问超出采购人对</w:t>
      </w:r>
      <w:r>
        <w:rPr>
          <w:rFonts w:hint="eastAsia" w:ascii="宋体" w:hAnsi="宋体" w:cs="宋体"/>
          <w:color w:val="000000"/>
          <w:kern w:val="0"/>
          <w:sz w:val="24"/>
          <w:szCs w:val="24"/>
          <w:lang w:eastAsia="zh-CN"/>
        </w:rPr>
        <w:t>采购代理机构</w:t>
      </w:r>
      <w:r>
        <w:rPr>
          <w:rFonts w:hint="eastAsia" w:ascii="宋体" w:hAnsi="宋体" w:cs="宋体"/>
          <w:color w:val="000000"/>
          <w:kern w:val="0"/>
          <w:sz w:val="24"/>
          <w:szCs w:val="24"/>
        </w:rPr>
        <w:t>委托授权范围的，</w:t>
      </w:r>
      <w:r>
        <w:rPr>
          <w:rFonts w:hint="eastAsia" w:ascii="宋体" w:hAnsi="宋体" w:cs="宋体"/>
          <w:color w:val="000000"/>
          <w:kern w:val="0"/>
          <w:sz w:val="24"/>
          <w:szCs w:val="24"/>
          <w:lang w:eastAsia="zh-CN"/>
        </w:rPr>
        <w:t>采购代理机构</w:t>
      </w:r>
      <w:r>
        <w:rPr>
          <w:rFonts w:hint="eastAsia" w:ascii="宋体" w:hAnsi="宋体" w:cs="宋体"/>
          <w:color w:val="000000"/>
          <w:kern w:val="0"/>
          <w:sz w:val="24"/>
          <w:szCs w:val="24"/>
        </w:rPr>
        <w:t>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w:t>
      </w:r>
      <w:r>
        <w:rPr>
          <w:rFonts w:hint="eastAsia" w:ascii="宋体" w:hAnsi="宋体"/>
          <w:sz w:val="24"/>
          <w:szCs w:val="24"/>
          <w:lang w:val="en-US" w:eastAsia="zh-CN"/>
        </w:rPr>
        <w:t>鄂尔多斯市金博工程项目管理有限公司</w:t>
      </w:r>
      <w:r>
        <w:rPr>
          <w:rFonts w:hint="eastAsia" w:ascii="宋体" w:hAnsi="宋体" w:cs="宋体"/>
          <w:kern w:val="0"/>
          <w:sz w:val="24"/>
          <w:szCs w:val="24"/>
        </w:rPr>
        <w:t>，正式受理后方可生效，否则，为无效询问。</w:t>
      </w:r>
    </w:p>
    <w:p>
      <w:pPr>
        <w:spacing w:line="360" w:lineRule="auto"/>
        <w:rPr>
          <w:rFonts w:ascii="宋体" w:hAnsi="宋体" w:cs="宋体"/>
          <w:b/>
          <w:kern w:val="0"/>
          <w:sz w:val="24"/>
          <w:szCs w:val="24"/>
        </w:rPr>
      </w:pPr>
      <w:r>
        <w:rPr>
          <w:rFonts w:hint="eastAsia" w:ascii="宋体" w:hAnsi="宋体" w:cs="宋体"/>
          <w:b/>
          <w:kern w:val="0"/>
          <w:sz w:val="24"/>
          <w:szCs w:val="24"/>
        </w:rPr>
        <w:t>2.质疑</w:t>
      </w:r>
    </w:p>
    <w:p>
      <w:pPr>
        <w:spacing w:line="360" w:lineRule="auto"/>
        <w:ind w:firstLine="480" w:firstLineChars="200"/>
        <w:rPr>
          <w:rFonts w:ascii="宋体" w:hAnsi="宋体"/>
          <w:sz w:val="24"/>
          <w:szCs w:val="24"/>
        </w:rPr>
      </w:pPr>
      <w:r>
        <w:rPr>
          <w:rFonts w:hint="eastAsia" w:ascii="宋体" w:hAnsi="宋体"/>
          <w:sz w:val="24"/>
          <w:szCs w:val="24"/>
        </w:rPr>
        <w:t>2.1供应商认为采购文件、采购过程和中标、成交结果使自己的权益受到损害的，可以在知道或者应知其权益受到损害之日起七个工作日内，以书面形式向采购人提出质疑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sz w:val="24"/>
          <w:szCs w:val="24"/>
        </w:rPr>
      </w:pPr>
      <w:r>
        <w:rPr>
          <w:rFonts w:hint="eastAsia" w:ascii="宋体" w:hAnsi="宋体"/>
          <w:sz w:val="24"/>
          <w:szCs w:val="24"/>
        </w:rPr>
        <w:t>2.2采购人应当在收到供应商的书面质疑后七个工作日内作出答复，并以书面形式通知质疑供应商和其他有关供应商，但答复的内容不得涉及商业秘密。</w:t>
      </w:r>
    </w:p>
    <w:p>
      <w:pPr>
        <w:spacing w:line="360" w:lineRule="auto"/>
        <w:ind w:firstLine="480" w:firstLineChars="200"/>
        <w:rPr>
          <w:rFonts w:ascii="宋体" w:hAnsi="宋体"/>
          <w:sz w:val="24"/>
          <w:szCs w:val="24"/>
        </w:rPr>
      </w:pPr>
      <w:r>
        <w:rPr>
          <w:rFonts w:hint="eastAsia" w:ascii="宋体" w:hAnsi="宋体"/>
          <w:sz w:val="24"/>
          <w:szCs w:val="24"/>
        </w:rPr>
        <w:t>2.3询问或者质疑事项可能影响成交结果的，采购人应当暂停签订合同，已经签订合同的，应当中止履行合同。</w:t>
      </w:r>
    </w:p>
    <w:p>
      <w:pPr>
        <w:spacing w:line="360" w:lineRule="auto"/>
        <w:ind w:firstLine="480" w:firstLineChars="200"/>
        <w:rPr>
          <w:rFonts w:ascii="宋体" w:hAnsi="宋体"/>
          <w:color w:val="FF0000"/>
          <w:sz w:val="24"/>
          <w:szCs w:val="24"/>
        </w:rPr>
      </w:pPr>
      <w:r>
        <w:rPr>
          <w:rFonts w:hint="eastAsia" w:ascii="宋体" w:hAnsi="宋体" w:cs="宋体"/>
          <w:color w:val="333333"/>
          <w:kern w:val="0"/>
          <w:sz w:val="24"/>
          <w:szCs w:val="24"/>
        </w:rPr>
        <w:t>2.4为了使提出的质疑事项在规定时间内得到有效答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w:t>
      </w:r>
      <w:r>
        <w:rPr>
          <w:rFonts w:hint="eastAsia" w:ascii="宋体" w:hAnsi="宋体"/>
          <w:sz w:val="24"/>
          <w:szCs w:val="24"/>
          <w:lang w:val="en-US" w:eastAsia="zh-CN"/>
        </w:rPr>
        <w:t>鄂尔多斯市金博工程项目管理有限公司</w:t>
      </w:r>
      <w:r>
        <w:rPr>
          <w:rFonts w:hint="eastAsia" w:ascii="宋体" w:hAnsi="宋体" w:cs="宋体"/>
          <w:kern w:val="0"/>
          <w:sz w:val="24"/>
          <w:szCs w:val="24"/>
        </w:rPr>
        <w:t>，正式受理后方可生效，否则，为无效质疑。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rPr>
        <w:t>2.5递交的质疑函务必提供以下信息和内容：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（3）质疑应当有明确的请求和必要的证明材料；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（4）质疑人的签章及提出质疑的准确日期。</w:t>
      </w:r>
    </w:p>
    <w:p>
      <w:pPr>
        <w:spacing w:line="360" w:lineRule="auto"/>
        <w:ind w:firstLine="482" w:firstLineChars="201"/>
        <w:rPr>
          <w:rFonts w:ascii="宋体" w:hAnsi="宋体"/>
          <w:sz w:val="24"/>
          <w:szCs w:val="24"/>
        </w:rPr>
      </w:pPr>
      <w:r>
        <w:rPr>
          <w:rFonts w:hint="eastAsia" w:ascii="宋体" w:hAnsi="宋体"/>
          <w:sz w:val="24"/>
          <w:szCs w:val="24"/>
        </w:rPr>
        <w:t>2.6有下列情况之一的质疑不予受理：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）非供应商提出的质疑；</w:t>
      </w:r>
    </w:p>
    <w:p>
      <w:pPr>
        <w:spacing w:line="360" w:lineRule="auto"/>
        <w:ind w:firstLine="482" w:firstLineChars="201"/>
        <w:rPr>
          <w:rFonts w:ascii="宋体" w:hAnsi="宋体"/>
          <w:sz w:val="24"/>
          <w:szCs w:val="24"/>
        </w:rPr>
      </w:pPr>
      <w:r>
        <w:rPr>
          <w:rFonts w:hint="eastAsia" w:ascii="宋体" w:hAnsi="宋体"/>
          <w:sz w:val="24"/>
          <w:szCs w:val="24"/>
        </w:rPr>
        <w:t>（2）无质疑函件或质疑函件缺少供应商法人印章、供应商法定代表人签字、有效授权书和联系方式之一的质疑；</w:t>
      </w:r>
    </w:p>
    <w:p>
      <w:pPr>
        <w:spacing w:line="360" w:lineRule="auto"/>
        <w:ind w:firstLine="482" w:firstLineChars="201"/>
        <w:rPr>
          <w:rFonts w:ascii="宋体" w:hAnsi="宋体"/>
          <w:sz w:val="24"/>
          <w:szCs w:val="24"/>
        </w:rPr>
      </w:pPr>
      <w:r>
        <w:rPr>
          <w:rFonts w:hint="eastAsia" w:ascii="宋体" w:hAnsi="宋体"/>
          <w:sz w:val="24"/>
          <w:szCs w:val="24"/>
        </w:rPr>
        <w:t>（3）质疑函件无实质性内容或佐证文件资料，主观臆断及推理得出结论的质疑；</w:t>
      </w:r>
    </w:p>
    <w:p>
      <w:pPr>
        <w:spacing w:line="360" w:lineRule="auto"/>
        <w:ind w:firstLine="482" w:firstLineChars="201"/>
        <w:rPr>
          <w:rFonts w:ascii="宋体" w:hAnsi="宋体"/>
          <w:sz w:val="24"/>
          <w:szCs w:val="24"/>
        </w:rPr>
      </w:pPr>
      <w:r>
        <w:rPr>
          <w:rFonts w:hint="eastAsia" w:ascii="宋体" w:hAnsi="宋体"/>
          <w:sz w:val="24"/>
          <w:szCs w:val="24"/>
        </w:rPr>
        <w:t>（4）相应证明材料不真实或来源不合法的质疑；</w:t>
      </w:r>
    </w:p>
    <w:p>
      <w:pPr>
        <w:spacing w:line="360" w:lineRule="auto"/>
        <w:ind w:firstLine="482" w:firstLineChars="201"/>
        <w:rPr>
          <w:rFonts w:ascii="宋体" w:hAnsi="宋体"/>
          <w:sz w:val="24"/>
          <w:szCs w:val="24"/>
        </w:rPr>
      </w:pPr>
      <w:r>
        <w:rPr>
          <w:rFonts w:hint="eastAsia" w:ascii="宋体" w:hAnsi="宋体"/>
          <w:sz w:val="24"/>
          <w:szCs w:val="24"/>
        </w:rPr>
        <w:t>（5）未按规定时间或超过质疑时限提出的质疑；</w:t>
      </w:r>
    </w:p>
    <w:p>
      <w:pPr>
        <w:spacing w:line="360" w:lineRule="auto"/>
        <w:ind w:firstLine="482" w:firstLineChars="201"/>
        <w:rPr>
          <w:rFonts w:ascii="宋体" w:hAnsi="宋体"/>
          <w:sz w:val="24"/>
          <w:szCs w:val="24"/>
        </w:rPr>
      </w:pPr>
      <w:r>
        <w:rPr>
          <w:rFonts w:hint="eastAsia" w:ascii="宋体" w:hAnsi="宋体"/>
          <w:sz w:val="24"/>
          <w:szCs w:val="24"/>
        </w:rPr>
        <w:t>（6）除亲自送达书面质疑书式外，其他任何方式的质疑。</w:t>
      </w:r>
    </w:p>
    <w:p>
      <w:pPr>
        <w:spacing w:line="360" w:lineRule="auto"/>
        <w:ind w:firstLine="480" w:firstLineChars="200"/>
        <w:rPr>
          <w:rFonts w:ascii="宋体" w:hAnsi="宋体"/>
          <w:sz w:val="24"/>
          <w:szCs w:val="24"/>
        </w:rPr>
      </w:pPr>
      <w:r>
        <w:rPr>
          <w:rFonts w:hint="eastAsia" w:ascii="宋体" w:hAnsi="宋体"/>
          <w:sz w:val="24"/>
          <w:szCs w:val="24"/>
        </w:rPr>
        <w:t>2.7对捏造事实，提供虚假材料或者以非法手段取得证明材料进行恶意质疑的，一经查实，将上报监督部门，并给以相应处罚。</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w:t>
      </w:r>
      <w:r>
        <w:rPr>
          <w:rFonts w:hint="eastAsia" w:ascii="宋体" w:hAnsi="宋体"/>
          <w:sz w:val="24"/>
          <w:szCs w:val="24"/>
          <w:lang w:val="en-US" w:eastAsia="zh-CN"/>
        </w:rPr>
        <w:t>鄂尔多斯市金博工程项目管理有限公司</w:t>
      </w:r>
      <w:r>
        <w:rPr>
          <w:rFonts w:hint="eastAsia" w:ascii="宋体" w:hAnsi="宋体"/>
          <w:sz w:val="24"/>
          <w:szCs w:val="24"/>
        </w:rPr>
        <w:t>的答复不满意或者采购人、</w:t>
      </w:r>
      <w:r>
        <w:rPr>
          <w:rFonts w:hint="eastAsia" w:ascii="宋体" w:hAnsi="宋体"/>
          <w:sz w:val="24"/>
          <w:szCs w:val="24"/>
          <w:lang w:val="en-US" w:eastAsia="zh-CN"/>
        </w:rPr>
        <w:t>鄂尔多斯市金博工程项目管理有限公司</w:t>
      </w:r>
      <w:r>
        <w:rPr>
          <w:rFonts w:hint="eastAsia" w:ascii="宋体" w:hAnsi="宋体"/>
          <w:sz w:val="24"/>
          <w:szCs w:val="24"/>
        </w:rPr>
        <w:t>未在规定的时间内做出书面答复的，可以在答复期满后十五个工作日内向监督部门进行投诉。投诉程序按《政府采购法》及相关规定执行。</w:t>
      </w:r>
    </w:p>
    <w:p>
      <w:pPr>
        <w:spacing w:line="360" w:lineRule="auto"/>
        <w:ind w:firstLine="480" w:firstLineChars="200"/>
        <w:rPr>
          <w:rFonts w:ascii="宋体" w:hAnsi="宋体"/>
          <w:sz w:val="24"/>
          <w:szCs w:val="24"/>
        </w:rPr>
      </w:pPr>
      <w:r>
        <w:rPr>
          <w:rFonts w:hint="eastAsia" w:ascii="宋体" w:hAnsi="宋体"/>
          <w:sz w:val="24"/>
          <w:szCs w:val="24"/>
        </w:rPr>
        <w:t>供应商投诉的事项不得超出已质疑事项的范围。</w:t>
      </w:r>
      <w:bookmarkStart w:id="2" w:name="_Toc447030613"/>
      <w:bookmarkStart w:id="3" w:name="_Toc266431157"/>
      <w:r>
        <w:rPr>
          <w:rFonts w:ascii="宋体" w:hAnsi="宋体" w:cs="宋体"/>
          <w:bCs/>
          <w:color w:val="000000"/>
          <w:sz w:val="24"/>
          <w:szCs w:val="24"/>
        </w:rPr>
        <w:br w:type="page"/>
      </w:r>
    </w:p>
    <w:p>
      <w:pPr>
        <w:pStyle w:val="24"/>
        <w:spacing w:line="360" w:lineRule="auto"/>
        <w:rPr>
          <w:rFonts w:ascii="宋体" w:hAnsi="宋体" w:eastAsia="宋体" w:cs="宋体"/>
          <w:bCs w:val="0"/>
          <w:color w:val="000000"/>
          <w:sz w:val="24"/>
          <w:szCs w:val="24"/>
        </w:rPr>
      </w:pPr>
      <w:bookmarkStart w:id="4" w:name="_Toc497408602"/>
      <w:r>
        <w:rPr>
          <w:rFonts w:hint="eastAsia" w:ascii="宋体" w:hAnsi="宋体" w:eastAsia="宋体" w:cs="宋体"/>
          <w:bCs w:val="0"/>
          <w:color w:val="000000"/>
          <w:sz w:val="24"/>
          <w:szCs w:val="24"/>
        </w:rPr>
        <w:t xml:space="preserve">第三章 </w:t>
      </w:r>
      <w:bookmarkEnd w:id="2"/>
      <w:bookmarkEnd w:id="3"/>
      <w:r>
        <w:rPr>
          <w:rFonts w:hint="eastAsia" w:ascii="宋体" w:hAnsi="宋体" w:eastAsia="宋体" w:cs="宋体"/>
          <w:bCs w:val="0"/>
          <w:color w:val="00000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1.1采购人应当自成交通知书发出之日起30日内，按照磋商文件和成交供应商响应文件的规定，与成交供应商签订书面合同。所签订的合同不得对磋商文件确定的事项和成交供应商响应文件作实质性修改。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1.2政府采购合同应当包括采购人与成交供应商的名称和住所、标的、数量、质量、价款或者报酬、履行期限及地点和方式、验收要求、违约责任、解决争议的方法等内容。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1.3采购人与成交供应商应当根据合同的约定依法履行合同义务。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w:t>
      </w:r>
      <w:r>
        <w:rPr>
          <w:rFonts w:hint="eastAsia" w:ascii="宋体" w:hAnsi="宋体"/>
          <w:sz w:val="24"/>
          <w:szCs w:val="24"/>
          <w:lang w:val="en-US" w:eastAsia="zh-CN"/>
        </w:rPr>
        <w:t>鄂尔多斯市金博工程项目管理有限公司</w:t>
      </w:r>
      <w:r>
        <w:rPr>
          <w:rFonts w:hint="eastAsia" w:ascii="宋体" w:hAnsi="宋体"/>
          <w:sz w:val="24"/>
          <w:szCs w:val="24"/>
        </w:rPr>
        <w:t>（联系人：</w:t>
      </w:r>
      <w:r>
        <w:rPr>
          <w:rFonts w:hint="eastAsia" w:ascii="宋体" w:hAnsi="宋体"/>
          <w:sz w:val="24"/>
          <w:szCs w:val="24"/>
          <w:lang w:val="en-US" w:eastAsia="zh-CN"/>
        </w:rPr>
        <w:t>林晓伟</w:t>
      </w:r>
      <w:r>
        <w:rPr>
          <w:rFonts w:hint="eastAsia" w:ascii="宋体" w:hAnsi="宋体"/>
          <w:sz w:val="24"/>
          <w:szCs w:val="24"/>
        </w:rPr>
        <w:t>，联系电话：</w:t>
      </w:r>
      <w:r>
        <w:rPr>
          <w:rFonts w:hint="eastAsia" w:ascii="宋体" w:hAnsi="宋体"/>
          <w:sz w:val="24"/>
          <w:szCs w:val="24"/>
          <w:lang w:eastAsia="zh-CN"/>
        </w:rPr>
        <w:t>18947706825</w:t>
      </w:r>
      <w:r>
        <w:rPr>
          <w:rFonts w:hint="eastAsia" w:ascii="宋体" w:hAnsi="宋体"/>
          <w:sz w:val="24"/>
          <w:szCs w:val="24"/>
        </w:rPr>
        <w:t>）存档，逾期未签订合同或未按时交回合同，将按照相关法律法规做出相应处罚。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2.1具体格式见本磋商文件后附拟签订的《合同文本》（部分合同条款），响应文件中可以不提供《合同文本》。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政府采购相关范本）。验收合格后2个工作日内，中标人应将政府采购项目验收单送达至旗公共资源交易中心（联系人：</w:t>
      </w:r>
      <w:r>
        <w:rPr>
          <w:rFonts w:hint="eastAsia" w:ascii="宋体" w:hAnsi="宋体"/>
          <w:sz w:val="24"/>
          <w:szCs w:val="24"/>
          <w:lang w:val="en-US" w:eastAsia="zh-CN"/>
        </w:rPr>
        <w:t>林</w:t>
      </w:r>
      <w:r>
        <w:rPr>
          <w:rFonts w:hint="eastAsia" w:ascii="宋体" w:hAnsi="宋体"/>
          <w:sz w:val="24"/>
          <w:szCs w:val="24"/>
        </w:rPr>
        <w:t>先生，联系电话：</w:t>
      </w:r>
      <w:r>
        <w:rPr>
          <w:rFonts w:hint="eastAsia" w:ascii="宋体" w:hAnsi="宋体"/>
          <w:sz w:val="24"/>
          <w:szCs w:val="24"/>
          <w:lang w:eastAsia="zh-CN"/>
        </w:rPr>
        <w:t>18947706825</w:t>
      </w:r>
      <w:r>
        <w:rPr>
          <w:rFonts w:hint="eastAsia" w:ascii="宋体" w:hAnsi="宋体"/>
          <w:sz w:val="24"/>
          <w:szCs w:val="24"/>
        </w:rPr>
        <w:t xml:space="preserve"> ）存档。逾期未验收或未按时交回验收单，将按照相关法律法规做出相应处罚。</w:t>
      </w:r>
    </w:p>
    <w:p>
      <w:pPr>
        <w:jc w:val="center"/>
        <w:rPr>
          <w:rFonts w:ascii="宋体" w:hAnsi="宋体"/>
          <w:b/>
          <w:color w:val="000000"/>
          <w:sz w:val="24"/>
          <w:szCs w:val="24"/>
        </w:rPr>
      </w:pPr>
    </w:p>
    <w:p>
      <w:pPr>
        <w:jc w:val="center"/>
        <w:rPr>
          <w:rFonts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ascii="宋体" w:hAnsi="宋体"/>
          <w:b/>
          <w:bCs/>
          <w:color w:val="000000"/>
          <w:kern w:val="44"/>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Theme="minorEastAsia" w:hAnsiTheme="minorEastAsia" w:eastAsiaTheme="minorEastAsia"/>
          <w:b w:val="0"/>
          <w:bCs/>
          <w:color w:val="FF0000"/>
          <w:sz w:val="24"/>
          <w:szCs w:val="24"/>
        </w:rPr>
      </w:pPr>
      <w:r>
        <w:rPr>
          <w:rFonts w:hint="eastAsia" w:asciiTheme="minorEastAsia" w:hAnsiTheme="minorEastAsia" w:eastAsiaTheme="minorEastAsia"/>
          <w:b w:val="0"/>
          <w:bCs/>
          <w:sz w:val="24"/>
          <w:szCs w:val="24"/>
        </w:rPr>
        <w:t>甲方：</w:t>
      </w:r>
      <w:r>
        <w:rPr>
          <w:rFonts w:hint="eastAsia" w:asciiTheme="minorEastAsia" w:hAnsiTheme="minorEastAsia" w:eastAsiaTheme="minorEastAsia"/>
          <w:b w:val="0"/>
          <w:bCs/>
          <w:sz w:val="24"/>
          <w:szCs w:val="24"/>
          <w:u w:val="single"/>
          <w:lang w:eastAsia="zh-CN"/>
        </w:rPr>
        <w:t>鄂托克前旗卫生健康委员会</w:t>
      </w:r>
    </w:p>
    <w:p>
      <w:pPr>
        <w:rPr>
          <w:rFonts w:hint="default" w:asciiTheme="minorEastAsia" w:hAnsiTheme="minorEastAsia" w:eastAsiaTheme="minorEastAsia"/>
          <w:b w:val="0"/>
          <w:bCs/>
          <w:sz w:val="24"/>
          <w:szCs w:val="24"/>
          <w:lang w:val="en-US" w:eastAsia="zh-CN"/>
        </w:rPr>
      </w:pPr>
      <w:r>
        <w:rPr>
          <w:rFonts w:hint="eastAsia" w:asciiTheme="minorEastAsia" w:hAnsiTheme="minorEastAsia" w:eastAsiaTheme="minorEastAsia"/>
          <w:b w:val="0"/>
          <w:bCs/>
          <w:sz w:val="24"/>
          <w:szCs w:val="24"/>
        </w:rPr>
        <w:t>地址：</w:t>
      </w:r>
      <w:r>
        <w:rPr>
          <w:rFonts w:hint="eastAsia" w:asciiTheme="minorEastAsia" w:hAnsiTheme="minorEastAsia" w:eastAsiaTheme="minorEastAsia"/>
          <w:b w:val="0"/>
          <w:bCs/>
          <w:sz w:val="24"/>
          <w:szCs w:val="24"/>
          <w:u w:val="single"/>
          <w:lang w:val="en-US" w:eastAsia="zh-CN"/>
        </w:rPr>
        <w:t>鄂托克前旗敖镇</w:t>
      </w:r>
    </w:p>
    <w:p>
      <w:pPr>
        <w:rPr>
          <w:rFonts w:asciiTheme="minorEastAsia" w:hAnsiTheme="minorEastAsia" w:eastAsiaTheme="minorEastAsia"/>
          <w:b w:val="0"/>
          <w:bCs/>
          <w:color w:val="FF0000"/>
          <w:sz w:val="24"/>
          <w:szCs w:val="24"/>
        </w:rPr>
      </w:pPr>
      <w:r>
        <w:rPr>
          <w:rFonts w:hint="eastAsia" w:asciiTheme="minorEastAsia" w:hAnsiTheme="minorEastAsia" w:eastAsiaTheme="minorEastAsia"/>
          <w:b w:val="0"/>
          <w:bCs/>
          <w:sz w:val="24"/>
          <w:szCs w:val="24"/>
        </w:rPr>
        <w:t>乙方：</w:t>
      </w:r>
      <w:r>
        <w:rPr>
          <w:rFonts w:hint="eastAsia" w:asciiTheme="minorEastAsia" w:hAnsiTheme="minorEastAsia" w:eastAsiaTheme="minorEastAsia"/>
          <w:b w:val="0"/>
          <w:bCs/>
          <w:color w:val="FF0000"/>
          <w:sz w:val="24"/>
          <w:szCs w:val="24"/>
          <w:u w:val="single"/>
        </w:rPr>
        <w:t>***（填写中标供应商）</w:t>
      </w:r>
    </w:p>
    <w:p>
      <w:pPr>
        <w:rPr>
          <w:rFonts w:hint="default" w:asciiTheme="minorEastAsia" w:hAnsiTheme="minorEastAsia" w:eastAsiaTheme="minorEastAsia"/>
          <w:b w:val="0"/>
          <w:bCs/>
          <w:sz w:val="24"/>
          <w:szCs w:val="24"/>
          <w:u w:val="single"/>
          <w:lang w:val="en-US" w:eastAsia="zh-CN"/>
        </w:rPr>
      </w:pPr>
      <w:r>
        <w:rPr>
          <w:rFonts w:hint="eastAsia" w:asciiTheme="minorEastAsia" w:hAnsiTheme="minorEastAsia" w:eastAsiaTheme="minorEastAsia"/>
          <w:b w:val="0"/>
          <w:bCs/>
          <w:sz w:val="24"/>
          <w:szCs w:val="24"/>
        </w:rPr>
        <w:t>地址：</w:t>
      </w:r>
      <w:r>
        <w:rPr>
          <w:rFonts w:hint="eastAsia" w:asciiTheme="minorEastAsia" w:hAnsiTheme="minorEastAsia" w:eastAsiaTheme="minorEastAsia"/>
          <w:b w:val="0"/>
          <w:bCs/>
          <w:sz w:val="24"/>
          <w:szCs w:val="24"/>
          <w:u w:val="single"/>
          <w:lang w:val="en-US" w:eastAsia="zh-CN"/>
        </w:rPr>
        <w:t xml:space="preserve">                     </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val="0"/>
          <w:bCs/>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鄂托克前旗卫生健康委员会采购卫生院“清零达标”设备项目</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none"/>
        </w:rPr>
        <w:t>）</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磋商</w:t>
      </w:r>
      <w:r>
        <w:rPr>
          <w:rFonts w:hint="eastAsia" w:asciiTheme="minorEastAsia" w:hAnsiTheme="minorEastAsia" w:eastAsiaTheme="minorEastAsia"/>
          <w:sz w:val="24"/>
          <w:szCs w:val="24"/>
        </w:rPr>
        <w:t>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4、响应文件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二、本合同所提供的标的物、数量及规格等详见中标结果公告及后附清单。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color w:val="FF6600"/>
          <w:sz w:val="24"/>
          <w:szCs w:val="24"/>
        </w:rPr>
        <w:t>***（见</w:t>
      </w:r>
      <w:r>
        <w:rPr>
          <w:rFonts w:hint="eastAsia" w:cs="宋体" w:asciiTheme="minorEastAsia" w:hAnsiTheme="minorEastAsia" w:eastAsiaTheme="minorEastAsia"/>
          <w:color w:val="FF6600"/>
          <w:sz w:val="24"/>
          <w:szCs w:val="24"/>
          <w:lang w:eastAsia="zh-CN"/>
        </w:rPr>
        <w:t>磋商</w:t>
      </w:r>
      <w:r>
        <w:rPr>
          <w:rFonts w:hint="eastAsia" w:cs="宋体" w:asciiTheme="minorEastAsia" w:hAnsiTheme="minorEastAsia" w:eastAsiaTheme="minorEastAsia"/>
          <w:color w:val="FF6600"/>
          <w:sz w:val="24"/>
          <w:szCs w:val="24"/>
        </w:rPr>
        <w:t>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五、交货安装</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交货时间：</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交货地点：</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六、质量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七、包装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八、运输要求</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（一）运输方式及线路：</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（二）运输及相关费用由乙方承担。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（一）乙方将标的物送达至甲方指定的地点后，由甲乙双方及第三方（如有）一同验收并签字确认。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（二）对标的物的质量问题，甲方应在发现后向乙方提出书面异议，乙方在接到书面异议后，应当在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日内负责处理。甲方逾期提出的，对所交标的物视为符合合同的规定。如果乙方在响应文件及</w:t>
      </w:r>
      <w:r>
        <w:rPr>
          <w:rFonts w:hint="eastAsia" w:asciiTheme="minorEastAsia" w:hAnsiTheme="minorEastAsia" w:eastAsiaTheme="minorEastAsia"/>
          <w:sz w:val="24"/>
          <w:szCs w:val="24"/>
          <w:lang w:eastAsia="zh-CN"/>
        </w:rPr>
        <w:t>磋商</w:t>
      </w:r>
      <w:r>
        <w:rPr>
          <w:rFonts w:hint="eastAsia" w:asciiTheme="minorEastAsia" w:hAnsiTheme="minorEastAsia" w:eastAsiaTheme="minorEastAsia"/>
          <w:sz w:val="24"/>
          <w:szCs w:val="24"/>
        </w:rPr>
        <w:t>过程中做出的书面说明及承诺中，有明确质量保证期的，适用质量保证期。</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（三）经双方共同验收，标的物达不到质量或规格要求的，甲方可以拒收，并可解除合同且不承担任何法律责任，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十一、售后服务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（一）乙方应按</w:t>
      </w:r>
      <w:r>
        <w:rPr>
          <w:rFonts w:hint="eastAsia" w:asciiTheme="minorEastAsia" w:hAnsiTheme="minorEastAsia" w:eastAsiaTheme="minorEastAsia"/>
          <w:sz w:val="24"/>
          <w:szCs w:val="24"/>
          <w:lang w:eastAsia="zh-CN"/>
        </w:rPr>
        <w:t>磋商</w:t>
      </w:r>
      <w:r>
        <w:rPr>
          <w:rFonts w:hint="eastAsia" w:asciiTheme="minorEastAsia" w:hAnsiTheme="minorEastAsia" w:eastAsiaTheme="minorEastAsia"/>
          <w:sz w:val="24"/>
          <w:szCs w:val="24"/>
        </w:rPr>
        <w:t>文件、响应文件及乙方在</w:t>
      </w:r>
      <w:r>
        <w:rPr>
          <w:rFonts w:hint="eastAsia" w:asciiTheme="minorEastAsia" w:hAnsiTheme="minorEastAsia" w:eastAsiaTheme="minorEastAsia"/>
          <w:sz w:val="24"/>
          <w:szCs w:val="24"/>
          <w:lang w:eastAsia="zh-CN"/>
        </w:rPr>
        <w:t>磋商</w:t>
      </w:r>
      <w:r>
        <w:rPr>
          <w:rFonts w:hint="eastAsia" w:asciiTheme="minorEastAsia" w:hAnsiTheme="minorEastAsia" w:eastAsiaTheme="minorEastAsia"/>
          <w:sz w:val="24"/>
          <w:szCs w:val="24"/>
        </w:rPr>
        <w:t>过程中做出的书面说明或承诺提供及时、快速、优质的售后服务。</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（二）其他售后服务内容：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color w:val="E36C0A"/>
          <w:sz w:val="24"/>
          <w:szCs w:val="24"/>
          <w:u w:val="single"/>
        </w:rPr>
        <w:t xml:space="preserve">（响应文件售后承诺等） </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（一）乙方逾期交付标的物、甲方逾期付款，按日承担违约部分合同金额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十四、争议的解决方式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十五、合同保存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合同文本一式五份，采购单位、供应商、政府采购监管部门、鄂尔多斯市鄂托克前旗公共资源交易中心、国库支付执行机构各一份，自双方签订之日起生效。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十六、</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供应商法人代表：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附表：标的物清单（主要技术参数需与响应文件相一致）                                                </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 称</w:t>
            </w:r>
          </w:p>
        </w:tc>
        <w:tc>
          <w:tcPr>
            <w:tcW w:w="408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品牌、规格、标准</w:t>
            </w:r>
          </w:p>
        </w:tc>
        <w:tc>
          <w:tcPr>
            <w:tcW w:w="61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产地</w:t>
            </w:r>
          </w:p>
        </w:tc>
        <w:tc>
          <w:tcPr>
            <w:tcW w:w="93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4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1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4082" w:type="dxa"/>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6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5" w:type="dxa"/>
            <w:gridSpan w:val="5"/>
            <w:vAlign w:val="center"/>
          </w:tcPr>
          <w:p>
            <w:pP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人民币大写：**</w:t>
            </w:r>
            <w:r>
              <w:rPr>
                <w:rFonts w:asciiTheme="minorEastAsia" w:hAnsiTheme="minorEastAsia" w:eastAsiaTheme="minorEastAsia"/>
                <w:color w:val="000000"/>
                <w:sz w:val="24"/>
                <w:szCs w:val="24"/>
              </w:rPr>
              <w:t>元</w:t>
            </w:r>
            <w:r>
              <w:rPr>
                <w:rFonts w:hint="eastAsia" w:asciiTheme="minorEastAsia" w:hAnsiTheme="minorEastAsia" w:eastAsiaTheme="minorEastAsia"/>
                <w:color w:val="000000"/>
                <w:sz w:val="24"/>
                <w:szCs w:val="24"/>
              </w:rPr>
              <w:t>整</w:t>
            </w:r>
          </w:p>
        </w:tc>
        <w:tc>
          <w:tcPr>
            <w:tcW w:w="1413" w:type="dxa"/>
            <w:vAlign w:val="center"/>
          </w:tcPr>
          <w:p>
            <w:pPr>
              <w:jc w:val="cente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p>
        </w:tc>
      </w:tr>
    </w:tbl>
    <w:p>
      <w:pPr>
        <w:jc w:val="center"/>
        <w:outlineLvl w:val="0"/>
        <w:rPr>
          <w:rFonts w:ascii="宋体" w:hAnsi="宋体"/>
          <w:b/>
          <w:bCs/>
          <w:color w:val="000000"/>
          <w:kern w:val="44"/>
          <w:sz w:val="24"/>
          <w:szCs w:val="24"/>
          <w:lang w:val="zh-CN"/>
        </w:rPr>
      </w:pPr>
      <w:r>
        <w:rPr>
          <w:rFonts w:ascii="宋体" w:hAnsi="宋体"/>
          <w:b/>
          <w:bCs/>
          <w:color w:val="000000"/>
          <w:kern w:val="44"/>
          <w:sz w:val="24"/>
          <w:szCs w:val="24"/>
          <w:lang w:val="zh-CN"/>
        </w:rPr>
        <w:br w:type="page"/>
      </w:r>
    </w:p>
    <w:p>
      <w:pPr>
        <w:jc w:val="center"/>
        <w:outlineLvl w:val="0"/>
        <w:rPr>
          <w:rFonts w:ascii="宋体" w:hAnsi="宋体"/>
          <w:b/>
          <w:bCs/>
          <w:color w:val="000000" w:themeColor="text1"/>
          <w:kern w:val="44"/>
          <w:sz w:val="24"/>
          <w:szCs w:val="24"/>
          <w:lang w:val="zh-CN"/>
          <w14:textFill>
            <w14:solidFill>
              <w14:schemeClr w14:val="tx1"/>
            </w14:solidFill>
          </w14:textFill>
        </w:rPr>
      </w:pPr>
      <w:bookmarkStart w:id="5" w:name="_Toc497408603"/>
      <w:r>
        <w:rPr>
          <w:rFonts w:hint="eastAsia" w:ascii="宋体" w:hAnsi="宋体"/>
          <w:b/>
          <w:bCs/>
          <w:color w:val="000000" w:themeColor="text1"/>
          <w:kern w:val="44"/>
          <w:sz w:val="24"/>
          <w:szCs w:val="24"/>
          <w:lang w:val="zh-CN"/>
          <w14:textFill>
            <w14:solidFill>
              <w14:schemeClr w14:val="tx1"/>
            </w14:solidFill>
          </w14:textFill>
        </w:rPr>
        <w:t>第四章 磋商内容与技术要求</w:t>
      </w:r>
      <w:bookmarkEnd w:id="5"/>
    </w:p>
    <w:p>
      <w:pPr>
        <w:jc w:val="left"/>
        <w:rPr>
          <w:rFonts w:hAnsi="宋体"/>
          <w:color w:val="000000" w:themeColor="text1"/>
          <w:sz w:val="24"/>
          <w:szCs w:val="24"/>
          <w14:textFill>
            <w14:solidFill>
              <w14:schemeClr w14:val="tx1"/>
            </w14:solidFill>
          </w14:textFill>
        </w:rPr>
      </w:pPr>
      <w:r>
        <w:rPr>
          <w:rFonts w:hint="eastAsia" w:ascii="宋体" w:hAnsi="宋体"/>
          <w:b/>
          <w:bCs/>
          <w:color w:val="000000" w:themeColor="text1"/>
          <w:kern w:val="44"/>
          <w:sz w:val="24"/>
          <w:szCs w:val="24"/>
          <w:lang w:val="zh-CN"/>
          <w14:textFill>
            <w14:solidFill>
              <w14:schemeClr w14:val="tx1"/>
            </w14:solidFill>
          </w14:textFill>
        </w:rPr>
        <w:t>一、主要商务要求</w:t>
      </w:r>
    </w:p>
    <w:tbl>
      <w:tblPr>
        <w:tblStyle w:val="26"/>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8"/>
              <w:ind w:firstLine="0" w:firstLineChars="0"/>
              <w:jc w:val="center"/>
              <w:rPr>
                <w:rFonts w:ascii="宋体" w:hAnsi="宋体"/>
                <w:color w:val="000000" w:themeColor="text1"/>
                <w:sz w:val="24"/>
                <w:szCs w:val="24"/>
                <w14:textFill>
                  <w14:solidFill>
                    <w14:schemeClr w14:val="tx1"/>
                  </w14:solidFill>
                </w14:textFill>
              </w:rPr>
            </w:pPr>
            <w:bookmarkStart w:id="6" w:name="_Toc491862079"/>
            <w:r>
              <w:rPr>
                <w:rFonts w:hint="eastAsia" w:ascii="宋体" w:hAnsi="宋体"/>
                <w:color w:val="000000" w:themeColor="text1"/>
                <w:sz w:val="24"/>
                <w:szCs w:val="24"/>
                <w14:textFill>
                  <w14:solidFill>
                    <w14:schemeClr w14:val="tx1"/>
                  </w14:solidFill>
                </w14:textFill>
              </w:rPr>
              <w:t xml:space="preserve">   主要商务条款</w:t>
            </w:r>
            <w:bookmarkEnd w:id="6"/>
          </w:p>
        </w:tc>
        <w:tc>
          <w:tcPr>
            <w:tcW w:w="6873" w:type="dxa"/>
            <w:vAlign w:val="center"/>
          </w:tcPr>
          <w:p>
            <w:pPr>
              <w:pStyle w:val="48"/>
              <w:ind w:firstLine="0" w:firstLineChars="0"/>
              <w:jc w:val="center"/>
              <w:rPr>
                <w:rFonts w:ascii="宋体" w:hAnsi="宋体"/>
                <w:color w:val="000000" w:themeColor="text1"/>
                <w:sz w:val="24"/>
                <w:szCs w:val="24"/>
                <w14:textFill>
                  <w14:solidFill>
                    <w14:schemeClr w14:val="tx1"/>
                  </w14:solidFill>
                </w14:textFill>
              </w:rPr>
            </w:pPr>
            <w:bookmarkStart w:id="7" w:name="_Toc491862080"/>
            <w:r>
              <w:rPr>
                <w:rFonts w:hint="eastAsia" w:ascii="宋体" w:hAnsi="宋体"/>
                <w:color w:val="000000" w:themeColor="text1"/>
                <w:sz w:val="24"/>
                <w:szCs w:val="24"/>
                <w14:textFill>
                  <w14:solidFill>
                    <w14:schemeClr w14:val="tx1"/>
                  </w14:solidFill>
                </w14:textFill>
              </w:rPr>
              <w:t>具体要求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8"/>
              <w:ind w:firstLine="0" w:firstLineChars="0"/>
              <w:jc w:val="center"/>
              <w:rPr>
                <w:rFonts w:ascii="宋体" w:hAnsi="宋体"/>
                <w:color w:val="000000" w:themeColor="text1"/>
                <w:sz w:val="24"/>
                <w:szCs w:val="24"/>
                <w14:textFill>
                  <w14:solidFill>
                    <w14:schemeClr w14:val="tx1"/>
                  </w14:solidFill>
                </w14:textFill>
              </w:rPr>
            </w:pPr>
            <w:bookmarkStart w:id="8" w:name="_Toc491862082"/>
            <w:r>
              <w:rPr>
                <w:rFonts w:hint="eastAsia" w:ascii="宋体" w:hAnsi="宋体"/>
                <w:color w:val="000000" w:themeColor="text1"/>
                <w:sz w:val="24"/>
                <w:szCs w:val="24"/>
                <w14:textFill>
                  <w14:solidFill>
                    <w14:schemeClr w14:val="tx1"/>
                  </w14:solidFill>
                </w14:textFill>
              </w:rPr>
              <w:t xml:space="preserve">  采购预算</w:t>
            </w:r>
            <w:bookmarkEnd w:id="8"/>
          </w:p>
        </w:tc>
        <w:tc>
          <w:tcPr>
            <w:tcW w:w="6873" w:type="dxa"/>
            <w:vAlign w:val="center"/>
          </w:tcPr>
          <w:p>
            <w:pPr>
              <w:rPr>
                <w:rFonts w:ascii="宋体" w:hAnsi="宋体"/>
                <w:color w:val="000000" w:themeColor="text1"/>
                <w:sz w:val="24"/>
                <w:szCs w:val="24"/>
                <w14:textFill>
                  <w14:solidFill>
                    <w14:schemeClr w14:val="tx1"/>
                  </w14:solidFill>
                </w14:textFill>
              </w:rPr>
            </w:pPr>
            <w:bookmarkStart w:id="9" w:name="_Toc491862083"/>
            <w:r>
              <w:rPr>
                <w:rFonts w:hint="eastAsia" w:ascii="宋体" w:hAnsi="宋体"/>
                <w:color w:val="000000" w:themeColor="text1"/>
                <w:sz w:val="24"/>
                <w:szCs w:val="24"/>
                <w:lang w:eastAsia="zh-CN"/>
                <w14:textFill>
                  <w14:solidFill>
                    <w14:schemeClr w14:val="tx1"/>
                  </w14:solidFill>
                </w14:textFill>
              </w:rPr>
              <w:t>940000</w:t>
            </w:r>
            <w:r>
              <w:rPr>
                <w:rFonts w:ascii="宋体" w:hAnsi="宋体"/>
                <w:color w:val="000000" w:themeColor="text1"/>
                <w:sz w:val="24"/>
                <w:szCs w:val="24"/>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jc w:val="center"/>
              <w:rPr>
                <w:rFonts w:hint="eastAsia"/>
                <w:sz w:val="24"/>
                <w:szCs w:val="18"/>
              </w:rPr>
            </w:pPr>
            <w:r>
              <w:rPr>
                <w:rFonts w:hint="eastAsia"/>
                <w:sz w:val="24"/>
                <w:szCs w:val="18"/>
              </w:rPr>
              <w:t>交付使用时间</w:t>
            </w:r>
          </w:p>
        </w:tc>
        <w:tc>
          <w:tcPr>
            <w:tcW w:w="6873" w:type="dxa"/>
            <w:vAlign w:val="center"/>
          </w:tcPr>
          <w:p>
            <w:pPr>
              <w:jc w:val="both"/>
              <w:rPr>
                <w:rFonts w:hint="eastAsia"/>
                <w:sz w:val="24"/>
                <w:szCs w:val="18"/>
                <w:lang w:eastAsia="zh-CN"/>
              </w:rPr>
            </w:pPr>
            <w:r>
              <w:rPr>
                <w:rFonts w:hint="eastAsia"/>
                <w:sz w:val="24"/>
                <w:szCs w:val="18"/>
              </w:rPr>
              <w:t>合同签订后</w:t>
            </w:r>
            <w:r>
              <w:rPr>
                <w:rFonts w:hint="eastAsia"/>
                <w:sz w:val="24"/>
                <w:szCs w:val="18"/>
                <w:lang w:val="en-US" w:eastAsia="zh-CN"/>
              </w:rPr>
              <w:t>20</w:t>
            </w:r>
            <w:r>
              <w:rPr>
                <w:rFonts w:hint="eastAsia"/>
                <w:sz w:val="24"/>
                <w:szCs w:val="1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38" w:type="dxa"/>
            <w:vAlign w:val="center"/>
          </w:tcPr>
          <w:p>
            <w:pPr>
              <w:jc w:val="center"/>
              <w:rPr>
                <w:rFonts w:hint="eastAsia"/>
                <w:sz w:val="24"/>
                <w:szCs w:val="18"/>
                <w:lang w:eastAsia="zh-CN"/>
              </w:rPr>
            </w:pPr>
            <w:r>
              <w:rPr>
                <w:rFonts w:hint="eastAsia"/>
                <w:sz w:val="24"/>
                <w:szCs w:val="18"/>
                <w:lang w:val="en-US" w:eastAsia="zh-CN"/>
              </w:rPr>
              <w:t>质保期</w:t>
            </w:r>
          </w:p>
        </w:tc>
        <w:tc>
          <w:tcPr>
            <w:tcW w:w="6873" w:type="dxa"/>
            <w:vAlign w:val="center"/>
          </w:tcPr>
          <w:p>
            <w:pPr>
              <w:jc w:val="both"/>
              <w:rPr>
                <w:sz w:val="24"/>
                <w:szCs w:val="18"/>
              </w:rPr>
            </w:pPr>
            <w:r>
              <w:rPr>
                <w:rFonts w:hint="eastAsia"/>
                <w:sz w:val="24"/>
                <w:szCs w:val="1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8"/>
              <w:ind w:firstLine="0" w:firstLineChars="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交付使用地点</w:t>
            </w:r>
          </w:p>
        </w:tc>
        <w:tc>
          <w:tcPr>
            <w:tcW w:w="6873" w:type="dxa"/>
            <w:vAlign w:val="center"/>
          </w:tcPr>
          <w:p>
            <w:pPr>
              <w:pStyle w:val="48"/>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8"/>
              <w:ind w:firstLine="0" w:firstLineChars="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投标有效期</w:t>
            </w:r>
          </w:p>
        </w:tc>
        <w:tc>
          <w:tcPr>
            <w:tcW w:w="6873" w:type="dxa"/>
            <w:vAlign w:val="center"/>
          </w:tcPr>
          <w:p>
            <w:pPr>
              <w:pStyle w:val="48"/>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从提交响应文件的截止之日起</w:t>
            </w:r>
            <w:r>
              <w:rPr>
                <w:rFonts w:hint="eastAsia" w:ascii="宋体" w:hAnsi="宋体"/>
                <w:color w:val="000000" w:themeColor="text1"/>
                <w:sz w:val="24"/>
                <w:szCs w:val="24"/>
                <w:u w:val="single"/>
                <w14:textFill>
                  <w14:solidFill>
                    <w14:schemeClr w14:val="tx1"/>
                  </w14:solidFill>
                </w14:textFill>
              </w:rPr>
              <w:t>90</w:t>
            </w:r>
            <w:r>
              <w:rPr>
                <w:rFonts w:hint="eastAsia" w:ascii="宋体" w:hAnsi="宋体"/>
                <w:color w:val="000000" w:themeColor="text1"/>
                <w:sz w:val="24"/>
                <w:szCs w:val="24"/>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8"/>
              <w:ind w:firstLine="0" w:firstLineChars="0"/>
              <w:jc w:val="center"/>
              <w:rPr>
                <w:rFonts w:ascii="宋体" w:hAnsi="宋体"/>
                <w:color w:val="000000" w:themeColor="text1"/>
                <w:sz w:val="24"/>
                <w:szCs w:val="24"/>
                <w14:textFill>
                  <w14:solidFill>
                    <w14:schemeClr w14:val="tx1"/>
                  </w14:solidFill>
                </w14:textFill>
              </w:rPr>
            </w:pPr>
            <w:bookmarkStart w:id="10" w:name="_Toc491862095"/>
            <w:r>
              <w:rPr>
                <w:rFonts w:hint="eastAsia" w:ascii="宋体" w:hAnsi="宋体"/>
                <w:color w:val="000000" w:themeColor="text1"/>
                <w:sz w:val="24"/>
                <w:szCs w:val="24"/>
                <w14:textFill>
                  <w14:solidFill>
                    <w14:schemeClr w14:val="tx1"/>
                  </w14:solidFill>
                </w14:textFill>
              </w:rPr>
              <w:t>付款方式</w:t>
            </w:r>
            <w:bookmarkEnd w:id="10"/>
          </w:p>
        </w:tc>
        <w:tc>
          <w:tcPr>
            <w:tcW w:w="6873" w:type="dxa"/>
            <w:vAlign w:val="center"/>
          </w:tcPr>
          <w:p>
            <w:pPr>
              <w:pStyle w:val="48"/>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国库集中支付（合同中另行约定）</w:t>
            </w:r>
          </w:p>
        </w:tc>
      </w:tr>
    </w:tbl>
    <w:p>
      <w:pPr>
        <w:numPr>
          <w:ilvl w:val="0"/>
          <w:numId w:val="0"/>
        </w:numPr>
        <w:spacing w:line="360" w:lineRule="auto"/>
        <w:jc w:val="left"/>
        <w:rPr>
          <w:rFonts w:hint="eastAsia" w:hAnsi="宋体"/>
          <w:b/>
          <w:sz w:val="24"/>
          <w:szCs w:val="24"/>
          <w:lang w:val="en-US" w:eastAsia="zh-CN"/>
        </w:rPr>
      </w:pPr>
    </w:p>
    <w:p>
      <w:pPr>
        <w:numPr>
          <w:ilvl w:val="0"/>
          <w:numId w:val="0"/>
        </w:numPr>
        <w:spacing w:line="360" w:lineRule="auto"/>
        <w:jc w:val="left"/>
        <w:rPr>
          <w:rFonts w:ascii="宋体" w:hAnsi="宋体"/>
          <w:b/>
          <w:bCs/>
          <w:color w:val="000000"/>
          <w:kern w:val="44"/>
          <w:sz w:val="24"/>
          <w:szCs w:val="24"/>
        </w:rPr>
      </w:pPr>
      <w:r>
        <w:rPr>
          <w:rFonts w:hint="eastAsia" w:hAnsi="宋体"/>
          <w:b/>
          <w:sz w:val="24"/>
          <w:szCs w:val="24"/>
          <w:lang w:val="en-US" w:eastAsia="zh-CN"/>
        </w:rPr>
        <w:t>二、</w:t>
      </w:r>
      <w:r>
        <w:rPr>
          <w:rFonts w:hint="eastAsia" w:hAnsi="宋体"/>
          <w:b/>
          <w:sz w:val="24"/>
          <w:szCs w:val="24"/>
        </w:rPr>
        <w:t>技术标准与要求：</w:t>
      </w:r>
      <w:bookmarkStart w:id="11" w:name="_Toc494546014"/>
      <w:bookmarkStart w:id="12" w:name="_Toc497408604"/>
    </w:p>
    <w:tbl>
      <w:tblPr>
        <w:tblStyle w:val="2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3348"/>
        <w:gridCol w:w="3564"/>
        <w:gridCol w:w="781"/>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8"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编号</w:t>
            </w:r>
          </w:p>
        </w:tc>
        <w:tc>
          <w:tcPr>
            <w:tcW w:w="3348"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货物名称</w:t>
            </w:r>
          </w:p>
        </w:tc>
        <w:tc>
          <w:tcPr>
            <w:tcW w:w="3564"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技术参数和</w:t>
            </w:r>
            <w:r>
              <w:rPr>
                <w:rFonts w:hint="eastAsia" w:ascii="宋体" w:hAnsi="宋体" w:cs="宋体"/>
                <w:b/>
                <w:bCs/>
                <w:sz w:val="24"/>
                <w:szCs w:val="24"/>
              </w:rPr>
              <w:t>性能指标</w:t>
            </w:r>
          </w:p>
        </w:tc>
        <w:tc>
          <w:tcPr>
            <w:tcW w:w="781"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数量</w:t>
            </w:r>
          </w:p>
        </w:tc>
        <w:tc>
          <w:tcPr>
            <w:tcW w:w="856"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b/>
                <w:bCs/>
                <w:kern w:val="0"/>
                <w:sz w:val="24"/>
                <w:szCs w:val="24"/>
              </w:rPr>
            </w:pPr>
            <w:r>
              <w:rPr>
                <w:rFonts w:hint="eastAsia" w:ascii="宋体" w:hAnsi="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48" w:type="dxa"/>
            <w:tcBorders>
              <w:tl2br w:val="nil"/>
              <w:tr2bl w:val="nil"/>
            </w:tcBorders>
            <w:vAlign w:val="center"/>
          </w:tcPr>
          <w:p>
            <w:pPr>
              <w:keepNext w:val="0"/>
              <w:keepLines w:val="0"/>
              <w:suppressLineNumbers w:val="0"/>
              <w:spacing w:before="0" w:beforeAutospacing="0" w:after="0" w:afterAutospacing="0"/>
              <w:ind w:left="0" w:right="0"/>
              <w:jc w:val="center"/>
              <w:rPr>
                <w:rFonts w:ascii="宋体" w:hAnsi="宋体" w:cs="宋体"/>
                <w:kern w:val="0"/>
                <w:sz w:val="24"/>
                <w:szCs w:val="24"/>
              </w:rPr>
            </w:pPr>
            <w:r>
              <w:rPr>
                <w:rFonts w:hint="eastAsia" w:ascii="宋体" w:hAnsi="宋体" w:cs="宋体"/>
                <w:kern w:val="0"/>
                <w:sz w:val="24"/>
                <w:szCs w:val="24"/>
              </w:rPr>
              <w:t>1</w:t>
            </w:r>
          </w:p>
        </w:tc>
        <w:tc>
          <w:tcPr>
            <w:tcW w:w="334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kern w:val="0"/>
                <w:sz w:val="24"/>
                <w:szCs w:val="24"/>
                <w:lang w:val="en-US" w:eastAsia="zh-CN"/>
              </w:rPr>
            </w:pPr>
            <w:r>
              <w:rPr>
                <w:rFonts w:hint="eastAsia" w:ascii="宋体" w:hAnsi="宋体"/>
                <w:sz w:val="24"/>
              </w:rPr>
              <w:t>数字化X线摄影系统（DR）</w:t>
            </w:r>
          </w:p>
        </w:tc>
        <w:tc>
          <w:tcPr>
            <w:tcW w:w="3564"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ascii="宋体" w:hAnsi="宋体" w:cs="宋体"/>
                <w:color w:val="000000"/>
                <w:sz w:val="24"/>
                <w:szCs w:val="24"/>
              </w:rPr>
            </w:pPr>
            <w:r>
              <w:rPr>
                <w:rFonts w:hint="eastAsia" w:ascii="宋体" w:hAnsi="宋体" w:cs="宋体"/>
                <w:color w:val="000000"/>
                <w:sz w:val="24"/>
                <w:szCs w:val="24"/>
              </w:rPr>
              <w:t>附表1</w:t>
            </w:r>
          </w:p>
        </w:tc>
        <w:tc>
          <w:tcPr>
            <w:tcW w:w="781"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1</w:t>
            </w:r>
          </w:p>
        </w:tc>
        <w:tc>
          <w:tcPr>
            <w:tcW w:w="856"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48"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334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kern w:val="0"/>
                <w:sz w:val="24"/>
                <w:szCs w:val="24"/>
                <w:lang w:val="en-US" w:eastAsia="zh-CN"/>
              </w:rPr>
            </w:pPr>
            <w:r>
              <w:rPr>
                <w:rFonts w:hint="default" w:ascii="宋体" w:hAnsi="宋体" w:cs="宋体"/>
                <w:b w:val="0"/>
                <w:bCs w:val="0"/>
                <w:kern w:val="0"/>
                <w:sz w:val="24"/>
                <w:szCs w:val="24"/>
                <w:lang w:val="en-US" w:eastAsia="zh-CN"/>
              </w:rPr>
              <w:t>全自动生化分析仪</w:t>
            </w:r>
          </w:p>
        </w:tc>
        <w:tc>
          <w:tcPr>
            <w:tcW w:w="3564" w:type="dxa"/>
            <w:tcBorders>
              <w:tl2br w:val="nil"/>
              <w:tr2bl w:val="nil"/>
            </w:tcBorders>
            <w:vAlign w:val="center"/>
          </w:tcPr>
          <w:p>
            <w:pPr>
              <w:keepNext w:val="0"/>
              <w:keepLines w:val="0"/>
              <w:suppressLineNumbers w:val="0"/>
              <w:spacing w:before="0" w:beforeAutospacing="0" w:after="0" w:afterAutospacing="0" w:line="384" w:lineRule="atLeast"/>
              <w:ind w:left="0" w:right="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2</w:t>
            </w:r>
          </w:p>
        </w:tc>
        <w:tc>
          <w:tcPr>
            <w:tcW w:w="781"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1</w:t>
            </w:r>
          </w:p>
        </w:tc>
        <w:tc>
          <w:tcPr>
            <w:tcW w:w="856"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val="0"/>
                <w:bCs w:val="0"/>
                <w:kern w:val="0"/>
                <w:sz w:val="24"/>
                <w:szCs w:val="24"/>
                <w:lang w:val="en-US" w:eastAsia="zh-CN"/>
              </w:rPr>
            </w:pPr>
            <w:r>
              <w:rPr>
                <w:rFonts w:hint="eastAsia" w:ascii="宋体" w:hAnsi="宋体" w:cs="宋体"/>
                <w:b w:val="0"/>
                <w:bCs w:val="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4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334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kern w:val="0"/>
                <w:sz w:val="24"/>
                <w:szCs w:val="24"/>
                <w:lang w:val="en-US" w:eastAsia="zh-CN"/>
              </w:rPr>
            </w:pPr>
            <w:r>
              <w:rPr>
                <w:rFonts w:hint="default" w:ascii="宋体" w:hAnsi="宋体" w:cs="宋体"/>
                <w:b w:val="0"/>
                <w:bCs w:val="0"/>
                <w:kern w:val="0"/>
                <w:sz w:val="24"/>
                <w:szCs w:val="24"/>
                <w:lang w:val="en-US" w:eastAsia="zh-CN"/>
              </w:rPr>
              <w:t>全自动尿液有形成分分析仪</w:t>
            </w:r>
          </w:p>
        </w:tc>
        <w:tc>
          <w:tcPr>
            <w:tcW w:w="3564" w:type="dxa"/>
            <w:tcBorders>
              <w:tl2br w:val="nil"/>
              <w:tr2bl w:val="nil"/>
            </w:tcBorders>
            <w:vAlign w:val="center"/>
          </w:tcPr>
          <w:p>
            <w:pPr>
              <w:keepNext w:val="0"/>
              <w:keepLines w:val="0"/>
              <w:suppressLineNumbers w:val="0"/>
              <w:spacing w:before="0" w:beforeAutospacing="0" w:after="0" w:afterAutospacing="0" w:line="384" w:lineRule="atLeast"/>
              <w:ind w:left="0" w:leftChars="0" w:right="0" w:rightChars="0"/>
              <w:jc w:val="center"/>
              <w:rPr>
                <w:rFonts w:hint="eastAsia" w:ascii="宋体" w:hAnsi="宋体" w:cs="宋体"/>
                <w:color w:val="000000"/>
                <w:sz w:val="24"/>
                <w:szCs w:val="24"/>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3</w:t>
            </w:r>
          </w:p>
        </w:tc>
        <w:tc>
          <w:tcPr>
            <w:tcW w:w="781"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1</w:t>
            </w:r>
          </w:p>
        </w:tc>
        <w:tc>
          <w:tcPr>
            <w:tcW w:w="856"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97" w:type="dxa"/>
            <w:gridSpan w:val="5"/>
            <w:tcBorders>
              <w:tl2br w:val="nil"/>
              <w:tr2bl w:val="nil"/>
            </w:tcBorders>
            <w:vAlign w:val="center"/>
          </w:tcPr>
          <w:p>
            <w:pPr>
              <w:keepNext w:val="0"/>
              <w:keepLines w:val="0"/>
              <w:suppressLineNumbers w:val="0"/>
              <w:spacing w:before="0" w:beforeAutospacing="0" w:after="0" w:afterAutospacing="0"/>
              <w:ind w:left="0" w:right="0"/>
              <w:rPr>
                <w:rFonts w:ascii="宋体" w:hAnsi="宋体" w:cs="宋体"/>
                <w:kern w:val="0"/>
                <w:sz w:val="24"/>
                <w:szCs w:val="24"/>
              </w:rPr>
            </w:pPr>
            <w:r>
              <w:rPr>
                <w:rFonts w:hint="eastAsia" w:ascii="宋体" w:hAnsi="宋体" w:cs="宋体"/>
                <w:b/>
                <w:bCs/>
                <w:kern w:val="0"/>
                <w:sz w:val="24"/>
                <w:szCs w:val="24"/>
              </w:rPr>
              <w:t>注：</w:t>
            </w:r>
            <w:r>
              <w:rPr>
                <w:rFonts w:hint="eastAsia" w:ascii="宋体" w:hAnsi="宋体" w:cs="宋体"/>
                <w:kern w:val="0"/>
                <w:sz w:val="24"/>
                <w:szCs w:val="24"/>
              </w:rPr>
              <w:t>标“</w:t>
            </w:r>
            <w:r>
              <w:rPr>
                <w:rFonts w:ascii="宋体" w:hAnsi="宋体"/>
                <w:sz w:val="24"/>
              </w:rPr>
              <w:t>*</w:t>
            </w:r>
            <w:r>
              <w:rPr>
                <w:rFonts w:hint="eastAsia" w:ascii="宋体" w:hAnsi="宋体" w:cs="宋体"/>
                <w:kern w:val="0"/>
                <w:sz w:val="24"/>
                <w:szCs w:val="24"/>
              </w:rPr>
              <w:t>”表示此</w:t>
            </w:r>
            <w:r>
              <w:rPr>
                <w:rFonts w:hint="eastAsia" w:ascii="宋体" w:hAnsi="宋体" w:cs="宋体"/>
                <w:kern w:val="0"/>
                <w:sz w:val="24"/>
                <w:szCs w:val="24"/>
                <w:lang w:eastAsia="zh-CN"/>
              </w:rPr>
              <w:t>次项目的主要技术参数和指标</w:t>
            </w:r>
            <w:r>
              <w:rPr>
                <w:rFonts w:hint="eastAsia" w:ascii="宋体" w:hAnsi="宋体" w:cs="宋体"/>
                <w:kern w:val="0"/>
                <w:sz w:val="24"/>
                <w:szCs w:val="24"/>
              </w:rPr>
              <w:t>。</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b/>
          <w:bCs/>
          <w:sz w:val="24"/>
          <w:szCs w:val="18"/>
          <w:lang w:val="en-US" w:eastAsia="zh-CN"/>
        </w:rPr>
      </w:pPr>
      <w:r>
        <w:rPr>
          <w:rFonts w:hint="eastAsia"/>
          <w:b/>
          <w:bCs/>
          <w:sz w:val="24"/>
          <w:szCs w:val="18"/>
          <w:lang w:val="en-US" w:eastAsia="zh-CN"/>
        </w:rPr>
        <w:t>附表1</w:t>
      </w:r>
    </w:p>
    <w:p>
      <w:pPr>
        <w:jc w:val="center"/>
        <w:rPr>
          <w:rFonts w:hint="eastAsia"/>
          <w:sz w:val="24"/>
          <w:szCs w:val="18"/>
          <w:lang w:val="en-US" w:eastAsia="zh-CN"/>
        </w:rPr>
      </w:pPr>
      <w:r>
        <w:rPr>
          <w:rFonts w:hint="eastAsia"/>
          <w:sz w:val="24"/>
          <w:szCs w:val="18"/>
          <w:lang w:val="en-US" w:eastAsia="zh-CN"/>
        </w:rPr>
        <w:t>数字化X线摄影系统（DR）</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75"/>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1" w:type="dxa"/>
            <w:vAlign w:val="center"/>
          </w:tcPr>
          <w:p>
            <w:pPr>
              <w:spacing w:line="240" w:lineRule="auto"/>
              <w:jc w:val="center"/>
              <w:rPr>
                <w:rFonts w:hint="eastAsia"/>
                <w:sz w:val="24"/>
                <w:szCs w:val="18"/>
                <w:lang w:val="en-US" w:eastAsia="zh-CN"/>
              </w:rPr>
            </w:pPr>
            <w:r>
              <w:rPr>
                <w:rFonts w:hint="eastAsia"/>
                <w:sz w:val="24"/>
                <w:szCs w:val="18"/>
                <w:lang w:val="en-US" w:eastAsia="zh-CN"/>
              </w:rPr>
              <w:t>序号</w:t>
            </w:r>
          </w:p>
        </w:tc>
        <w:tc>
          <w:tcPr>
            <w:tcW w:w="1575" w:type="dxa"/>
            <w:vAlign w:val="center"/>
          </w:tcPr>
          <w:p>
            <w:pPr>
              <w:spacing w:line="240" w:lineRule="auto"/>
              <w:jc w:val="center"/>
              <w:rPr>
                <w:rFonts w:hint="eastAsia"/>
                <w:sz w:val="24"/>
                <w:szCs w:val="18"/>
                <w:lang w:val="en-US" w:eastAsia="zh-CN"/>
              </w:rPr>
            </w:pPr>
            <w:r>
              <w:rPr>
                <w:rFonts w:hint="eastAsia"/>
                <w:sz w:val="24"/>
                <w:szCs w:val="18"/>
              </w:rPr>
              <w:t>技术</w:t>
            </w:r>
            <w:r>
              <w:rPr>
                <w:rFonts w:hint="eastAsia"/>
                <w:sz w:val="24"/>
                <w:szCs w:val="18"/>
                <w:lang w:val="en-US" w:eastAsia="zh-CN"/>
              </w:rPr>
              <w:t>和性能</w:t>
            </w:r>
            <w:r>
              <w:rPr>
                <w:rFonts w:hint="eastAsia"/>
                <w:sz w:val="24"/>
                <w:szCs w:val="18"/>
              </w:rPr>
              <w:t>参数</w:t>
            </w:r>
          </w:p>
        </w:tc>
        <w:tc>
          <w:tcPr>
            <w:tcW w:w="7059" w:type="dxa"/>
            <w:vAlign w:val="center"/>
          </w:tcPr>
          <w:p>
            <w:pPr>
              <w:spacing w:line="240" w:lineRule="auto"/>
              <w:jc w:val="center"/>
              <w:rPr>
                <w:rFonts w:hint="eastAsia"/>
                <w:sz w:val="24"/>
                <w:szCs w:val="18"/>
              </w:rPr>
            </w:pPr>
            <w:r>
              <w:rPr>
                <w:rFonts w:hint="eastAsia"/>
                <w:sz w:val="24"/>
                <w:szCs w:val="18"/>
              </w:rPr>
              <w:t>技术</w:t>
            </w:r>
            <w:r>
              <w:rPr>
                <w:rFonts w:hint="eastAsia"/>
                <w:sz w:val="24"/>
                <w:szCs w:val="18"/>
                <w:lang w:val="en-US" w:eastAsia="zh-CN"/>
              </w:rPr>
              <w:t>和性能</w:t>
            </w:r>
            <w:r>
              <w:rPr>
                <w:rFonts w:hint="eastAsia"/>
                <w:sz w:val="24"/>
                <w:szCs w:val="1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1" w:type="dxa"/>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57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高压发生器装置</w:t>
            </w:r>
          </w:p>
        </w:tc>
        <w:tc>
          <w:tcPr>
            <w:tcW w:w="7059" w:type="dxa"/>
            <w:vAlign w:val="center"/>
          </w:tcPr>
          <w:p>
            <w:pPr>
              <w:spacing w:line="240" w:lineRule="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设备</w:t>
            </w:r>
            <w:r>
              <w:rPr>
                <w:rFonts w:hint="eastAsia" w:asciiTheme="minorEastAsia" w:hAnsiTheme="minorEastAsia" w:eastAsiaTheme="minorEastAsia" w:cstheme="minorEastAsia"/>
                <w:color w:val="auto"/>
                <w:sz w:val="24"/>
                <w:szCs w:val="24"/>
                <w:lang w:val="en-US" w:eastAsia="zh-CN"/>
              </w:rPr>
              <w:t>须具有</w:t>
            </w:r>
            <w:r>
              <w:rPr>
                <w:rFonts w:hint="eastAsia" w:asciiTheme="minorEastAsia" w:hAnsiTheme="minorEastAsia" w:eastAsiaTheme="minorEastAsia" w:cstheme="minorEastAsia"/>
                <w:color w:val="auto"/>
                <w:sz w:val="24"/>
                <w:szCs w:val="24"/>
              </w:rPr>
              <w:t>稳定性和兼容性</w:t>
            </w:r>
            <w:r>
              <w:rPr>
                <w:rFonts w:hint="eastAsia" w:asciiTheme="minorEastAsia" w:hAnsiTheme="minorEastAsia" w:eastAsiaTheme="minorEastAsia" w:cstheme="minorEastAsia"/>
                <w:color w:val="auto"/>
                <w:sz w:val="24"/>
                <w:szCs w:val="24"/>
                <w:lang w:eastAsia="zh-CN"/>
              </w:rPr>
              <w:t>。</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*1.2逆变频率：≥240KHZ</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1.3管电压可调范围：≥40-150KV</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1.4最大输出电流：≥500mA</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1.5最短曝光时间：≤1ms</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*1.6最小时间电流积：≤0.1mAs</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1.7具有器官程序摄影（APR）功能，摄影程序数量≥600种</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1.8高压发生器的操作与控制系统完全与主机集成，在图像采集工作站上控制曝光参数。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1" w:type="dxa"/>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57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平板探测器</w:t>
            </w:r>
          </w:p>
        </w:tc>
        <w:tc>
          <w:tcPr>
            <w:tcW w:w="7059"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材料：碘化铯+非晶硅（整板，非拼接）</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结构：移动式平板探测器</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总像素：≥780万</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最小像素尺寸：≤140μm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有效数据位数：≥14bit</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 最大空间分辨率：≥3.7lp/mm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 从曝光到获得预示图像的最短时间：≤3.5s</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 平板探测器重量≤3.5kg</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 平板探测器表面承重：≥100kg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01" w:type="dxa"/>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57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X射线管</w:t>
            </w:r>
          </w:p>
        </w:tc>
        <w:tc>
          <w:tcPr>
            <w:tcW w:w="7059"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*3.1要求为原装进口</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双焦点：小焦点≤0.6mm；大焦点≤1.2mm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管套热容量：≥1200kHu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1" w:type="dxa"/>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57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X射线管支撑装置</w:t>
            </w:r>
          </w:p>
        </w:tc>
        <w:tc>
          <w:tcPr>
            <w:tcW w:w="7059"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类型：落地式、非U臂或UC臂机架</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无需天轨即可完成安装</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球管沿水平轴旋转≥±180°</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球管沿球管轴旋转≥30°</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 球管立柱沿垂直轴旋转≥±180°</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 球管立柱纵向移动范围≥1700mm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 球管垂直移动范围≥1200mm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1" w:type="dxa"/>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57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摄影床</w:t>
            </w:r>
          </w:p>
        </w:tc>
        <w:tc>
          <w:tcPr>
            <w:tcW w:w="7059"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固定式摄影床，床面具备四方浮动功能，电磁锁定</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床面纵向移动：≥900mm，横向移动：≥250mm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床面尺寸：≥2100×800mm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 承重：≥200kg</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 固定滤线栅栅密度≥40L/cm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 固定滤线栅尺寸≥470×450mm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 探测器托盘覆盖范围≥1000mm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1" w:type="dxa"/>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57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立式平板探测器摄影架</w:t>
            </w:r>
          </w:p>
        </w:tc>
        <w:tc>
          <w:tcPr>
            <w:tcW w:w="7059"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固定滤线栅栅密度≥40L/cm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固定滤线栅尺寸≥470×450mm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探测中心垂直移动范围≥1400mm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1" w:type="dxa"/>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57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限束器</w:t>
            </w:r>
          </w:p>
        </w:tc>
        <w:tc>
          <w:tcPr>
            <w:tcW w:w="7059"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固有滤过(100kV):1.0 mmAl</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可调式附加滤过：0.5</w:t>
            </w:r>
            <w:bookmarkStart w:id="13" w:name="OLE_LINK4"/>
            <w:r>
              <w:rPr>
                <w:rFonts w:hint="eastAsia" w:asciiTheme="minorEastAsia" w:hAnsiTheme="minorEastAsia" w:eastAsiaTheme="minorEastAsia" w:cstheme="minorEastAsia"/>
                <w:sz w:val="24"/>
                <w:szCs w:val="24"/>
              </w:rPr>
              <w:t>/1.0 mmAl</w:t>
            </w:r>
            <w:bookmarkEnd w:id="13"/>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最小照射野(SID=100cm)：≤10mm×10mm</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最大照射野(SID=100cm)：≥430mm×430mm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1" w:type="dxa"/>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57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图像采集工作站</w:t>
            </w:r>
          </w:p>
        </w:tc>
        <w:tc>
          <w:tcPr>
            <w:tcW w:w="7059" w:type="dxa"/>
            <w:vAlign w:val="center"/>
          </w:tcPr>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控制台配置，可控制X线发生器、病人资料处理、图像显示及图像传输等，配备最新版本的专业DR处理软件</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一体化工作站，各功能非模块设计。</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一键开关机控制盒：具备一键开关机功能，使医生开关机操作更加方便，同时保护机器及病人数据的安全。</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 操作系统：Windows，全中文操作界面</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 硬件配置：CPU≥3.2GHz，内存容量≥4G，硬盘容量≥500G，液晶显示器：≥19″</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 病人数据输入：鼠标、键盘</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 配有标准DICOM3.0输入输出接口，具有DICOM打印、存储、一体化光盘刻录、传输和获取以及Worklist功能。</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具备患者信息登记、编辑功能</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8.9 具备曝光参数调节功能</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8.10 具备3D投照体位示意图</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8.11图像显示/查看/处理</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8.12胶片打印排版</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8.13图像删除原因统计功能等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01" w:type="dxa"/>
            <w:vAlign w:val="center"/>
          </w:tcPr>
          <w:p>
            <w:pPr>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9</w:t>
            </w:r>
          </w:p>
        </w:tc>
        <w:tc>
          <w:tcPr>
            <w:tcW w:w="1575" w:type="dxa"/>
            <w:vAlign w:val="center"/>
          </w:tcPr>
          <w:p>
            <w:pPr>
              <w:spacing w:line="240" w:lineRule="auto"/>
              <w:jc w:val="center"/>
              <w:rPr>
                <w:rFonts w:hint="eastAsia" w:asciiTheme="minorEastAsia" w:hAnsiTheme="minorEastAsia" w:eastAsiaTheme="minorEastAsia" w:cstheme="minorEastAsia"/>
                <w:sz w:val="24"/>
                <w:szCs w:val="24"/>
              </w:rPr>
            </w:pPr>
            <w:r>
              <w:rPr>
                <w:rFonts w:hint="eastAsia" w:ascii="宋体" w:hAnsi="宋体"/>
                <w:sz w:val="24"/>
              </w:rPr>
              <w:t>设备用途</w:t>
            </w:r>
          </w:p>
        </w:tc>
        <w:tc>
          <w:tcPr>
            <w:tcW w:w="7059" w:type="dxa"/>
            <w:vAlign w:val="center"/>
          </w:tcPr>
          <w:p>
            <w:pPr>
              <w:spacing w:line="240" w:lineRule="auto"/>
              <w:rPr>
                <w:rFonts w:hint="eastAsia" w:asciiTheme="minorEastAsia" w:hAnsiTheme="minorEastAsia" w:eastAsiaTheme="minorEastAsia" w:cstheme="minorEastAsia"/>
                <w:sz w:val="24"/>
                <w:szCs w:val="24"/>
              </w:rPr>
            </w:pPr>
            <w:r>
              <w:rPr>
                <w:rFonts w:hint="eastAsia" w:ascii="宋体" w:hAnsi="宋体"/>
                <w:sz w:val="24"/>
              </w:rPr>
              <w:t>整机双立柱型机架式结构加平板探测器系统，能进行人体全身各部位的立位、卧位、水平侧位、担架位、轮椅位等X线影像学检查，实现X线数字成像、数字图像的DICOM网络传输、打印、存贮管理及激光打印胶片、完善的图像后处理功能。</w:t>
            </w:r>
          </w:p>
        </w:tc>
      </w:tr>
    </w:tbl>
    <w:p>
      <w:pPr>
        <w:spacing w:line="440" w:lineRule="exact"/>
        <w:ind w:left="-378" w:leftChars="-135"/>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b/>
          <w:bCs/>
          <w:sz w:val="24"/>
          <w:lang w:val="en-US" w:eastAsia="zh-CN"/>
        </w:rPr>
      </w:pPr>
    </w:p>
    <w:p>
      <w:pPr>
        <w:pStyle w:val="2"/>
        <w:rPr>
          <w:rFonts w:hint="eastAsia" w:ascii="宋体" w:hAnsi="宋体" w:cs="宋体"/>
          <w:b/>
          <w:bCs/>
          <w:sz w:val="24"/>
          <w:lang w:val="en-US" w:eastAsia="zh-CN"/>
        </w:rPr>
      </w:pPr>
    </w:p>
    <w:p>
      <w:pPr>
        <w:pStyle w:val="2"/>
        <w:rPr>
          <w:rFonts w:hint="eastAsia" w:ascii="宋体" w:hAnsi="宋体" w:cs="宋体"/>
          <w:b/>
          <w:bCs/>
          <w:sz w:val="24"/>
          <w:lang w:val="en-US" w:eastAsia="zh-CN"/>
        </w:rPr>
      </w:pPr>
    </w:p>
    <w:p>
      <w:pPr>
        <w:pStyle w:val="2"/>
        <w:rPr>
          <w:rFonts w:hint="eastAsia" w:ascii="宋体" w:hAnsi="宋体" w:cs="宋体"/>
          <w:b/>
          <w:bCs/>
          <w:sz w:val="24"/>
          <w:lang w:val="en-US" w:eastAsia="zh-CN"/>
        </w:rPr>
      </w:pPr>
    </w:p>
    <w:p>
      <w:pPr>
        <w:pStyle w:val="2"/>
        <w:rPr>
          <w:rFonts w:hint="eastAsia" w:ascii="宋体" w:hAnsi="宋体" w:cs="宋体"/>
          <w:b/>
          <w:bCs/>
          <w:sz w:val="24"/>
          <w:lang w:val="en-US" w:eastAsia="zh-CN"/>
        </w:rPr>
      </w:pPr>
    </w:p>
    <w:p>
      <w:pPr>
        <w:pStyle w:val="2"/>
        <w:rPr>
          <w:rFonts w:hint="eastAsia" w:ascii="宋体" w:hAnsi="宋体" w:cs="宋体"/>
          <w:b/>
          <w:bCs/>
          <w:sz w:val="24"/>
          <w:lang w:val="en-US" w:eastAsia="zh-CN"/>
        </w:rPr>
      </w:pPr>
    </w:p>
    <w:p>
      <w:pPr>
        <w:pStyle w:val="2"/>
        <w:rPr>
          <w:rFonts w:hint="eastAsia" w:ascii="宋体" w:hAnsi="宋体" w:cs="宋体"/>
          <w:b/>
          <w:bCs/>
          <w:sz w:val="24"/>
          <w:lang w:val="en-US" w:eastAsia="zh-CN"/>
        </w:rPr>
      </w:pPr>
    </w:p>
    <w:p>
      <w:pPr>
        <w:pStyle w:val="2"/>
        <w:rPr>
          <w:rFonts w:hint="eastAsia" w:ascii="宋体" w:hAnsi="宋体" w:cs="宋体"/>
          <w:b/>
          <w:bCs/>
          <w:sz w:val="24"/>
          <w:lang w:val="en-US" w:eastAsia="zh-CN"/>
        </w:rPr>
      </w:pPr>
    </w:p>
    <w:p>
      <w:pPr>
        <w:pStyle w:val="2"/>
        <w:rPr>
          <w:rFonts w:hint="eastAsia" w:ascii="宋体" w:hAnsi="宋体" w:cs="宋体"/>
          <w:b/>
          <w:bCs/>
          <w:sz w:val="24"/>
          <w:lang w:val="en-US" w:eastAsia="zh-CN"/>
        </w:rPr>
      </w:pPr>
    </w:p>
    <w:p>
      <w:pPr>
        <w:pStyle w:val="2"/>
        <w:rPr>
          <w:rFonts w:hint="eastAsia" w:ascii="宋体" w:hAnsi="宋体" w:cs="宋体"/>
          <w:b/>
          <w:bCs/>
          <w:sz w:val="24"/>
          <w:lang w:val="en-US" w:eastAsia="zh-CN"/>
        </w:rPr>
      </w:pPr>
    </w:p>
    <w:p>
      <w:pPr>
        <w:pStyle w:val="2"/>
        <w:spacing w:line="240" w:lineRule="auto"/>
        <w:rPr>
          <w:rFonts w:hint="eastAsia" w:ascii="宋体" w:hAnsi="宋体" w:cs="宋体"/>
          <w:b/>
          <w:bCs/>
          <w:sz w:val="24"/>
          <w:lang w:val="en-US" w:eastAsia="zh-CN"/>
        </w:rPr>
      </w:pPr>
    </w:p>
    <w:p>
      <w:pPr>
        <w:pStyle w:val="2"/>
        <w:spacing w:line="240" w:lineRule="auto"/>
        <w:rPr>
          <w:rFonts w:hint="eastAsia" w:ascii="宋体" w:hAnsi="宋体" w:cs="宋体"/>
          <w:b/>
          <w:bCs/>
          <w:sz w:val="24"/>
          <w:lang w:val="en-US" w:eastAsia="zh-CN"/>
        </w:rPr>
      </w:pPr>
    </w:p>
    <w:p>
      <w:pPr>
        <w:pStyle w:val="2"/>
        <w:spacing w:line="240" w:lineRule="auto"/>
        <w:rPr>
          <w:rFonts w:hint="eastAsia" w:ascii="宋体" w:hAnsi="宋体" w:cs="宋体"/>
          <w:b/>
          <w:bCs/>
          <w:sz w:val="24"/>
          <w:lang w:val="en-US" w:eastAsia="zh-CN"/>
        </w:rPr>
      </w:pPr>
    </w:p>
    <w:p>
      <w:pPr>
        <w:pStyle w:val="2"/>
        <w:spacing w:line="240" w:lineRule="auto"/>
        <w:rPr>
          <w:rFonts w:hint="eastAsia" w:ascii="宋体" w:hAnsi="宋体" w:cs="宋体"/>
          <w:b/>
          <w:bCs/>
          <w:sz w:val="24"/>
          <w:lang w:val="en-US" w:eastAsia="zh-CN"/>
        </w:rPr>
      </w:pPr>
      <w:r>
        <w:rPr>
          <w:rFonts w:hint="eastAsia" w:ascii="宋体" w:hAnsi="宋体" w:cs="宋体"/>
          <w:b/>
          <w:bCs/>
          <w:sz w:val="24"/>
          <w:lang w:val="en-US" w:eastAsia="zh-CN"/>
        </w:rPr>
        <w:t xml:space="preserve">附表2                    </w:t>
      </w:r>
    </w:p>
    <w:p>
      <w:pPr>
        <w:pStyle w:val="2"/>
        <w:spacing w:line="240" w:lineRule="auto"/>
        <w:jc w:val="center"/>
        <w:rPr>
          <w:b/>
          <w:sz w:val="28"/>
          <w:szCs w:val="28"/>
        </w:rPr>
      </w:pPr>
      <w:r>
        <w:rPr>
          <w:rFonts w:hint="eastAsia"/>
          <w:b w:val="0"/>
          <w:bCs/>
          <w:color w:val="000000"/>
          <w:sz w:val="24"/>
          <w:szCs w:val="18"/>
        </w:rPr>
        <w:t>全自动生化分析仪技术参数要求</w:t>
      </w:r>
    </w:p>
    <w:tbl>
      <w:tblPr>
        <w:tblStyle w:val="25"/>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67"/>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rPr>
                <w:sz w:val="24"/>
                <w:szCs w:val="18"/>
              </w:rPr>
            </w:pPr>
            <w:r>
              <w:rPr>
                <w:rFonts w:hint="eastAsia"/>
                <w:sz w:val="24"/>
                <w:szCs w:val="18"/>
              </w:rPr>
              <w:t>序号</w:t>
            </w:r>
          </w:p>
        </w:tc>
        <w:tc>
          <w:tcPr>
            <w:tcW w:w="1967" w:type="dxa"/>
            <w:vAlign w:val="center"/>
          </w:tcPr>
          <w:p>
            <w:pPr>
              <w:rPr>
                <w:sz w:val="24"/>
                <w:szCs w:val="18"/>
              </w:rPr>
            </w:pPr>
            <w:r>
              <w:rPr>
                <w:rFonts w:hint="eastAsia"/>
                <w:sz w:val="24"/>
                <w:szCs w:val="18"/>
              </w:rPr>
              <w:t>技术和性能参数</w:t>
            </w:r>
          </w:p>
        </w:tc>
        <w:tc>
          <w:tcPr>
            <w:tcW w:w="6583" w:type="dxa"/>
            <w:vAlign w:val="center"/>
          </w:tcPr>
          <w:p>
            <w:pPr>
              <w:jc w:val="center"/>
              <w:rPr>
                <w:sz w:val="24"/>
                <w:szCs w:val="18"/>
              </w:rPr>
            </w:pPr>
            <w:r>
              <w:rPr>
                <w:rFonts w:hint="eastAsia"/>
                <w:sz w:val="24"/>
                <w:szCs w:val="18"/>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p>
        </w:tc>
        <w:tc>
          <w:tcPr>
            <w:tcW w:w="1967" w:type="dxa"/>
            <w:vAlign w:val="center"/>
          </w:tcPr>
          <w:p>
            <w:pPr>
              <w:rPr>
                <w:rFonts w:ascii="宋体"/>
                <w:sz w:val="24"/>
                <w:szCs w:val="22"/>
              </w:rPr>
            </w:pPr>
            <w:r>
              <w:rPr>
                <w:rFonts w:hint="eastAsia" w:asciiTheme="minorEastAsia" w:hAnsiTheme="minorEastAsia"/>
                <w:color w:val="000000"/>
                <w:sz w:val="24"/>
                <w:szCs w:val="24"/>
              </w:rPr>
              <w:t>仪器类型</w:t>
            </w:r>
          </w:p>
        </w:tc>
        <w:tc>
          <w:tcPr>
            <w:tcW w:w="6583" w:type="dxa"/>
            <w:vAlign w:val="center"/>
          </w:tcPr>
          <w:p>
            <w:pPr>
              <w:rPr>
                <w:rFonts w:ascii="宋体"/>
                <w:sz w:val="24"/>
                <w:szCs w:val="22"/>
              </w:rPr>
            </w:pPr>
            <w:r>
              <w:rPr>
                <w:rFonts w:hint="eastAsia" w:asciiTheme="minorEastAsia" w:hAnsiTheme="minorEastAsia"/>
                <w:color w:val="000000"/>
                <w:sz w:val="24"/>
                <w:szCs w:val="24"/>
              </w:rPr>
              <w:t>随机任选、分立式全自动生化分析仪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2</w:t>
            </w:r>
          </w:p>
        </w:tc>
        <w:tc>
          <w:tcPr>
            <w:tcW w:w="1967" w:type="dxa"/>
            <w:vAlign w:val="center"/>
          </w:tcPr>
          <w:p>
            <w:pPr>
              <w:rPr>
                <w:rFonts w:ascii="宋体"/>
                <w:sz w:val="24"/>
                <w:szCs w:val="18"/>
              </w:rPr>
            </w:pPr>
            <w:r>
              <w:rPr>
                <w:rFonts w:hint="eastAsia" w:asciiTheme="minorEastAsia" w:hAnsiTheme="minorEastAsia"/>
                <w:color w:val="000000"/>
                <w:sz w:val="24"/>
                <w:szCs w:val="24"/>
              </w:rPr>
              <w:t>分析速度</w:t>
            </w:r>
          </w:p>
        </w:tc>
        <w:tc>
          <w:tcPr>
            <w:tcW w:w="6583" w:type="dxa"/>
            <w:vAlign w:val="center"/>
          </w:tcPr>
          <w:p>
            <w:pPr>
              <w:rPr>
                <w:rFonts w:ascii="宋体"/>
                <w:sz w:val="24"/>
                <w:szCs w:val="22"/>
              </w:rPr>
            </w:pPr>
            <w:r>
              <w:rPr>
                <w:rFonts w:hint="eastAsia" w:asciiTheme="minorEastAsia" w:hAnsiTheme="minorEastAsia"/>
                <w:color w:val="000000"/>
                <w:sz w:val="24"/>
                <w:szCs w:val="24"/>
              </w:rPr>
              <w:t>生化</w:t>
            </w:r>
            <w:r>
              <w:rPr>
                <w:rFonts w:asciiTheme="minorEastAsia" w:hAnsiTheme="minorEastAsia"/>
                <w:color w:val="000000"/>
                <w:sz w:val="24"/>
                <w:szCs w:val="24"/>
              </w:rPr>
              <w:t>恒速</w:t>
            </w:r>
            <w:r>
              <w:rPr>
                <w:rFonts w:hint="eastAsia" w:asciiTheme="minorEastAsia" w:hAnsiTheme="minorEastAsia"/>
                <w:color w:val="000000"/>
                <w:sz w:val="24"/>
                <w:szCs w:val="24"/>
              </w:rPr>
              <w:t>80</w:t>
            </w:r>
            <w:r>
              <w:rPr>
                <w:rFonts w:asciiTheme="minorEastAsia" w:hAnsiTheme="minorEastAsia"/>
                <w:color w:val="000000"/>
                <w:sz w:val="24"/>
                <w:szCs w:val="24"/>
              </w:rPr>
              <w:t>0T/H</w:t>
            </w:r>
            <w:r>
              <w:rPr>
                <w:rFonts w:hint="eastAsia" w:asciiTheme="minorEastAsia" w:hAnsiTheme="minorEastAsia"/>
                <w:color w:val="000000"/>
                <w:sz w:val="24"/>
                <w:szCs w:val="24"/>
              </w:rPr>
              <w:t>，选配</w:t>
            </w:r>
            <w:r>
              <w:rPr>
                <w:rFonts w:asciiTheme="minorEastAsia" w:hAnsiTheme="minorEastAsia"/>
                <w:color w:val="000000"/>
                <w:sz w:val="24"/>
                <w:szCs w:val="24"/>
              </w:rPr>
              <w:t>ISE</w:t>
            </w:r>
            <w:r>
              <w:rPr>
                <w:rFonts w:hint="eastAsia" w:asciiTheme="minorEastAsia" w:hAnsiTheme="minorEastAsia"/>
                <w:color w:val="000000"/>
                <w:sz w:val="24"/>
                <w:szCs w:val="24"/>
              </w:rPr>
              <w:t>速度可达120</w:t>
            </w:r>
            <w:r>
              <w:rPr>
                <w:rFonts w:asciiTheme="minorEastAsia" w:hAnsiTheme="minorEastAsia"/>
                <w:color w:val="000000"/>
                <w:sz w:val="24"/>
                <w:szCs w:val="24"/>
              </w:rPr>
              <w:t>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Align w:val="center"/>
          </w:tcPr>
          <w:p>
            <w:pPr>
              <w:spacing w:line="360" w:lineRule="auto"/>
              <w:jc w:val="center"/>
              <w:rPr>
                <w:rFonts w:ascii="宋体"/>
                <w:sz w:val="24"/>
                <w:szCs w:val="22"/>
              </w:rPr>
            </w:pPr>
            <w:r>
              <w:rPr>
                <w:rFonts w:ascii="宋体" w:hAnsi="宋体"/>
                <w:sz w:val="24"/>
                <w:szCs w:val="22"/>
              </w:rPr>
              <w:t>3</w:t>
            </w:r>
          </w:p>
        </w:tc>
        <w:tc>
          <w:tcPr>
            <w:tcW w:w="1967" w:type="dxa"/>
            <w:vAlign w:val="center"/>
          </w:tcPr>
          <w:p>
            <w:pPr>
              <w:rPr>
                <w:rFonts w:ascii="宋体"/>
                <w:sz w:val="24"/>
                <w:szCs w:val="18"/>
              </w:rPr>
            </w:pPr>
            <w:r>
              <w:rPr>
                <w:rFonts w:hint="eastAsia" w:asciiTheme="minorEastAsia" w:hAnsiTheme="minorEastAsia"/>
                <w:color w:val="000000"/>
                <w:sz w:val="24"/>
                <w:szCs w:val="24"/>
              </w:rPr>
              <w:t>最大可同时分析项目</w:t>
            </w:r>
          </w:p>
        </w:tc>
        <w:tc>
          <w:tcPr>
            <w:tcW w:w="6583" w:type="dxa"/>
            <w:vAlign w:val="center"/>
          </w:tcPr>
          <w:p>
            <w:pPr>
              <w:rPr>
                <w:rFonts w:ascii="宋体"/>
                <w:sz w:val="24"/>
                <w:szCs w:val="22"/>
                <w:highlight w:val="yellow"/>
              </w:rPr>
            </w:pPr>
            <w:r>
              <w:rPr>
                <w:rFonts w:asciiTheme="minorEastAsia" w:hAnsiTheme="minorEastAsia"/>
                <w:color w:val="000000"/>
                <w:sz w:val="24"/>
                <w:szCs w:val="24"/>
              </w:rPr>
              <w:t>185</w:t>
            </w:r>
            <w:r>
              <w:rPr>
                <w:rFonts w:hint="eastAsia" w:asciiTheme="minorEastAsia" w:hAnsiTheme="minorEastAsia"/>
                <w:color w:val="000000"/>
                <w:sz w:val="24"/>
                <w:szCs w:val="24"/>
              </w:rPr>
              <w:t>个（生化</w:t>
            </w:r>
            <w:r>
              <w:rPr>
                <w:rFonts w:asciiTheme="minorEastAsia" w:hAnsiTheme="minorEastAsia"/>
                <w:color w:val="000000"/>
                <w:sz w:val="24"/>
                <w:szCs w:val="24"/>
              </w:rPr>
              <w:t>179</w:t>
            </w:r>
            <w:r>
              <w:rPr>
                <w:rFonts w:hint="eastAsia" w:asciiTheme="minorEastAsia" w:hAnsiTheme="minorEastAsia"/>
                <w:color w:val="000000"/>
                <w:sz w:val="24"/>
                <w:szCs w:val="24"/>
              </w:rPr>
              <w:t>个，ISE3个，血清</w:t>
            </w:r>
            <w:r>
              <w:rPr>
                <w:rFonts w:asciiTheme="minorEastAsia" w:hAnsiTheme="minorEastAsia"/>
                <w:color w:val="000000"/>
                <w:sz w:val="24"/>
                <w:szCs w:val="24"/>
              </w:rPr>
              <w:t>指数</w:t>
            </w:r>
            <w:r>
              <w:rPr>
                <w:rFonts w:hint="eastAsia" w:asciiTheme="minorEastAsia" w:hAnsiTheme="minorEastAsia"/>
                <w:color w:val="000000"/>
                <w:sz w:val="24"/>
                <w:szCs w:val="24"/>
              </w:rPr>
              <w:t>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spacing w:line="360" w:lineRule="auto"/>
              <w:jc w:val="center"/>
              <w:rPr>
                <w:rFonts w:ascii="宋体"/>
                <w:sz w:val="24"/>
                <w:szCs w:val="22"/>
              </w:rPr>
            </w:pPr>
            <w:r>
              <w:rPr>
                <w:rFonts w:ascii="宋体" w:hAnsi="宋体"/>
                <w:sz w:val="24"/>
                <w:szCs w:val="22"/>
              </w:rPr>
              <w:t>4</w:t>
            </w:r>
          </w:p>
        </w:tc>
        <w:tc>
          <w:tcPr>
            <w:tcW w:w="1967" w:type="dxa"/>
            <w:vAlign w:val="center"/>
          </w:tcPr>
          <w:p>
            <w:pPr>
              <w:rPr>
                <w:rFonts w:ascii="宋体"/>
                <w:sz w:val="24"/>
                <w:szCs w:val="22"/>
              </w:rPr>
            </w:pPr>
            <w:r>
              <w:rPr>
                <w:rFonts w:hint="eastAsia" w:asciiTheme="minorEastAsia" w:hAnsiTheme="minorEastAsia"/>
                <w:color w:val="000000"/>
                <w:sz w:val="24"/>
                <w:szCs w:val="24"/>
              </w:rPr>
              <w:t>测试原理</w:t>
            </w:r>
          </w:p>
        </w:tc>
        <w:tc>
          <w:tcPr>
            <w:tcW w:w="6583" w:type="dxa"/>
            <w:vAlign w:val="center"/>
          </w:tcPr>
          <w:p>
            <w:pPr>
              <w:rPr>
                <w:rFonts w:ascii="宋体"/>
                <w:sz w:val="24"/>
                <w:szCs w:val="22"/>
              </w:rPr>
            </w:pPr>
            <w:r>
              <w:rPr>
                <w:rFonts w:hint="eastAsia" w:asciiTheme="minorEastAsia" w:hAnsiTheme="minorEastAsia"/>
                <w:color w:val="000000"/>
                <w:sz w:val="24"/>
                <w:szCs w:val="24"/>
              </w:rPr>
              <w:t>比色法、比浊法、离子选择电极法(选配)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5</w:t>
            </w:r>
          </w:p>
        </w:tc>
        <w:tc>
          <w:tcPr>
            <w:tcW w:w="1967" w:type="dxa"/>
            <w:vAlign w:val="center"/>
          </w:tcPr>
          <w:p>
            <w:pPr>
              <w:rPr>
                <w:rFonts w:ascii="宋体"/>
                <w:sz w:val="24"/>
                <w:szCs w:val="22"/>
              </w:rPr>
            </w:pPr>
            <w:r>
              <w:rPr>
                <w:rFonts w:hint="eastAsia" w:asciiTheme="minorEastAsia" w:hAnsiTheme="minorEastAsia"/>
                <w:color w:val="000000"/>
                <w:sz w:val="24"/>
                <w:szCs w:val="24"/>
              </w:rPr>
              <w:t>分析方法</w:t>
            </w:r>
          </w:p>
        </w:tc>
        <w:tc>
          <w:tcPr>
            <w:tcW w:w="6583" w:type="dxa"/>
            <w:vAlign w:val="center"/>
          </w:tcPr>
          <w:p>
            <w:pPr>
              <w:rPr>
                <w:rFonts w:ascii="宋体"/>
                <w:sz w:val="24"/>
                <w:szCs w:val="22"/>
              </w:rPr>
            </w:pPr>
            <w:r>
              <w:rPr>
                <w:rFonts w:hint="eastAsia" w:asciiTheme="minorEastAsia" w:hAnsiTheme="minorEastAsia"/>
                <w:color w:val="000000"/>
                <w:sz w:val="24"/>
                <w:szCs w:val="24"/>
              </w:rPr>
              <w:t>终点法、固定时间法、动力学法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1" w:type="dxa"/>
            <w:vAlign w:val="center"/>
          </w:tcPr>
          <w:p>
            <w:pPr>
              <w:spacing w:line="360" w:lineRule="auto"/>
              <w:jc w:val="center"/>
              <w:rPr>
                <w:rFonts w:ascii="宋体"/>
                <w:sz w:val="24"/>
                <w:szCs w:val="22"/>
              </w:rPr>
            </w:pPr>
            <w:r>
              <w:rPr>
                <w:rFonts w:ascii="宋体" w:hAnsi="宋体"/>
                <w:sz w:val="24"/>
                <w:szCs w:val="20"/>
              </w:rPr>
              <w:t>*</w:t>
            </w:r>
            <w:r>
              <w:rPr>
                <w:rFonts w:ascii="宋体" w:hAnsi="宋体"/>
                <w:sz w:val="24"/>
                <w:szCs w:val="22"/>
              </w:rPr>
              <w:t>6</w:t>
            </w:r>
          </w:p>
        </w:tc>
        <w:tc>
          <w:tcPr>
            <w:tcW w:w="1967" w:type="dxa"/>
            <w:vAlign w:val="center"/>
          </w:tcPr>
          <w:p>
            <w:pPr>
              <w:rPr>
                <w:rFonts w:ascii="宋体"/>
                <w:sz w:val="24"/>
                <w:szCs w:val="22"/>
              </w:rPr>
            </w:pPr>
            <w:r>
              <w:rPr>
                <w:rFonts w:hint="eastAsia" w:asciiTheme="minorEastAsia" w:hAnsiTheme="minorEastAsia"/>
                <w:color w:val="000000"/>
                <w:sz w:val="24"/>
                <w:szCs w:val="24"/>
              </w:rPr>
              <w:t>样本位</w:t>
            </w:r>
          </w:p>
        </w:tc>
        <w:tc>
          <w:tcPr>
            <w:tcW w:w="6583" w:type="dxa"/>
            <w:vAlign w:val="center"/>
          </w:tcPr>
          <w:p>
            <w:pPr>
              <w:rPr>
                <w:rFonts w:ascii="宋体"/>
                <w:sz w:val="24"/>
                <w:szCs w:val="22"/>
              </w:rPr>
            </w:pPr>
            <w:r>
              <w:rPr>
                <w:rFonts w:hint="eastAsia" w:asciiTheme="minorEastAsia" w:hAnsiTheme="minorEastAsia"/>
                <w:color w:val="000000"/>
                <w:sz w:val="24"/>
                <w:szCs w:val="24"/>
              </w:rPr>
              <w:t>≥192个样本位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1" w:type="dxa"/>
            <w:vAlign w:val="center"/>
          </w:tcPr>
          <w:p>
            <w:pPr>
              <w:spacing w:line="360" w:lineRule="auto"/>
              <w:jc w:val="center"/>
              <w:rPr>
                <w:rFonts w:ascii="宋体"/>
                <w:color w:val="FF0000"/>
                <w:sz w:val="24"/>
                <w:szCs w:val="22"/>
              </w:rPr>
            </w:pPr>
            <w:r>
              <w:rPr>
                <w:rFonts w:ascii="宋体" w:hAnsi="宋体"/>
                <w:sz w:val="24"/>
                <w:szCs w:val="22"/>
              </w:rPr>
              <w:t>7</w:t>
            </w:r>
          </w:p>
        </w:tc>
        <w:tc>
          <w:tcPr>
            <w:tcW w:w="1967" w:type="dxa"/>
            <w:vAlign w:val="center"/>
          </w:tcPr>
          <w:p>
            <w:pPr>
              <w:rPr>
                <w:rFonts w:ascii="宋体"/>
                <w:sz w:val="24"/>
                <w:szCs w:val="22"/>
              </w:rPr>
            </w:pPr>
            <w:r>
              <w:rPr>
                <w:rFonts w:hint="eastAsia" w:asciiTheme="minorEastAsia" w:hAnsiTheme="minorEastAsia"/>
                <w:color w:val="000000"/>
                <w:sz w:val="24"/>
                <w:szCs w:val="24"/>
              </w:rPr>
              <w:t>样本量</w:t>
            </w:r>
          </w:p>
        </w:tc>
        <w:tc>
          <w:tcPr>
            <w:tcW w:w="6583" w:type="dxa"/>
            <w:vAlign w:val="center"/>
          </w:tcPr>
          <w:p>
            <w:pPr>
              <w:rPr>
                <w:sz w:val="24"/>
                <w:szCs w:val="22"/>
              </w:rPr>
            </w:pPr>
            <w:r>
              <w:rPr>
                <w:rFonts w:hint="eastAsia" w:asciiTheme="minorEastAsia" w:hAnsiTheme="minorEastAsia"/>
                <w:color w:val="000000"/>
                <w:sz w:val="24"/>
                <w:szCs w:val="24"/>
              </w:rPr>
              <w:t>1.5</w:t>
            </w:r>
            <w:r>
              <w:rPr>
                <w:rFonts w:asciiTheme="minorEastAsia" w:hAnsiTheme="minorEastAsia"/>
                <w:color w:val="000000"/>
                <w:sz w:val="24"/>
                <w:szCs w:val="24"/>
              </w:rPr>
              <w:t>μL</w:t>
            </w:r>
            <w:r>
              <w:rPr>
                <w:rFonts w:hint="eastAsia" w:asciiTheme="minorEastAsia" w:hAnsiTheme="minorEastAsia"/>
                <w:color w:val="000000"/>
                <w:sz w:val="24"/>
                <w:szCs w:val="24"/>
              </w:rPr>
              <w:t>～35uL， 0.1µl步进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1" w:type="dxa"/>
            <w:vAlign w:val="center"/>
          </w:tcPr>
          <w:p>
            <w:pPr>
              <w:spacing w:line="360" w:lineRule="auto"/>
              <w:jc w:val="center"/>
              <w:rPr>
                <w:rFonts w:ascii="宋体"/>
                <w:sz w:val="24"/>
                <w:szCs w:val="22"/>
              </w:rPr>
            </w:pPr>
            <w:r>
              <w:rPr>
                <w:rFonts w:ascii="宋体" w:hAnsi="宋体"/>
                <w:sz w:val="24"/>
                <w:szCs w:val="22"/>
              </w:rPr>
              <w:t>*8</w:t>
            </w:r>
          </w:p>
        </w:tc>
        <w:tc>
          <w:tcPr>
            <w:tcW w:w="1967" w:type="dxa"/>
            <w:vAlign w:val="center"/>
          </w:tcPr>
          <w:p>
            <w:pPr>
              <w:rPr>
                <w:rFonts w:ascii="宋体"/>
                <w:sz w:val="24"/>
                <w:szCs w:val="18"/>
              </w:rPr>
            </w:pPr>
            <w:r>
              <w:rPr>
                <w:rFonts w:hint="eastAsia" w:asciiTheme="minorEastAsia" w:hAnsiTheme="minorEastAsia"/>
                <w:color w:val="000000"/>
                <w:sz w:val="24"/>
                <w:szCs w:val="24"/>
              </w:rPr>
              <w:t>试剂位</w:t>
            </w:r>
          </w:p>
        </w:tc>
        <w:tc>
          <w:tcPr>
            <w:tcW w:w="6583" w:type="dxa"/>
            <w:vAlign w:val="center"/>
          </w:tcPr>
          <w:p>
            <w:pPr>
              <w:rPr>
                <w:rFonts w:hint="eastAsia" w:ascii="宋体" w:eastAsia="宋体"/>
                <w:sz w:val="24"/>
                <w:szCs w:val="22"/>
                <w:lang w:eastAsia="zh-CN"/>
              </w:rPr>
            </w:pPr>
            <w:r>
              <w:rPr>
                <w:rFonts w:hint="eastAsia" w:asciiTheme="minorEastAsia" w:hAnsiTheme="minorEastAsia"/>
                <w:color w:val="000000"/>
                <w:sz w:val="24"/>
                <w:szCs w:val="24"/>
              </w:rPr>
              <w:t>≥180个试剂位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1" w:type="dxa"/>
            <w:vAlign w:val="center"/>
          </w:tcPr>
          <w:p>
            <w:pPr>
              <w:spacing w:line="360" w:lineRule="auto"/>
              <w:jc w:val="center"/>
              <w:rPr>
                <w:rFonts w:ascii="宋体"/>
                <w:sz w:val="24"/>
                <w:szCs w:val="22"/>
              </w:rPr>
            </w:pPr>
            <w:r>
              <w:rPr>
                <w:rFonts w:ascii="宋体" w:hAnsi="宋体"/>
                <w:sz w:val="24"/>
                <w:szCs w:val="22"/>
              </w:rPr>
              <w:t>9</w:t>
            </w:r>
          </w:p>
        </w:tc>
        <w:tc>
          <w:tcPr>
            <w:tcW w:w="1967" w:type="dxa"/>
            <w:vAlign w:val="center"/>
          </w:tcPr>
          <w:p>
            <w:pPr>
              <w:rPr>
                <w:rFonts w:ascii="宋体"/>
                <w:sz w:val="24"/>
                <w:szCs w:val="22"/>
              </w:rPr>
            </w:pPr>
            <w:r>
              <w:rPr>
                <w:rFonts w:hint="eastAsia" w:asciiTheme="minorEastAsia" w:hAnsiTheme="minorEastAsia"/>
                <w:color w:val="000000"/>
                <w:sz w:val="24"/>
                <w:szCs w:val="24"/>
              </w:rPr>
              <w:t>试剂盘冷藏温度</w:t>
            </w:r>
          </w:p>
        </w:tc>
        <w:tc>
          <w:tcPr>
            <w:tcW w:w="6583" w:type="dxa"/>
            <w:vAlign w:val="center"/>
          </w:tcPr>
          <w:p>
            <w:pPr>
              <w:rPr>
                <w:rFonts w:ascii="宋体"/>
                <w:sz w:val="24"/>
                <w:szCs w:val="22"/>
              </w:rPr>
            </w:pPr>
            <w:r>
              <w:rPr>
                <w:rFonts w:hint="eastAsia" w:asciiTheme="minorEastAsia" w:hAnsiTheme="minorEastAsia"/>
                <w:color w:val="000000"/>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0</w:t>
            </w:r>
          </w:p>
        </w:tc>
        <w:tc>
          <w:tcPr>
            <w:tcW w:w="1967" w:type="dxa"/>
            <w:vAlign w:val="center"/>
          </w:tcPr>
          <w:p>
            <w:pPr>
              <w:rPr>
                <w:rFonts w:ascii="宋体"/>
                <w:sz w:val="24"/>
                <w:szCs w:val="22"/>
              </w:rPr>
            </w:pPr>
            <w:r>
              <w:rPr>
                <w:rFonts w:hint="eastAsia" w:asciiTheme="minorEastAsia" w:hAnsiTheme="minorEastAsia"/>
                <w:color w:val="000000"/>
                <w:sz w:val="24"/>
                <w:szCs w:val="24"/>
              </w:rPr>
              <w:t>试剂量</w:t>
            </w:r>
          </w:p>
        </w:tc>
        <w:tc>
          <w:tcPr>
            <w:tcW w:w="6583" w:type="dxa"/>
            <w:vAlign w:val="center"/>
          </w:tcPr>
          <w:p>
            <w:pPr>
              <w:rPr>
                <w:rFonts w:ascii="宋体"/>
                <w:sz w:val="24"/>
                <w:szCs w:val="22"/>
              </w:rPr>
            </w:pPr>
            <w:r>
              <w:rPr>
                <w:rFonts w:hint="eastAsia" w:asciiTheme="minorEastAsia" w:hAnsiTheme="minorEastAsia"/>
                <w:color w:val="000000"/>
                <w:sz w:val="24"/>
                <w:szCs w:val="24"/>
              </w:rPr>
              <w:t>10</w:t>
            </w:r>
            <w:r>
              <w:rPr>
                <w:rFonts w:asciiTheme="minorEastAsia" w:hAnsiTheme="minorEastAsia"/>
                <w:color w:val="000000"/>
                <w:sz w:val="24"/>
                <w:szCs w:val="24"/>
              </w:rPr>
              <w:t>μL</w:t>
            </w:r>
            <w:r>
              <w:rPr>
                <w:rFonts w:hint="eastAsia" w:asciiTheme="minorEastAsia" w:hAnsiTheme="minorEastAsia"/>
                <w:color w:val="000000"/>
                <w:sz w:val="24"/>
                <w:szCs w:val="24"/>
              </w:rPr>
              <w:t>～200uL， 0.5µl步进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1</w:t>
            </w:r>
          </w:p>
        </w:tc>
        <w:tc>
          <w:tcPr>
            <w:tcW w:w="1967" w:type="dxa"/>
            <w:vAlign w:val="center"/>
          </w:tcPr>
          <w:p>
            <w:pPr>
              <w:rPr>
                <w:rFonts w:ascii="宋体"/>
                <w:sz w:val="24"/>
                <w:szCs w:val="22"/>
              </w:rPr>
            </w:pPr>
            <w:r>
              <w:rPr>
                <w:rFonts w:hint="eastAsia" w:asciiTheme="minorEastAsia" w:hAnsiTheme="minorEastAsia"/>
                <w:color w:val="000000"/>
                <w:sz w:val="24"/>
                <w:szCs w:val="24"/>
              </w:rPr>
              <w:t>反应杯位</w:t>
            </w:r>
          </w:p>
        </w:tc>
        <w:tc>
          <w:tcPr>
            <w:tcW w:w="6583" w:type="dxa"/>
            <w:vAlign w:val="center"/>
          </w:tcPr>
          <w:p>
            <w:pPr>
              <w:rPr>
                <w:rFonts w:ascii="宋体"/>
                <w:sz w:val="24"/>
                <w:szCs w:val="22"/>
              </w:rPr>
            </w:pPr>
            <w:r>
              <w:rPr>
                <w:rFonts w:hint="eastAsia" w:asciiTheme="minorEastAsia" w:hAnsiTheme="minorEastAsia"/>
                <w:color w:val="000000"/>
                <w:sz w:val="24"/>
                <w:szCs w:val="24"/>
              </w:rPr>
              <w:t>165个,光径5mm；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2</w:t>
            </w:r>
          </w:p>
        </w:tc>
        <w:tc>
          <w:tcPr>
            <w:tcW w:w="1967" w:type="dxa"/>
            <w:vAlign w:val="center"/>
          </w:tcPr>
          <w:p>
            <w:pPr>
              <w:rPr>
                <w:rFonts w:ascii="宋体"/>
                <w:sz w:val="24"/>
                <w:szCs w:val="22"/>
              </w:rPr>
            </w:pPr>
            <w:r>
              <w:rPr>
                <w:rFonts w:hint="eastAsia" w:asciiTheme="minorEastAsia" w:hAnsiTheme="minorEastAsia"/>
                <w:color w:val="000000"/>
                <w:sz w:val="24"/>
                <w:szCs w:val="24"/>
              </w:rPr>
              <w:t>反应体积</w:t>
            </w:r>
          </w:p>
        </w:tc>
        <w:tc>
          <w:tcPr>
            <w:tcW w:w="6583" w:type="dxa"/>
            <w:vAlign w:val="center"/>
          </w:tcPr>
          <w:p>
            <w:pPr>
              <w:rPr>
                <w:rFonts w:ascii="宋体"/>
                <w:sz w:val="24"/>
                <w:szCs w:val="22"/>
              </w:rPr>
            </w:pPr>
            <w:r>
              <w:rPr>
                <w:rFonts w:hint="eastAsia" w:asciiTheme="minorEastAsia" w:hAnsiTheme="minorEastAsia"/>
                <w:color w:val="000000"/>
                <w:sz w:val="24"/>
                <w:szCs w:val="24"/>
              </w:rPr>
              <w:t xml:space="preserve"> 最小反应体积≤70µl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nil"/>
            </w:tcBorders>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3</w:t>
            </w:r>
          </w:p>
        </w:tc>
        <w:tc>
          <w:tcPr>
            <w:tcW w:w="1967" w:type="dxa"/>
            <w:tcBorders>
              <w:top w:val="nil"/>
            </w:tcBorders>
            <w:vAlign w:val="center"/>
          </w:tcPr>
          <w:p>
            <w:pPr>
              <w:rPr>
                <w:rFonts w:ascii="宋体"/>
                <w:sz w:val="24"/>
                <w:szCs w:val="18"/>
              </w:rPr>
            </w:pPr>
            <w:r>
              <w:rPr>
                <w:rFonts w:hint="eastAsia" w:asciiTheme="minorEastAsia" w:hAnsiTheme="minorEastAsia"/>
                <w:color w:val="000000"/>
                <w:sz w:val="24"/>
                <w:szCs w:val="24"/>
              </w:rPr>
              <w:t>温控方式</w:t>
            </w:r>
          </w:p>
        </w:tc>
        <w:tc>
          <w:tcPr>
            <w:tcW w:w="6583" w:type="dxa"/>
            <w:tcBorders>
              <w:top w:val="nil"/>
            </w:tcBorders>
            <w:vAlign w:val="center"/>
          </w:tcPr>
          <w:p>
            <w:pPr>
              <w:rPr>
                <w:rFonts w:ascii="宋体"/>
                <w:sz w:val="24"/>
                <w:szCs w:val="22"/>
              </w:rPr>
            </w:pPr>
            <w:r>
              <w:rPr>
                <w:rFonts w:hint="eastAsia" w:asciiTheme="minorEastAsia" w:hAnsiTheme="minorEastAsia"/>
                <w:color w:val="000000"/>
                <w:sz w:val="24"/>
                <w:szCs w:val="24"/>
                <w:lang w:val="en-US" w:eastAsia="zh-CN"/>
              </w:rPr>
              <w:t>非水浴</w:t>
            </w:r>
            <w:r>
              <w:rPr>
                <w:rFonts w:asciiTheme="minorEastAsia" w:hAnsiTheme="minorEastAsia"/>
                <w:color w:val="000000"/>
                <w:sz w:val="24"/>
                <w:szCs w:val="24"/>
              </w:rPr>
              <w:t>，</w:t>
            </w:r>
            <w:r>
              <w:rPr>
                <w:rFonts w:hint="eastAsia" w:asciiTheme="minorEastAsia" w:hAnsiTheme="minorEastAsia"/>
                <w:color w:val="000000"/>
                <w:sz w:val="24"/>
                <w:szCs w:val="24"/>
              </w:rPr>
              <w:t>不需要日常维护保养，温度恒定保持37±0.1℃；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nil"/>
            </w:tcBorders>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4</w:t>
            </w:r>
          </w:p>
        </w:tc>
        <w:tc>
          <w:tcPr>
            <w:tcW w:w="1967" w:type="dxa"/>
            <w:tcBorders>
              <w:top w:val="nil"/>
            </w:tcBorders>
            <w:vAlign w:val="center"/>
          </w:tcPr>
          <w:p>
            <w:pPr>
              <w:rPr>
                <w:rFonts w:ascii="宋体"/>
                <w:sz w:val="24"/>
                <w:szCs w:val="18"/>
              </w:rPr>
            </w:pPr>
            <w:r>
              <w:rPr>
                <w:rFonts w:hint="eastAsia" w:asciiTheme="minorEastAsia" w:hAnsiTheme="minorEastAsia"/>
                <w:color w:val="000000"/>
                <w:sz w:val="24"/>
                <w:szCs w:val="24"/>
              </w:rPr>
              <w:t>比色杯清洗</w:t>
            </w:r>
          </w:p>
        </w:tc>
        <w:tc>
          <w:tcPr>
            <w:tcW w:w="6583" w:type="dxa"/>
            <w:tcBorders>
              <w:top w:val="nil"/>
            </w:tcBorders>
            <w:vAlign w:val="center"/>
          </w:tcPr>
          <w:p>
            <w:pPr>
              <w:rPr>
                <w:rFonts w:ascii="宋体"/>
                <w:sz w:val="24"/>
                <w:szCs w:val="22"/>
              </w:rPr>
            </w:pPr>
            <w:r>
              <w:rPr>
                <w:rFonts w:hint="eastAsia" w:asciiTheme="minorEastAsia" w:hAnsiTheme="minorEastAsia"/>
                <w:color w:val="000000"/>
                <w:sz w:val="24"/>
                <w:szCs w:val="24"/>
              </w:rPr>
              <w:t>8阶</w:t>
            </w:r>
            <w:r>
              <w:rPr>
                <w:rFonts w:asciiTheme="minorEastAsia" w:hAnsiTheme="minorEastAsia"/>
                <w:color w:val="000000"/>
                <w:sz w:val="24"/>
                <w:szCs w:val="24"/>
              </w:rPr>
              <w:t>，</w:t>
            </w:r>
            <w:r>
              <w:rPr>
                <w:rFonts w:hint="eastAsia" w:asciiTheme="minorEastAsia" w:hAnsiTheme="minorEastAsia"/>
                <w:color w:val="000000"/>
                <w:sz w:val="24"/>
                <w:szCs w:val="24"/>
              </w:rPr>
              <w:t>自动温水/清洗剂清洗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5</w:t>
            </w:r>
          </w:p>
        </w:tc>
        <w:tc>
          <w:tcPr>
            <w:tcW w:w="1967" w:type="dxa"/>
            <w:vAlign w:val="center"/>
          </w:tcPr>
          <w:p>
            <w:pPr>
              <w:rPr>
                <w:rFonts w:ascii="宋体"/>
                <w:sz w:val="24"/>
                <w:szCs w:val="22"/>
              </w:rPr>
            </w:pPr>
            <w:r>
              <w:rPr>
                <w:rFonts w:hint="eastAsia" w:asciiTheme="minorEastAsia" w:hAnsiTheme="minorEastAsia"/>
                <w:color w:val="000000"/>
                <w:sz w:val="24"/>
                <w:szCs w:val="24"/>
              </w:rPr>
              <w:t>光学系统</w:t>
            </w:r>
          </w:p>
        </w:tc>
        <w:tc>
          <w:tcPr>
            <w:tcW w:w="6583" w:type="dxa"/>
            <w:vAlign w:val="center"/>
          </w:tcPr>
          <w:p>
            <w:pPr>
              <w:rPr>
                <w:rFonts w:ascii="宋体"/>
                <w:sz w:val="24"/>
                <w:szCs w:val="22"/>
              </w:rPr>
            </w:pPr>
            <w:r>
              <w:rPr>
                <w:rFonts w:hint="eastAsia" w:asciiTheme="minorEastAsia" w:hAnsiTheme="minorEastAsia"/>
                <w:color w:val="000000"/>
                <w:sz w:val="24"/>
                <w:szCs w:val="24"/>
              </w:rPr>
              <w:t>全息凹面光栅后分光系统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6</w:t>
            </w:r>
          </w:p>
        </w:tc>
        <w:tc>
          <w:tcPr>
            <w:tcW w:w="1967" w:type="dxa"/>
            <w:vAlign w:val="center"/>
          </w:tcPr>
          <w:p>
            <w:pPr>
              <w:rPr>
                <w:rFonts w:ascii="宋体"/>
                <w:sz w:val="24"/>
                <w:szCs w:val="18"/>
              </w:rPr>
            </w:pPr>
            <w:r>
              <w:rPr>
                <w:rFonts w:hint="eastAsia" w:asciiTheme="minorEastAsia" w:hAnsiTheme="minorEastAsia"/>
                <w:color w:val="000000"/>
                <w:sz w:val="24"/>
                <w:szCs w:val="24"/>
              </w:rPr>
              <w:t>波长</w:t>
            </w:r>
          </w:p>
        </w:tc>
        <w:tc>
          <w:tcPr>
            <w:tcW w:w="6583" w:type="dxa"/>
            <w:vAlign w:val="center"/>
          </w:tcPr>
          <w:p>
            <w:pPr>
              <w:rPr>
                <w:rFonts w:ascii="宋体"/>
                <w:sz w:val="24"/>
                <w:szCs w:val="22"/>
              </w:rPr>
            </w:pPr>
            <w:r>
              <w:rPr>
                <w:rFonts w:hint="eastAsia" w:asciiTheme="minorEastAsia" w:hAnsiTheme="minorEastAsia"/>
                <w:color w:val="000000"/>
                <w:sz w:val="24"/>
                <w:szCs w:val="24"/>
              </w:rPr>
              <w:t>340～850nm ,1</w:t>
            </w:r>
            <w:r>
              <w:rPr>
                <w:rFonts w:asciiTheme="minorEastAsia" w:hAnsiTheme="minorEastAsia"/>
                <w:color w:val="000000"/>
                <w:sz w:val="24"/>
                <w:szCs w:val="24"/>
              </w:rPr>
              <w:t>6</w:t>
            </w:r>
            <w:r>
              <w:rPr>
                <w:rFonts w:hint="eastAsia" w:asciiTheme="minorEastAsia" w:hAnsiTheme="minorEastAsia"/>
                <w:color w:val="000000"/>
                <w:sz w:val="24"/>
                <w:szCs w:val="24"/>
              </w:rPr>
              <w:t>个波长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7</w:t>
            </w:r>
          </w:p>
        </w:tc>
        <w:tc>
          <w:tcPr>
            <w:tcW w:w="1967" w:type="dxa"/>
            <w:vAlign w:val="center"/>
          </w:tcPr>
          <w:p>
            <w:pPr>
              <w:rPr>
                <w:rFonts w:ascii="宋体"/>
                <w:sz w:val="24"/>
                <w:szCs w:val="18"/>
              </w:rPr>
            </w:pPr>
            <w:r>
              <w:rPr>
                <w:rFonts w:hint="eastAsia" w:asciiTheme="minorEastAsia" w:hAnsiTheme="minorEastAsia"/>
                <w:color w:val="000000"/>
                <w:sz w:val="24"/>
                <w:szCs w:val="24"/>
              </w:rPr>
              <w:t>吸光度线性范围</w:t>
            </w:r>
          </w:p>
        </w:tc>
        <w:tc>
          <w:tcPr>
            <w:tcW w:w="6583" w:type="dxa"/>
            <w:vAlign w:val="center"/>
          </w:tcPr>
          <w:p>
            <w:pPr>
              <w:rPr>
                <w:rFonts w:ascii="宋体"/>
                <w:sz w:val="24"/>
                <w:szCs w:val="22"/>
              </w:rPr>
            </w:pPr>
            <w:r>
              <w:rPr>
                <w:rFonts w:hint="eastAsia" w:asciiTheme="minorEastAsia" w:hAnsiTheme="minorEastAsia"/>
                <w:color w:val="000000"/>
                <w:sz w:val="24"/>
                <w:szCs w:val="24"/>
              </w:rPr>
              <w:t>0～3.5 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51" w:type="dxa"/>
            <w:vAlign w:val="center"/>
          </w:tcPr>
          <w:p>
            <w:pPr>
              <w:spacing w:line="360" w:lineRule="auto"/>
              <w:jc w:val="center"/>
              <w:rPr>
                <w:rFonts w:ascii="宋体"/>
                <w:sz w:val="24"/>
                <w:szCs w:val="22"/>
              </w:rPr>
            </w:pPr>
            <w:r>
              <w:rPr>
                <w:rFonts w:hint="eastAsia" w:ascii="宋体" w:hAnsi="宋体"/>
                <w:sz w:val="24"/>
                <w:szCs w:val="22"/>
              </w:rPr>
              <w:t>18</w:t>
            </w:r>
          </w:p>
        </w:tc>
        <w:tc>
          <w:tcPr>
            <w:tcW w:w="1967" w:type="dxa"/>
            <w:vAlign w:val="center"/>
          </w:tcPr>
          <w:p>
            <w:pPr>
              <w:rPr>
                <w:rFonts w:ascii="宋体"/>
                <w:sz w:val="24"/>
                <w:szCs w:val="22"/>
              </w:rPr>
            </w:pPr>
            <w:r>
              <w:rPr>
                <w:rFonts w:hint="eastAsia" w:asciiTheme="minorEastAsia" w:hAnsiTheme="minorEastAsia"/>
                <w:color w:val="000000"/>
                <w:sz w:val="24"/>
                <w:szCs w:val="24"/>
              </w:rPr>
              <w:t>样品携带污染率</w:t>
            </w:r>
          </w:p>
        </w:tc>
        <w:tc>
          <w:tcPr>
            <w:tcW w:w="6583" w:type="dxa"/>
            <w:vAlign w:val="center"/>
          </w:tcPr>
          <w:p>
            <w:pPr>
              <w:rPr>
                <w:rFonts w:ascii="宋体"/>
                <w:sz w:val="24"/>
                <w:szCs w:val="22"/>
              </w:rPr>
            </w:pPr>
            <w:r>
              <w:rPr>
                <w:rFonts w:hint="eastAsia" w:asciiTheme="minorEastAsia" w:hAnsiTheme="minorEastAsia"/>
                <w:color w:val="000000"/>
                <w:sz w:val="24"/>
                <w:szCs w:val="24"/>
              </w:rPr>
              <w:t>不大于0.05%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1" w:type="dxa"/>
            <w:vAlign w:val="center"/>
          </w:tcPr>
          <w:p>
            <w:pPr>
              <w:spacing w:line="360" w:lineRule="auto"/>
              <w:jc w:val="center"/>
              <w:rPr>
                <w:rFonts w:ascii="宋体"/>
                <w:sz w:val="24"/>
                <w:szCs w:val="22"/>
              </w:rPr>
            </w:pPr>
            <w:r>
              <w:rPr>
                <w:rFonts w:ascii="宋体" w:hAnsi="宋体"/>
                <w:sz w:val="24"/>
                <w:szCs w:val="22"/>
              </w:rPr>
              <w:t>*</w:t>
            </w:r>
            <w:r>
              <w:rPr>
                <w:rFonts w:hint="eastAsia" w:ascii="宋体" w:hAnsi="宋体"/>
                <w:sz w:val="24"/>
                <w:szCs w:val="22"/>
              </w:rPr>
              <w:t>19</w:t>
            </w:r>
          </w:p>
        </w:tc>
        <w:tc>
          <w:tcPr>
            <w:tcW w:w="8550" w:type="dxa"/>
            <w:gridSpan w:val="2"/>
            <w:vAlign w:val="center"/>
          </w:tcPr>
          <w:p>
            <w:pPr>
              <w:rPr>
                <w:rFonts w:hint="eastAsia" w:ascii="宋体" w:eastAsia="宋体"/>
                <w:sz w:val="24"/>
                <w:szCs w:val="22"/>
                <w:lang w:eastAsia="zh-CN"/>
              </w:rPr>
            </w:pPr>
            <w:r>
              <w:rPr>
                <w:rFonts w:hint="eastAsia" w:asciiTheme="minorEastAsia" w:hAnsiTheme="minorEastAsia"/>
                <w:color w:val="000000"/>
                <w:sz w:val="24"/>
                <w:szCs w:val="24"/>
              </w:rPr>
              <w:t>支持HbA1c全血测试功能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1" w:type="dxa"/>
            <w:vAlign w:val="center"/>
          </w:tcPr>
          <w:p>
            <w:pPr>
              <w:spacing w:line="360" w:lineRule="auto"/>
              <w:jc w:val="center"/>
              <w:rPr>
                <w:rFonts w:ascii="宋体"/>
                <w:sz w:val="24"/>
                <w:szCs w:val="22"/>
              </w:rPr>
            </w:pPr>
            <w:r>
              <w:rPr>
                <w:rFonts w:ascii="宋体" w:hAnsi="宋体"/>
                <w:sz w:val="24"/>
                <w:szCs w:val="22"/>
              </w:rPr>
              <w:t>2</w:t>
            </w:r>
            <w:r>
              <w:rPr>
                <w:rFonts w:hint="eastAsia" w:ascii="宋体" w:hAnsi="宋体"/>
                <w:sz w:val="24"/>
                <w:szCs w:val="22"/>
              </w:rPr>
              <w:t>0</w:t>
            </w:r>
          </w:p>
        </w:tc>
        <w:tc>
          <w:tcPr>
            <w:tcW w:w="8550" w:type="dxa"/>
            <w:gridSpan w:val="2"/>
            <w:vAlign w:val="center"/>
          </w:tcPr>
          <w:p>
            <w:pPr>
              <w:rPr>
                <w:rFonts w:ascii="宋体"/>
                <w:sz w:val="24"/>
                <w:szCs w:val="22"/>
              </w:rPr>
            </w:pPr>
            <w:r>
              <w:rPr>
                <w:rFonts w:hint="eastAsia" w:asciiTheme="minorEastAsia" w:hAnsiTheme="minorEastAsia"/>
                <w:color w:val="000000"/>
                <w:sz w:val="24"/>
                <w:szCs w:val="24"/>
              </w:rPr>
              <w:t>具有酶线性拓展功能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1" w:type="dxa"/>
            <w:vAlign w:val="center"/>
          </w:tcPr>
          <w:p>
            <w:pPr>
              <w:spacing w:line="360" w:lineRule="auto"/>
              <w:jc w:val="center"/>
              <w:rPr>
                <w:rFonts w:hint="default" w:ascii="宋体" w:hAnsi="宋体" w:eastAsia="宋体"/>
                <w:sz w:val="24"/>
                <w:szCs w:val="22"/>
                <w:lang w:val="en-US" w:eastAsia="zh-CN"/>
              </w:rPr>
            </w:pPr>
            <w:r>
              <w:rPr>
                <w:rFonts w:hint="eastAsia" w:ascii="宋体" w:hAnsi="宋体"/>
                <w:sz w:val="24"/>
                <w:szCs w:val="22"/>
                <w:lang w:val="en-US" w:eastAsia="zh-CN"/>
              </w:rPr>
              <w:t>21</w:t>
            </w:r>
          </w:p>
        </w:tc>
        <w:tc>
          <w:tcPr>
            <w:tcW w:w="8550" w:type="dxa"/>
            <w:gridSpan w:val="2"/>
            <w:vAlign w:val="center"/>
          </w:tcPr>
          <w:p>
            <w:pPr>
              <w:rPr>
                <w:rFonts w:hint="eastAsia" w:ascii="宋体" w:hAnsi="宋体"/>
                <w:sz w:val="24"/>
                <w:szCs w:val="22"/>
              </w:rPr>
            </w:pPr>
            <w:r>
              <w:rPr>
                <w:rFonts w:hint="eastAsia" w:asciiTheme="minorEastAsia" w:hAnsiTheme="minorEastAsia"/>
                <w:color w:val="000000"/>
                <w:sz w:val="24"/>
                <w:szCs w:val="24"/>
              </w:rPr>
              <w:t>支持</w:t>
            </w:r>
            <w:r>
              <w:rPr>
                <w:rFonts w:asciiTheme="minorEastAsia" w:hAnsiTheme="minorEastAsia"/>
                <w:color w:val="000000"/>
                <w:sz w:val="24"/>
                <w:szCs w:val="24"/>
              </w:rPr>
              <w:t>在线试剂</w:t>
            </w:r>
            <w:r>
              <w:rPr>
                <w:rFonts w:hint="eastAsia" w:asciiTheme="minorEastAsia" w:hAnsiTheme="minorEastAsia"/>
                <w:color w:val="000000"/>
                <w:sz w:val="24"/>
                <w:szCs w:val="24"/>
              </w:rPr>
              <w:t>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1" w:type="dxa"/>
            <w:vAlign w:val="center"/>
          </w:tcPr>
          <w:p>
            <w:pPr>
              <w:spacing w:line="360" w:lineRule="auto"/>
              <w:jc w:val="center"/>
              <w:rPr>
                <w:rFonts w:hint="default" w:ascii="宋体" w:hAnsi="宋体" w:eastAsia="宋体"/>
                <w:sz w:val="24"/>
                <w:szCs w:val="22"/>
                <w:lang w:val="en-US" w:eastAsia="zh-CN"/>
              </w:rPr>
            </w:pPr>
            <w:r>
              <w:rPr>
                <w:rFonts w:hint="eastAsia" w:ascii="宋体" w:hAnsi="宋体"/>
                <w:sz w:val="24"/>
                <w:szCs w:val="22"/>
                <w:lang w:val="en-US" w:eastAsia="zh-CN"/>
              </w:rPr>
              <w:t>22</w:t>
            </w:r>
          </w:p>
        </w:tc>
        <w:tc>
          <w:tcPr>
            <w:tcW w:w="8550" w:type="dxa"/>
            <w:gridSpan w:val="2"/>
            <w:vAlign w:val="center"/>
          </w:tcPr>
          <w:p>
            <w:pPr>
              <w:rPr>
                <w:rFonts w:hint="eastAsia" w:ascii="宋体" w:hAnsi="宋体"/>
                <w:sz w:val="24"/>
                <w:szCs w:val="22"/>
              </w:rPr>
            </w:pPr>
            <w:r>
              <w:rPr>
                <w:rFonts w:hint="eastAsia" w:asciiTheme="minorEastAsia" w:hAnsiTheme="minorEastAsia"/>
                <w:color w:val="000000"/>
                <w:sz w:val="24"/>
                <w:szCs w:val="24"/>
              </w:rPr>
              <w:t>支持一个项目放置多套试剂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1" w:type="dxa"/>
            <w:vAlign w:val="center"/>
          </w:tcPr>
          <w:p>
            <w:pPr>
              <w:spacing w:line="360" w:lineRule="auto"/>
              <w:jc w:val="center"/>
              <w:rPr>
                <w:rFonts w:hint="default" w:ascii="宋体" w:hAnsi="宋体" w:eastAsia="宋体"/>
                <w:sz w:val="24"/>
                <w:szCs w:val="22"/>
                <w:lang w:val="en-US" w:eastAsia="zh-CN"/>
              </w:rPr>
            </w:pPr>
            <w:r>
              <w:rPr>
                <w:rFonts w:hint="eastAsia" w:ascii="宋体" w:hAnsi="宋体"/>
                <w:sz w:val="24"/>
                <w:szCs w:val="22"/>
                <w:lang w:val="en-US" w:eastAsia="zh-CN"/>
              </w:rPr>
              <w:t>23</w:t>
            </w:r>
          </w:p>
        </w:tc>
        <w:tc>
          <w:tcPr>
            <w:tcW w:w="8550" w:type="dxa"/>
            <w:gridSpan w:val="2"/>
            <w:vAlign w:val="center"/>
          </w:tcPr>
          <w:p>
            <w:pPr>
              <w:rPr>
                <w:rFonts w:hint="eastAsia" w:ascii="宋体" w:hAnsi="宋体"/>
                <w:sz w:val="24"/>
                <w:szCs w:val="22"/>
              </w:rPr>
            </w:pPr>
            <w:r>
              <w:rPr>
                <w:rFonts w:hint="eastAsia" w:asciiTheme="minorEastAsia" w:hAnsiTheme="minorEastAsia"/>
                <w:color w:val="000000"/>
                <w:sz w:val="24"/>
                <w:szCs w:val="24"/>
              </w:rPr>
              <w:t>支持定时</w:t>
            </w:r>
            <w:r>
              <w:rPr>
                <w:rFonts w:asciiTheme="minorEastAsia" w:hAnsiTheme="minorEastAsia"/>
                <w:color w:val="000000"/>
                <w:sz w:val="24"/>
                <w:szCs w:val="24"/>
              </w:rPr>
              <w:t>休眠和手动休眠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1" w:type="dxa"/>
            <w:vAlign w:val="center"/>
          </w:tcPr>
          <w:p>
            <w:pPr>
              <w:spacing w:line="360" w:lineRule="auto"/>
              <w:jc w:val="center"/>
              <w:rPr>
                <w:rFonts w:hint="default" w:ascii="宋体" w:hAnsi="宋体" w:eastAsia="宋体"/>
                <w:sz w:val="24"/>
                <w:szCs w:val="22"/>
                <w:lang w:val="en-US" w:eastAsia="zh-CN"/>
              </w:rPr>
            </w:pPr>
            <w:r>
              <w:rPr>
                <w:rFonts w:hint="eastAsia" w:ascii="宋体" w:hAnsi="宋体"/>
                <w:sz w:val="24"/>
                <w:szCs w:val="22"/>
                <w:lang w:val="en-US" w:eastAsia="zh-CN"/>
              </w:rPr>
              <w:t>24</w:t>
            </w:r>
          </w:p>
        </w:tc>
        <w:tc>
          <w:tcPr>
            <w:tcW w:w="8550" w:type="dxa"/>
            <w:gridSpan w:val="2"/>
            <w:vAlign w:val="center"/>
          </w:tcPr>
          <w:p>
            <w:pPr>
              <w:rPr>
                <w:rFonts w:hint="eastAsia" w:ascii="宋体" w:hAnsi="宋体"/>
                <w:sz w:val="24"/>
                <w:szCs w:val="22"/>
              </w:rPr>
            </w:pPr>
            <w:r>
              <w:rPr>
                <w:rFonts w:hint="eastAsia" w:asciiTheme="minorEastAsia" w:hAnsiTheme="minorEastAsia"/>
                <w:color w:val="000000"/>
                <w:sz w:val="24"/>
                <w:szCs w:val="24"/>
              </w:rPr>
              <w:t>操作系统：全中文操作界面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1" w:type="dxa"/>
            <w:vAlign w:val="center"/>
          </w:tcPr>
          <w:p>
            <w:pPr>
              <w:jc w:val="center"/>
              <w:rPr>
                <w:rFonts w:hint="default"/>
                <w:sz w:val="24"/>
                <w:szCs w:val="18"/>
                <w:lang w:val="en-US" w:eastAsia="zh-CN"/>
              </w:rPr>
            </w:pPr>
            <w:r>
              <w:rPr>
                <w:rFonts w:hint="eastAsia"/>
                <w:sz w:val="24"/>
                <w:szCs w:val="18"/>
                <w:lang w:val="en-US" w:eastAsia="zh-CN"/>
              </w:rPr>
              <w:t>25</w:t>
            </w:r>
          </w:p>
        </w:tc>
        <w:tc>
          <w:tcPr>
            <w:tcW w:w="1967" w:type="dxa"/>
            <w:vAlign w:val="center"/>
          </w:tcPr>
          <w:p>
            <w:pPr>
              <w:rPr>
                <w:rFonts w:hint="eastAsia" w:asciiTheme="minorEastAsia" w:hAnsiTheme="minorEastAsia"/>
                <w:color w:val="000000"/>
                <w:sz w:val="24"/>
                <w:szCs w:val="24"/>
              </w:rPr>
            </w:pPr>
            <w:r>
              <w:rPr>
                <w:rFonts w:hint="eastAsia" w:asciiTheme="minorEastAsia" w:hAnsiTheme="minorEastAsia"/>
                <w:color w:val="000000"/>
                <w:sz w:val="24"/>
                <w:szCs w:val="24"/>
              </w:rPr>
              <w:t>质控功能</w:t>
            </w:r>
          </w:p>
        </w:tc>
        <w:tc>
          <w:tcPr>
            <w:tcW w:w="6583" w:type="dxa"/>
            <w:vAlign w:val="center"/>
          </w:tcPr>
          <w:p>
            <w:pPr>
              <w:rPr>
                <w:rFonts w:hint="eastAsia" w:asciiTheme="minorEastAsia" w:hAnsiTheme="minorEastAsia"/>
                <w:color w:val="000000"/>
                <w:sz w:val="24"/>
                <w:szCs w:val="24"/>
              </w:rPr>
            </w:pPr>
            <w:r>
              <w:rPr>
                <w:rFonts w:hint="eastAsia" w:asciiTheme="minorEastAsia" w:hAnsiTheme="minorEastAsia"/>
                <w:color w:val="000000"/>
                <w:sz w:val="24"/>
                <w:szCs w:val="24"/>
              </w:rPr>
              <w:t>Westgard多种质控规则，并具备日、周、月的质控资料统计学分析、绘制图表、失控报警等功能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1" w:type="dxa"/>
            <w:vAlign w:val="center"/>
          </w:tcPr>
          <w:p>
            <w:pPr>
              <w:jc w:val="center"/>
              <w:rPr>
                <w:rFonts w:hint="default"/>
                <w:sz w:val="24"/>
                <w:szCs w:val="18"/>
                <w:lang w:val="en-US" w:eastAsia="zh-CN"/>
              </w:rPr>
            </w:pPr>
            <w:r>
              <w:rPr>
                <w:rFonts w:ascii="宋体" w:hAnsi="宋体"/>
                <w:sz w:val="24"/>
                <w:szCs w:val="22"/>
              </w:rPr>
              <w:t>*</w:t>
            </w:r>
            <w:r>
              <w:rPr>
                <w:rFonts w:hint="eastAsia"/>
                <w:sz w:val="24"/>
                <w:szCs w:val="18"/>
                <w:lang w:val="en-US" w:eastAsia="zh-CN"/>
              </w:rPr>
              <w:t>26</w:t>
            </w:r>
          </w:p>
        </w:tc>
        <w:tc>
          <w:tcPr>
            <w:tcW w:w="1967" w:type="dxa"/>
            <w:vAlign w:val="center"/>
          </w:tcPr>
          <w:p>
            <w:pPr>
              <w:rPr>
                <w:rFonts w:hint="eastAsia" w:asciiTheme="minorEastAsia" w:hAnsiTheme="minorEastAsia"/>
                <w:color w:val="auto"/>
                <w:sz w:val="24"/>
                <w:szCs w:val="24"/>
              </w:rPr>
            </w:pPr>
            <w:r>
              <w:rPr>
                <w:rFonts w:hint="eastAsia" w:asciiTheme="minorEastAsia" w:hAnsiTheme="minorEastAsia"/>
                <w:color w:val="auto"/>
                <w:sz w:val="24"/>
                <w:szCs w:val="24"/>
              </w:rPr>
              <w:t>试剂系统</w:t>
            </w:r>
          </w:p>
        </w:tc>
        <w:tc>
          <w:tcPr>
            <w:tcW w:w="6583" w:type="dxa"/>
            <w:vAlign w:val="center"/>
          </w:tcPr>
          <w:p>
            <w:pPr>
              <w:rPr>
                <w:rFonts w:hint="eastAsia" w:eastAsia="宋体" w:asciiTheme="minorEastAsia" w:hAnsiTheme="minorEastAsia"/>
                <w:color w:val="auto"/>
                <w:sz w:val="24"/>
                <w:szCs w:val="24"/>
                <w:lang w:eastAsia="zh-CN"/>
              </w:rPr>
            </w:pPr>
            <w:r>
              <w:rPr>
                <w:rFonts w:hint="eastAsia" w:asciiTheme="minorEastAsia" w:hAnsiTheme="minorEastAsia"/>
                <w:color w:val="auto"/>
                <w:sz w:val="24"/>
                <w:szCs w:val="24"/>
              </w:rPr>
              <w:t>试剂可全开放，也可封闭，并可提供原厂配套试剂项目≥</w:t>
            </w:r>
            <w:r>
              <w:rPr>
                <w:rFonts w:hint="eastAsia" w:asciiTheme="minorEastAsia" w:hAnsiTheme="minorEastAsia"/>
                <w:color w:val="auto"/>
                <w:sz w:val="24"/>
                <w:szCs w:val="24"/>
                <w:lang w:val="en-US" w:eastAsia="zh-CN"/>
              </w:rPr>
              <w:t>35</w:t>
            </w:r>
            <w:r>
              <w:rPr>
                <w:rFonts w:hint="eastAsia" w:asciiTheme="minorEastAsia" w:hAnsiTheme="minorEastAsia"/>
                <w:color w:val="auto"/>
                <w:sz w:val="24"/>
                <w:szCs w:val="24"/>
              </w:rPr>
              <w:t>个，原厂配套校准品≥</w:t>
            </w:r>
            <w:r>
              <w:rPr>
                <w:rFonts w:hint="eastAsia" w:asciiTheme="minorEastAsia" w:hAnsiTheme="minorEastAsia"/>
                <w:color w:val="auto"/>
                <w:sz w:val="24"/>
                <w:szCs w:val="24"/>
                <w:lang w:val="en-US" w:eastAsia="zh-CN"/>
              </w:rPr>
              <w:t>10</w:t>
            </w:r>
            <w:r>
              <w:rPr>
                <w:rFonts w:hint="eastAsia" w:asciiTheme="minorEastAsia" w:hAnsiTheme="minorEastAsia"/>
                <w:color w:val="auto"/>
                <w:sz w:val="24"/>
                <w:szCs w:val="24"/>
              </w:rPr>
              <w:t>项</w:t>
            </w:r>
            <w:r>
              <w:rPr>
                <w:rFonts w:hint="eastAsia" w:asciiTheme="minorEastAsia" w:hAnsiTheme="minorEastAsia"/>
                <w:color w:val="auto"/>
                <w:sz w:val="24"/>
                <w:szCs w:val="24"/>
                <w:lang w:eastAsia="zh-CN"/>
              </w:rPr>
              <w:t>。</w:t>
            </w:r>
          </w:p>
        </w:tc>
      </w:tr>
    </w:tbl>
    <w:p>
      <w:pPr>
        <w:rPr>
          <w:rFonts w:hint="eastAsia"/>
          <w:b/>
          <w:bCs/>
          <w:sz w:val="24"/>
          <w:szCs w:val="18"/>
          <w:lang w:val="en-US" w:eastAsia="zh-CN"/>
        </w:rPr>
      </w:pPr>
    </w:p>
    <w:p>
      <w:pPr>
        <w:rPr>
          <w:rFonts w:hint="eastAsia"/>
          <w:b/>
          <w:bCs/>
          <w:sz w:val="24"/>
          <w:szCs w:val="18"/>
          <w:lang w:val="en-US" w:eastAsia="zh-CN"/>
        </w:rPr>
      </w:pPr>
    </w:p>
    <w:p>
      <w:pPr>
        <w:rPr>
          <w:rFonts w:hint="eastAsia"/>
          <w:b/>
          <w:bCs/>
          <w:sz w:val="24"/>
          <w:szCs w:val="18"/>
          <w:lang w:val="en-US" w:eastAsia="zh-CN"/>
        </w:rPr>
      </w:pPr>
      <w:r>
        <w:rPr>
          <w:rFonts w:hint="eastAsia"/>
          <w:b/>
          <w:bCs/>
          <w:sz w:val="24"/>
          <w:szCs w:val="18"/>
          <w:lang w:val="en-US" w:eastAsia="zh-CN"/>
        </w:rPr>
        <w:t>附表3</w:t>
      </w:r>
    </w:p>
    <w:p>
      <w:pPr>
        <w:jc w:val="center"/>
        <w:outlineLvl w:val="0"/>
        <w:rPr>
          <w:b w:val="0"/>
          <w:bCs/>
          <w:sz w:val="28"/>
          <w:szCs w:val="28"/>
        </w:rPr>
      </w:pPr>
      <w:r>
        <w:rPr>
          <w:rFonts w:hint="eastAsia"/>
          <w:b w:val="0"/>
          <w:bCs/>
          <w:sz w:val="24"/>
          <w:szCs w:val="24"/>
        </w:rPr>
        <w:t>全自动尿液有形成分分析仪</w:t>
      </w:r>
    </w:p>
    <w:tbl>
      <w:tblPr>
        <w:tblStyle w:val="25"/>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67"/>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51" w:type="dxa"/>
            <w:vAlign w:val="center"/>
          </w:tcPr>
          <w:p>
            <w:pPr>
              <w:rPr>
                <w:sz w:val="24"/>
                <w:szCs w:val="18"/>
              </w:rPr>
            </w:pPr>
            <w:r>
              <w:rPr>
                <w:rFonts w:hint="eastAsia"/>
                <w:sz w:val="24"/>
                <w:szCs w:val="18"/>
              </w:rPr>
              <w:t>序号</w:t>
            </w:r>
          </w:p>
        </w:tc>
        <w:tc>
          <w:tcPr>
            <w:tcW w:w="1967" w:type="dxa"/>
            <w:vAlign w:val="center"/>
          </w:tcPr>
          <w:p>
            <w:pPr>
              <w:rPr>
                <w:sz w:val="24"/>
                <w:szCs w:val="18"/>
              </w:rPr>
            </w:pPr>
            <w:r>
              <w:rPr>
                <w:rFonts w:hint="eastAsia"/>
                <w:sz w:val="24"/>
                <w:szCs w:val="18"/>
              </w:rPr>
              <w:t>技术和性能参数</w:t>
            </w:r>
          </w:p>
        </w:tc>
        <w:tc>
          <w:tcPr>
            <w:tcW w:w="6373" w:type="dxa"/>
            <w:vAlign w:val="center"/>
          </w:tcPr>
          <w:p>
            <w:pPr>
              <w:jc w:val="center"/>
              <w:rPr>
                <w:sz w:val="24"/>
                <w:szCs w:val="18"/>
              </w:rPr>
            </w:pPr>
            <w:r>
              <w:rPr>
                <w:rFonts w:hint="eastAsia"/>
                <w:sz w:val="24"/>
                <w:szCs w:val="18"/>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p>
        </w:tc>
        <w:tc>
          <w:tcPr>
            <w:tcW w:w="1967" w:type="dxa"/>
            <w:vAlign w:val="center"/>
          </w:tcPr>
          <w:p>
            <w:pPr>
              <w:rPr>
                <w:rFonts w:ascii="宋体"/>
                <w:sz w:val="24"/>
                <w:szCs w:val="22"/>
              </w:rPr>
            </w:pPr>
            <w:r>
              <w:rPr>
                <w:rFonts w:hint="eastAsia" w:ascii="宋体" w:hAnsi="宋体"/>
                <w:sz w:val="24"/>
                <w:szCs w:val="22"/>
              </w:rPr>
              <w:t>工作原理</w:t>
            </w:r>
          </w:p>
        </w:tc>
        <w:tc>
          <w:tcPr>
            <w:tcW w:w="6373" w:type="dxa"/>
            <w:vAlign w:val="center"/>
          </w:tcPr>
          <w:p>
            <w:pPr>
              <w:rPr>
                <w:rFonts w:ascii="宋体"/>
                <w:sz w:val="24"/>
                <w:szCs w:val="22"/>
              </w:rPr>
            </w:pPr>
            <w:r>
              <w:rPr>
                <w:rFonts w:hint="eastAsia" w:ascii="宋体" w:hAnsi="宋体"/>
                <w:sz w:val="24"/>
                <w:szCs w:val="22"/>
              </w:rPr>
              <w:t>应用流式计数池和计算机自动坐标定位追踪识别技术，实现尿沉渣定量检测和红细胞位相分析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2</w:t>
            </w:r>
          </w:p>
        </w:tc>
        <w:tc>
          <w:tcPr>
            <w:tcW w:w="1967" w:type="dxa"/>
            <w:vAlign w:val="center"/>
          </w:tcPr>
          <w:p>
            <w:pPr>
              <w:rPr>
                <w:rFonts w:ascii="宋体"/>
                <w:sz w:val="24"/>
                <w:szCs w:val="18"/>
              </w:rPr>
            </w:pPr>
            <w:r>
              <w:rPr>
                <w:rFonts w:hint="eastAsia" w:ascii="宋体" w:hAnsi="宋体"/>
                <w:sz w:val="24"/>
                <w:szCs w:val="22"/>
              </w:rPr>
              <w:t>检测项目</w:t>
            </w:r>
          </w:p>
        </w:tc>
        <w:tc>
          <w:tcPr>
            <w:tcW w:w="6373" w:type="dxa"/>
            <w:vAlign w:val="center"/>
          </w:tcPr>
          <w:p>
            <w:pPr>
              <w:rPr>
                <w:rFonts w:ascii="宋体"/>
                <w:sz w:val="24"/>
                <w:szCs w:val="22"/>
              </w:rPr>
            </w:pPr>
            <w:r>
              <w:rPr>
                <w:rFonts w:hint="eastAsia" w:ascii="宋体" w:hAnsi="宋体"/>
                <w:sz w:val="24"/>
                <w:szCs w:val="22"/>
              </w:rPr>
              <w:t>可检测尿液中有形成分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Align w:val="center"/>
          </w:tcPr>
          <w:p>
            <w:pPr>
              <w:spacing w:line="360" w:lineRule="auto"/>
              <w:jc w:val="center"/>
              <w:rPr>
                <w:rFonts w:ascii="宋体"/>
                <w:sz w:val="24"/>
                <w:szCs w:val="22"/>
              </w:rPr>
            </w:pPr>
            <w:r>
              <w:rPr>
                <w:rFonts w:ascii="宋体" w:hAnsi="宋体"/>
                <w:sz w:val="24"/>
                <w:szCs w:val="22"/>
              </w:rPr>
              <w:t>3</w:t>
            </w:r>
          </w:p>
        </w:tc>
        <w:tc>
          <w:tcPr>
            <w:tcW w:w="1967" w:type="dxa"/>
            <w:vAlign w:val="center"/>
          </w:tcPr>
          <w:p>
            <w:pPr>
              <w:rPr>
                <w:rFonts w:ascii="宋体"/>
                <w:sz w:val="24"/>
                <w:szCs w:val="18"/>
              </w:rPr>
            </w:pPr>
            <w:r>
              <w:rPr>
                <w:rFonts w:hint="eastAsia" w:ascii="宋体" w:hAnsi="宋体"/>
                <w:sz w:val="24"/>
                <w:szCs w:val="22"/>
              </w:rPr>
              <w:t>吸样量</w:t>
            </w:r>
          </w:p>
        </w:tc>
        <w:tc>
          <w:tcPr>
            <w:tcW w:w="6373" w:type="dxa"/>
            <w:vAlign w:val="center"/>
          </w:tcPr>
          <w:p>
            <w:pPr>
              <w:rPr>
                <w:rFonts w:ascii="宋体"/>
                <w:sz w:val="24"/>
                <w:szCs w:val="22"/>
                <w:highlight w:val="yellow"/>
              </w:rPr>
            </w:pPr>
            <w:r>
              <w:rPr>
                <w:rFonts w:ascii="宋体" w:hAnsi="宋体"/>
                <w:sz w:val="24"/>
                <w:szCs w:val="22"/>
              </w:rPr>
              <w:t>200-1500</w:t>
            </w:r>
            <w:r>
              <w:rPr>
                <w:rFonts w:hint="eastAsia" w:ascii="宋体" w:hAnsi="宋体"/>
                <w:sz w:val="24"/>
                <w:szCs w:val="22"/>
              </w:rPr>
              <w:t>μ</w:t>
            </w:r>
            <w:r>
              <w:rPr>
                <w:rFonts w:ascii="宋体" w:hAnsi="宋体"/>
                <w:sz w:val="24"/>
                <w:szCs w:val="2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vAlign w:val="center"/>
          </w:tcPr>
          <w:p>
            <w:pPr>
              <w:spacing w:line="360" w:lineRule="auto"/>
              <w:jc w:val="center"/>
              <w:rPr>
                <w:rFonts w:ascii="宋体"/>
                <w:sz w:val="24"/>
                <w:szCs w:val="22"/>
              </w:rPr>
            </w:pPr>
            <w:r>
              <w:rPr>
                <w:rFonts w:ascii="宋体" w:hAnsi="宋体"/>
                <w:sz w:val="24"/>
                <w:szCs w:val="22"/>
              </w:rPr>
              <w:t>4</w:t>
            </w:r>
          </w:p>
        </w:tc>
        <w:tc>
          <w:tcPr>
            <w:tcW w:w="1967" w:type="dxa"/>
            <w:vAlign w:val="center"/>
          </w:tcPr>
          <w:p>
            <w:pPr>
              <w:rPr>
                <w:rFonts w:ascii="宋体"/>
                <w:sz w:val="24"/>
                <w:szCs w:val="22"/>
              </w:rPr>
            </w:pPr>
            <w:r>
              <w:rPr>
                <w:rFonts w:hint="eastAsia" w:ascii="宋体" w:hAnsi="宋体"/>
                <w:sz w:val="24"/>
                <w:szCs w:val="22"/>
              </w:rPr>
              <w:t>样本处理</w:t>
            </w:r>
          </w:p>
        </w:tc>
        <w:tc>
          <w:tcPr>
            <w:tcW w:w="6373" w:type="dxa"/>
            <w:vAlign w:val="center"/>
          </w:tcPr>
          <w:p>
            <w:pPr>
              <w:rPr>
                <w:rFonts w:ascii="宋体"/>
                <w:sz w:val="24"/>
                <w:szCs w:val="22"/>
              </w:rPr>
            </w:pPr>
            <w:r>
              <w:rPr>
                <w:rFonts w:hint="eastAsia" w:ascii="宋体" w:hAnsi="宋体"/>
                <w:sz w:val="24"/>
                <w:szCs w:val="22"/>
              </w:rPr>
              <w:t>原尿可直接上机检验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5</w:t>
            </w:r>
          </w:p>
        </w:tc>
        <w:tc>
          <w:tcPr>
            <w:tcW w:w="1967" w:type="dxa"/>
            <w:vAlign w:val="center"/>
          </w:tcPr>
          <w:p>
            <w:pPr>
              <w:rPr>
                <w:rFonts w:ascii="宋体"/>
                <w:sz w:val="24"/>
                <w:szCs w:val="22"/>
              </w:rPr>
            </w:pPr>
            <w:r>
              <w:rPr>
                <w:rFonts w:hint="eastAsia" w:ascii="宋体" w:hAnsi="宋体"/>
                <w:sz w:val="24"/>
                <w:szCs w:val="22"/>
              </w:rPr>
              <w:t>全自动显微镜</w:t>
            </w:r>
          </w:p>
        </w:tc>
        <w:tc>
          <w:tcPr>
            <w:tcW w:w="6373" w:type="dxa"/>
            <w:vAlign w:val="center"/>
          </w:tcPr>
          <w:p>
            <w:pPr>
              <w:rPr>
                <w:rFonts w:ascii="宋体"/>
                <w:sz w:val="24"/>
                <w:szCs w:val="22"/>
              </w:rPr>
            </w:pPr>
            <w:r>
              <w:rPr>
                <w:rFonts w:hint="eastAsia" w:ascii="宋体" w:hAnsi="宋体"/>
                <w:sz w:val="24"/>
                <w:szCs w:val="22"/>
              </w:rPr>
              <w:t>具有全自动实时动态数字调焦功能和图像二次处理功能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1" w:type="dxa"/>
            <w:vAlign w:val="center"/>
          </w:tcPr>
          <w:p>
            <w:pPr>
              <w:spacing w:line="360" w:lineRule="auto"/>
              <w:jc w:val="center"/>
              <w:rPr>
                <w:rFonts w:ascii="宋体"/>
                <w:sz w:val="24"/>
                <w:szCs w:val="22"/>
              </w:rPr>
            </w:pPr>
            <w:r>
              <w:rPr>
                <w:rFonts w:ascii="宋体" w:hAnsi="宋体"/>
                <w:sz w:val="24"/>
                <w:szCs w:val="20"/>
              </w:rPr>
              <w:t>*</w:t>
            </w:r>
            <w:r>
              <w:rPr>
                <w:rFonts w:ascii="宋体" w:hAnsi="宋体"/>
                <w:sz w:val="24"/>
                <w:szCs w:val="22"/>
              </w:rPr>
              <w:t>6</w:t>
            </w:r>
          </w:p>
        </w:tc>
        <w:tc>
          <w:tcPr>
            <w:tcW w:w="1967" w:type="dxa"/>
            <w:vAlign w:val="center"/>
          </w:tcPr>
          <w:p>
            <w:pPr>
              <w:rPr>
                <w:rFonts w:ascii="宋体"/>
                <w:sz w:val="24"/>
                <w:szCs w:val="22"/>
              </w:rPr>
            </w:pPr>
            <w:r>
              <w:rPr>
                <w:rFonts w:hint="eastAsia" w:ascii="宋体" w:hAnsi="宋体"/>
                <w:sz w:val="24"/>
                <w:szCs w:val="22"/>
              </w:rPr>
              <w:t>加样器</w:t>
            </w:r>
          </w:p>
        </w:tc>
        <w:tc>
          <w:tcPr>
            <w:tcW w:w="6373" w:type="dxa"/>
            <w:vAlign w:val="center"/>
          </w:tcPr>
          <w:p>
            <w:pPr>
              <w:rPr>
                <w:rFonts w:ascii="宋体"/>
                <w:sz w:val="24"/>
                <w:szCs w:val="22"/>
              </w:rPr>
            </w:pPr>
            <w:r>
              <w:rPr>
                <w:rFonts w:hint="eastAsia"/>
                <w:sz w:val="24"/>
                <w:szCs w:val="22"/>
              </w:rPr>
              <w:t>高精度终身免维护注射器加样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1" w:type="dxa"/>
            <w:vAlign w:val="center"/>
          </w:tcPr>
          <w:p>
            <w:pPr>
              <w:spacing w:line="360" w:lineRule="auto"/>
              <w:jc w:val="center"/>
              <w:rPr>
                <w:rFonts w:ascii="宋体"/>
                <w:color w:val="FF0000"/>
                <w:sz w:val="24"/>
                <w:szCs w:val="22"/>
              </w:rPr>
            </w:pPr>
            <w:r>
              <w:rPr>
                <w:rFonts w:ascii="宋体" w:hAnsi="宋体"/>
                <w:sz w:val="24"/>
                <w:szCs w:val="22"/>
              </w:rPr>
              <w:t>7</w:t>
            </w:r>
          </w:p>
        </w:tc>
        <w:tc>
          <w:tcPr>
            <w:tcW w:w="1967" w:type="dxa"/>
            <w:vAlign w:val="center"/>
          </w:tcPr>
          <w:p>
            <w:pPr>
              <w:rPr>
                <w:rFonts w:ascii="宋体"/>
                <w:sz w:val="24"/>
                <w:szCs w:val="22"/>
              </w:rPr>
            </w:pPr>
            <w:r>
              <w:rPr>
                <w:rFonts w:hint="eastAsia" w:ascii="宋体" w:hAnsi="宋体"/>
                <w:sz w:val="24"/>
                <w:szCs w:val="22"/>
              </w:rPr>
              <w:t>进样方式</w:t>
            </w:r>
          </w:p>
        </w:tc>
        <w:tc>
          <w:tcPr>
            <w:tcW w:w="6373" w:type="dxa"/>
            <w:vAlign w:val="center"/>
          </w:tcPr>
          <w:p>
            <w:pPr>
              <w:rPr>
                <w:sz w:val="24"/>
                <w:szCs w:val="22"/>
              </w:rPr>
            </w:pPr>
            <w:r>
              <w:rPr>
                <w:rFonts w:hint="eastAsia" w:ascii="宋体" w:hAnsi="宋体"/>
                <w:sz w:val="24"/>
                <w:szCs w:val="22"/>
              </w:rPr>
              <w:t>采用开放式进样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1" w:type="dxa"/>
            <w:vAlign w:val="center"/>
          </w:tcPr>
          <w:p>
            <w:pPr>
              <w:spacing w:line="360" w:lineRule="auto"/>
              <w:jc w:val="center"/>
              <w:rPr>
                <w:rFonts w:ascii="宋体"/>
                <w:sz w:val="24"/>
                <w:szCs w:val="22"/>
              </w:rPr>
            </w:pPr>
            <w:r>
              <w:rPr>
                <w:rFonts w:ascii="宋体" w:hAnsi="宋体"/>
                <w:sz w:val="24"/>
                <w:szCs w:val="22"/>
              </w:rPr>
              <w:t>*8</w:t>
            </w:r>
          </w:p>
        </w:tc>
        <w:tc>
          <w:tcPr>
            <w:tcW w:w="1967" w:type="dxa"/>
            <w:vAlign w:val="center"/>
          </w:tcPr>
          <w:p>
            <w:pPr>
              <w:rPr>
                <w:rFonts w:ascii="宋体"/>
                <w:sz w:val="24"/>
                <w:szCs w:val="18"/>
              </w:rPr>
            </w:pPr>
            <w:r>
              <w:rPr>
                <w:rFonts w:hint="eastAsia" w:ascii="宋体" w:hAnsi="宋体"/>
                <w:sz w:val="24"/>
                <w:szCs w:val="22"/>
              </w:rPr>
              <w:t>阴性标本筛查</w:t>
            </w:r>
          </w:p>
        </w:tc>
        <w:tc>
          <w:tcPr>
            <w:tcW w:w="6373" w:type="dxa"/>
            <w:vAlign w:val="center"/>
          </w:tcPr>
          <w:p>
            <w:pPr>
              <w:rPr>
                <w:rFonts w:hint="eastAsia" w:ascii="宋体" w:eastAsia="宋体"/>
                <w:sz w:val="24"/>
                <w:szCs w:val="22"/>
                <w:lang w:eastAsia="zh-CN"/>
              </w:rPr>
            </w:pPr>
            <w:r>
              <w:rPr>
                <w:rFonts w:hint="eastAsia" w:ascii="宋体" w:hAnsi="宋体"/>
                <w:sz w:val="24"/>
                <w:szCs w:val="22"/>
              </w:rPr>
              <w:t>具有低倍镜阴性标本筛查功能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1" w:type="dxa"/>
            <w:vAlign w:val="center"/>
          </w:tcPr>
          <w:p>
            <w:pPr>
              <w:spacing w:line="360" w:lineRule="auto"/>
              <w:jc w:val="center"/>
              <w:rPr>
                <w:rFonts w:ascii="宋体"/>
                <w:sz w:val="24"/>
                <w:szCs w:val="22"/>
              </w:rPr>
            </w:pPr>
            <w:r>
              <w:rPr>
                <w:rFonts w:ascii="宋体" w:hAnsi="宋体"/>
                <w:sz w:val="24"/>
                <w:szCs w:val="22"/>
              </w:rPr>
              <w:t>*9</w:t>
            </w:r>
          </w:p>
        </w:tc>
        <w:tc>
          <w:tcPr>
            <w:tcW w:w="1967" w:type="dxa"/>
            <w:vAlign w:val="center"/>
          </w:tcPr>
          <w:p>
            <w:pPr>
              <w:rPr>
                <w:rFonts w:ascii="宋体"/>
                <w:sz w:val="24"/>
                <w:szCs w:val="22"/>
              </w:rPr>
            </w:pPr>
            <w:r>
              <w:rPr>
                <w:rFonts w:hint="eastAsia" w:ascii="宋体" w:hAnsi="宋体"/>
                <w:sz w:val="24"/>
                <w:szCs w:val="22"/>
              </w:rPr>
              <w:t>坐标定位追踪技术</w:t>
            </w:r>
          </w:p>
        </w:tc>
        <w:tc>
          <w:tcPr>
            <w:tcW w:w="6373" w:type="dxa"/>
            <w:vAlign w:val="center"/>
          </w:tcPr>
          <w:p>
            <w:pPr>
              <w:rPr>
                <w:rFonts w:ascii="宋体"/>
                <w:sz w:val="24"/>
                <w:szCs w:val="22"/>
              </w:rPr>
            </w:pPr>
            <w:r>
              <w:rPr>
                <w:rFonts w:hint="eastAsia" w:ascii="宋体" w:hAnsi="宋体"/>
                <w:sz w:val="24"/>
                <w:szCs w:val="22"/>
              </w:rPr>
              <w:t>具有坐标定位追踪识别技术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0</w:t>
            </w:r>
          </w:p>
        </w:tc>
        <w:tc>
          <w:tcPr>
            <w:tcW w:w="1967" w:type="dxa"/>
            <w:vAlign w:val="center"/>
          </w:tcPr>
          <w:p>
            <w:pPr>
              <w:rPr>
                <w:rFonts w:ascii="宋体"/>
                <w:sz w:val="24"/>
                <w:szCs w:val="22"/>
              </w:rPr>
            </w:pPr>
            <w:r>
              <w:rPr>
                <w:rFonts w:hint="eastAsia" w:ascii="宋体" w:hAnsi="宋体"/>
                <w:sz w:val="24"/>
                <w:szCs w:val="22"/>
              </w:rPr>
              <w:t>检测速度</w:t>
            </w:r>
          </w:p>
        </w:tc>
        <w:tc>
          <w:tcPr>
            <w:tcW w:w="6373" w:type="dxa"/>
            <w:vAlign w:val="center"/>
          </w:tcPr>
          <w:p>
            <w:pPr>
              <w:rPr>
                <w:rFonts w:ascii="宋体"/>
                <w:sz w:val="24"/>
                <w:szCs w:val="22"/>
              </w:rPr>
            </w:pPr>
            <w:r>
              <w:rPr>
                <w:rFonts w:hint="eastAsia" w:ascii="宋体" w:hAnsi="宋体"/>
                <w:sz w:val="24"/>
                <w:szCs w:val="22"/>
              </w:rPr>
              <w:t>≥</w:t>
            </w:r>
            <w:r>
              <w:rPr>
                <w:rFonts w:ascii="宋体" w:hAnsi="宋体"/>
                <w:sz w:val="24"/>
                <w:szCs w:val="22"/>
              </w:rPr>
              <w:t>60t/h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0"/>
              </w:rPr>
              <w:t>*</w:t>
            </w:r>
            <w:r>
              <w:rPr>
                <w:rFonts w:ascii="宋体" w:hAnsi="宋体"/>
                <w:sz w:val="24"/>
                <w:szCs w:val="22"/>
              </w:rPr>
              <w:t>1</w:t>
            </w:r>
            <w:r>
              <w:rPr>
                <w:rFonts w:hint="eastAsia" w:ascii="宋体" w:hAnsi="宋体"/>
                <w:sz w:val="24"/>
                <w:szCs w:val="22"/>
              </w:rPr>
              <w:t>1</w:t>
            </w:r>
          </w:p>
        </w:tc>
        <w:tc>
          <w:tcPr>
            <w:tcW w:w="1967" w:type="dxa"/>
            <w:vAlign w:val="center"/>
          </w:tcPr>
          <w:p>
            <w:pPr>
              <w:rPr>
                <w:rFonts w:ascii="宋体"/>
                <w:sz w:val="24"/>
                <w:szCs w:val="22"/>
              </w:rPr>
            </w:pPr>
            <w:r>
              <w:rPr>
                <w:rFonts w:hint="eastAsia" w:ascii="宋体" w:hAnsi="宋体"/>
                <w:sz w:val="24"/>
                <w:szCs w:val="22"/>
              </w:rPr>
              <w:t>计数池清洗</w:t>
            </w:r>
          </w:p>
        </w:tc>
        <w:tc>
          <w:tcPr>
            <w:tcW w:w="6373" w:type="dxa"/>
            <w:vAlign w:val="center"/>
          </w:tcPr>
          <w:p>
            <w:pPr>
              <w:rPr>
                <w:rFonts w:ascii="宋体"/>
                <w:sz w:val="24"/>
                <w:szCs w:val="22"/>
              </w:rPr>
            </w:pPr>
            <w:r>
              <w:rPr>
                <w:rFonts w:hint="eastAsia" w:ascii="宋体" w:hAnsi="宋体"/>
                <w:sz w:val="24"/>
                <w:szCs w:val="22"/>
              </w:rPr>
              <w:t>具有对计数池反向排空、反向冲洗和正向冲洗功能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2</w:t>
            </w:r>
          </w:p>
        </w:tc>
        <w:tc>
          <w:tcPr>
            <w:tcW w:w="1967" w:type="dxa"/>
            <w:vAlign w:val="center"/>
          </w:tcPr>
          <w:p>
            <w:pPr>
              <w:rPr>
                <w:rFonts w:ascii="宋体"/>
                <w:sz w:val="24"/>
                <w:szCs w:val="22"/>
              </w:rPr>
            </w:pPr>
            <w:r>
              <w:rPr>
                <w:rFonts w:hint="eastAsia" w:ascii="宋体" w:hAnsi="宋体"/>
                <w:sz w:val="24"/>
                <w:szCs w:val="22"/>
              </w:rPr>
              <w:t>干化学仪匹配</w:t>
            </w:r>
          </w:p>
        </w:tc>
        <w:tc>
          <w:tcPr>
            <w:tcW w:w="6373" w:type="dxa"/>
            <w:vAlign w:val="center"/>
          </w:tcPr>
          <w:p>
            <w:pPr>
              <w:rPr>
                <w:rFonts w:ascii="宋体"/>
                <w:sz w:val="24"/>
                <w:szCs w:val="22"/>
              </w:rPr>
            </w:pPr>
            <w:r>
              <w:rPr>
                <w:rFonts w:hint="eastAsia" w:ascii="宋体" w:hAnsi="宋体"/>
                <w:sz w:val="24"/>
                <w:szCs w:val="22"/>
              </w:rPr>
              <w:t>可与任意品牌的干化学仪实现联机，具有与干化学仪自动配对和随机配对模式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nil"/>
            </w:tcBorders>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3</w:t>
            </w:r>
          </w:p>
        </w:tc>
        <w:tc>
          <w:tcPr>
            <w:tcW w:w="1967" w:type="dxa"/>
            <w:tcBorders>
              <w:top w:val="nil"/>
            </w:tcBorders>
            <w:vAlign w:val="center"/>
          </w:tcPr>
          <w:p>
            <w:pPr>
              <w:rPr>
                <w:rFonts w:ascii="宋体"/>
                <w:sz w:val="24"/>
                <w:szCs w:val="18"/>
              </w:rPr>
            </w:pPr>
            <w:r>
              <w:rPr>
                <w:rFonts w:hint="eastAsia" w:ascii="宋体" w:hAnsi="宋体"/>
                <w:sz w:val="24"/>
                <w:szCs w:val="22"/>
              </w:rPr>
              <w:t>交叉污染</w:t>
            </w:r>
          </w:p>
        </w:tc>
        <w:tc>
          <w:tcPr>
            <w:tcW w:w="6373" w:type="dxa"/>
            <w:tcBorders>
              <w:top w:val="nil"/>
            </w:tcBorders>
            <w:vAlign w:val="center"/>
          </w:tcPr>
          <w:p>
            <w:pPr>
              <w:rPr>
                <w:rFonts w:ascii="宋体"/>
                <w:sz w:val="24"/>
                <w:szCs w:val="22"/>
              </w:rPr>
            </w:pPr>
            <w:r>
              <w:rPr>
                <w:rFonts w:hint="eastAsia" w:ascii="宋体" w:hAnsi="宋体"/>
                <w:sz w:val="24"/>
                <w:szCs w:val="22"/>
              </w:rPr>
              <w:t>≤</w:t>
            </w:r>
            <w:r>
              <w:rPr>
                <w:rFonts w:ascii="宋体" w:hAnsi="宋体"/>
                <w:sz w:val="24"/>
                <w:szCs w:val="22"/>
              </w:rPr>
              <w:t>1</w:t>
            </w:r>
            <w:r>
              <w:rPr>
                <w:rFonts w:hint="eastAsia" w:ascii="宋体" w:hAnsi="宋体"/>
                <w:sz w:val="24"/>
                <w:szCs w:val="22"/>
              </w:rPr>
              <w:t>个</w:t>
            </w:r>
            <w:r>
              <w:rPr>
                <w:rFonts w:ascii="宋体" w:hAnsi="宋体"/>
                <w:sz w:val="24"/>
                <w:szCs w:val="22"/>
              </w:rPr>
              <w:t>/ul</w:t>
            </w:r>
            <w:r>
              <w:rPr>
                <w:rFonts w:hint="eastAsia" w:ascii="宋体" w:hAnsi="宋体"/>
                <w:sz w:val="24"/>
                <w:szCs w:val="22"/>
              </w:rPr>
              <w:t>（以产品注册证为准）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nil"/>
            </w:tcBorders>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4</w:t>
            </w:r>
          </w:p>
        </w:tc>
        <w:tc>
          <w:tcPr>
            <w:tcW w:w="1967" w:type="dxa"/>
            <w:tcBorders>
              <w:top w:val="nil"/>
            </w:tcBorders>
            <w:vAlign w:val="center"/>
          </w:tcPr>
          <w:p>
            <w:pPr>
              <w:rPr>
                <w:rFonts w:ascii="宋体"/>
                <w:sz w:val="24"/>
                <w:szCs w:val="18"/>
              </w:rPr>
            </w:pPr>
            <w:r>
              <w:rPr>
                <w:rFonts w:hint="eastAsia" w:ascii="宋体" w:hAnsi="宋体"/>
                <w:sz w:val="24"/>
                <w:szCs w:val="22"/>
              </w:rPr>
              <w:t>网络接口</w:t>
            </w:r>
          </w:p>
        </w:tc>
        <w:tc>
          <w:tcPr>
            <w:tcW w:w="6373" w:type="dxa"/>
            <w:tcBorders>
              <w:top w:val="nil"/>
            </w:tcBorders>
            <w:vAlign w:val="center"/>
          </w:tcPr>
          <w:p>
            <w:pPr>
              <w:rPr>
                <w:rFonts w:ascii="宋体"/>
                <w:sz w:val="24"/>
                <w:szCs w:val="22"/>
              </w:rPr>
            </w:pPr>
            <w:r>
              <w:rPr>
                <w:rFonts w:hint="eastAsia" w:ascii="宋体" w:hAnsi="宋体"/>
                <w:sz w:val="24"/>
                <w:szCs w:val="22"/>
              </w:rPr>
              <w:t>标准网络接口，可以和</w:t>
            </w:r>
            <w:r>
              <w:rPr>
                <w:rFonts w:ascii="宋体" w:hAnsi="宋体"/>
                <w:sz w:val="24"/>
                <w:szCs w:val="22"/>
              </w:rPr>
              <w:t>LIS</w:t>
            </w:r>
            <w:r>
              <w:rPr>
                <w:rFonts w:hint="eastAsia" w:ascii="宋体" w:hAnsi="宋体"/>
                <w:sz w:val="24"/>
                <w:szCs w:val="22"/>
              </w:rPr>
              <w:t>及</w:t>
            </w:r>
            <w:r>
              <w:rPr>
                <w:rFonts w:ascii="宋体" w:hAnsi="宋体"/>
                <w:sz w:val="24"/>
                <w:szCs w:val="22"/>
              </w:rPr>
              <w:t>HIS</w:t>
            </w:r>
            <w:r>
              <w:rPr>
                <w:rFonts w:hint="eastAsia" w:ascii="宋体" w:hAnsi="宋体"/>
                <w:sz w:val="24"/>
                <w:szCs w:val="22"/>
              </w:rPr>
              <w:t>系统联网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5</w:t>
            </w:r>
          </w:p>
        </w:tc>
        <w:tc>
          <w:tcPr>
            <w:tcW w:w="1967" w:type="dxa"/>
            <w:vAlign w:val="center"/>
          </w:tcPr>
          <w:p>
            <w:pPr>
              <w:rPr>
                <w:rFonts w:ascii="宋体"/>
                <w:sz w:val="24"/>
                <w:szCs w:val="22"/>
              </w:rPr>
            </w:pPr>
            <w:r>
              <w:rPr>
                <w:rFonts w:hint="eastAsia" w:ascii="宋体" w:hAnsi="宋体"/>
                <w:sz w:val="24"/>
                <w:szCs w:val="18"/>
              </w:rPr>
              <w:t>存储功能</w:t>
            </w:r>
          </w:p>
        </w:tc>
        <w:tc>
          <w:tcPr>
            <w:tcW w:w="6373" w:type="dxa"/>
            <w:vAlign w:val="center"/>
          </w:tcPr>
          <w:p>
            <w:pPr>
              <w:rPr>
                <w:rFonts w:ascii="宋体"/>
                <w:sz w:val="24"/>
                <w:szCs w:val="22"/>
              </w:rPr>
            </w:pPr>
            <w:r>
              <w:rPr>
                <w:rFonts w:hint="eastAsia" w:ascii="宋体" w:hAnsi="宋体"/>
                <w:sz w:val="24"/>
                <w:szCs w:val="22"/>
              </w:rPr>
              <w:t>可保存</w:t>
            </w:r>
            <w:r>
              <w:rPr>
                <w:rFonts w:ascii="宋体" w:hAnsi="宋体"/>
                <w:sz w:val="24"/>
                <w:szCs w:val="22"/>
              </w:rPr>
              <w:t>10</w:t>
            </w:r>
            <w:r>
              <w:rPr>
                <w:rFonts w:hint="eastAsia" w:ascii="宋体" w:hAnsi="宋体"/>
                <w:sz w:val="24"/>
                <w:szCs w:val="22"/>
              </w:rPr>
              <w:t>万份以上的检测报告，中文综合报告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6</w:t>
            </w:r>
          </w:p>
        </w:tc>
        <w:tc>
          <w:tcPr>
            <w:tcW w:w="1967" w:type="dxa"/>
            <w:vAlign w:val="center"/>
          </w:tcPr>
          <w:p>
            <w:pPr>
              <w:rPr>
                <w:rFonts w:ascii="宋体"/>
                <w:sz w:val="24"/>
                <w:szCs w:val="18"/>
              </w:rPr>
            </w:pPr>
            <w:r>
              <w:rPr>
                <w:rFonts w:hint="eastAsia" w:ascii="宋体" w:hAnsi="宋体"/>
                <w:sz w:val="24"/>
                <w:szCs w:val="22"/>
              </w:rPr>
              <w:t>计算机配置</w:t>
            </w:r>
          </w:p>
        </w:tc>
        <w:tc>
          <w:tcPr>
            <w:tcW w:w="6373" w:type="dxa"/>
            <w:vAlign w:val="center"/>
          </w:tcPr>
          <w:p>
            <w:pPr>
              <w:rPr>
                <w:rFonts w:ascii="宋体"/>
                <w:sz w:val="24"/>
                <w:szCs w:val="22"/>
              </w:rPr>
            </w:pPr>
            <w:r>
              <w:rPr>
                <w:rFonts w:hint="eastAsia" w:ascii="宋体" w:hAnsi="宋体"/>
                <w:sz w:val="24"/>
                <w:szCs w:val="22"/>
              </w:rPr>
              <w:t>品牌商用电脑（</w:t>
            </w:r>
            <w:r>
              <w:rPr>
                <w:rFonts w:ascii="宋体" w:hAnsi="宋体"/>
                <w:sz w:val="24"/>
                <w:szCs w:val="22"/>
              </w:rPr>
              <w:t>19</w:t>
            </w:r>
            <w:r>
              <w:rPr>
                <w:rFonts w:hint="eastAsia" w:ascii="宋体" w:hAnsi="宋体"/>
                <w:sz w:val="24"/>
                <w:szCs w:val="22"/>
              </w:rPr>
              <w:t>寸液晶显示屏）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Align w:val="center"/>
          </w:tcPr>
          <w:p>
            <w:pPr>
              <w:spacing w:line="360" w:lineRule="auto"/>
              <w:jc w:val="center"/>
              <w:rPr>
                <w:rFonts w:ascii="宋体"/>
                <w:sz w:val="24"/>
                <w:szCs w:val="22"/>
              </w:rPr>
            </w:pPr>
            <w:r>
              <w:rPr>
                <w:rFonts w:ascii="宋体" w:hAnsi="宋体"/>
                <w:sz w:val="24"/>
                <w:szCs w:val="22"/>
              </w:rPr>
              <w:t>1</w:t>
            </w:r>
            <w:r>
              <w:rPr>
                <w:rFonts w:hint="eastAsia" w:ascii="宋体" w:hAnsi="宋体"/>
                <w:sz w:val="24"/>
                <w:szCs w:val="22"/>
              </w:rPr>
              <w:t>7</w:t>
            </w:r>
          </w:p>
        </w:tc>
        <w:tc>
          <w:tcPr>
            <w:tcW w:w="1967" w:type="dxa"/>
            <w:vAlign w:val="center"/>
          </w:tcPr>
          <w:p>
            <w:pPr>
              <w:rPr>
                <w:rFonts w:ascii="宋体"/>
                <w:sz w:val="24"/>
                <w:szCs w:val="18"/>
              </w:rPr>
            </w:pPr>
            <w:r>
              <w:rPr>
                <w:rFonts w:hint="eastAsia" w:ascii="宋体" w:hAnsi="宋体"/>
                <w:sz w:val="24"/>
                <w:szCs w:val="22"/>
              </w:rPr>
              <w:t>打印机</w:t>
            </w:r>
          </w:p>
        </w:tc>
        <w:tc>
          <w:tcPr>
            <w:tcW w:w="6373" w:type="dxa"/>
            <w:vAlign w:val="center"/>
          </w:tcPr>
          <w:p>
            <w:pPr>
              <w:rPr>
                <w:rFonts w:ascii="宋体"/>
                <w:sz w:val="24"/>
                <w:szCs w:val="22"/>
              </w:rPr>
            </w:pPr>
            <w:r>
              <w:rPr>
                <w:rFonts w:hint="eastAsia" w:ascii="宋体" w:hAnsi="宋体"/>
                <w:sz w:val="24"/>
                <w:szCs w:val="22"/>
              </w:rPr>
              <w:t>高速激光打印机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1" w:type="dxa"/>
            <w:vAlign w:val="center"/>
          </w:tcPr>
          <w:p>
            <w:pPr>
              <w:spacing w:line="360" w:lineRule="auto"/>
              <w:jc w:val="center"/>
              <w:rPr>
                <w:rFonts w:hint="eastAsia" w:ascii="宋体" w:eastAsia="宋体"/>
                <w:sz w:val="24"/>
                <w:szCs w:val="22"/>
                <w:lang w:eastAsia="zh-CN"/>
              </w:rPr>
            </w:pPr>
            <w:r>
              <w:rPr>
                <w:rFonts w:ascii="宋体" w:hAnsi="宋体"/>
                <w:sz w:val="24"/>
                <w:szCs w:val="22"/>
              </w:rPr>
              <w:t>*</w:t>
            </w:r>
            <w:r>
              <w:rPr>
                <w:rFonts w:hint="eastAsia" w:ascii="宋体" w:hAnsi="宋体"/>
                <w:sz w:val="24"/>
                <w:szCs w:val="22"/>
              </w:rPr>
              <w:t>1</w:t>
            </w:r>
            <w:r>
              <w:rPr>
                <w:rFonts w:hint="eastAsia" w:ascii="宋体" w:hAnsi="宋体"/>
                <w:sz w:val="24"/>
                <w:szCs w:val="22"/>
                <w:lang w:val="en-US" w:eastAsia="zh-CN"/>
              </w:rPr>
              <w:t>8</w:t>
            </w:r>
          </w:p>
        </w:tc>
        <w:tc>
          <w:tcPr>
            <w:tcW w:w="1967" w:type="dxa"/>
            <w:vAlign w:val="center"/>
          </w:tcPr>
          <w:p>
            <w:pPr>
              <w:rPr>
                <w:rFonts w:ascii="宋体"/>
                <w:sz w:val="24"/>
                <w:szCs w:val="22"/>
              </w:rPr>
            </w:pPr>
            <w:r>
              <w:rPr>
                <w:rFonts w:hint="eastAsia" w:ascii="宋体" w:hAnsi="宋体"/>
                <w:sz w:val="24"/>
                <w:szCs w:val="22"/>
              </w:rPr>
              <w:t>自动调焦技术</w:t>
            </w:r>
          </w:p>
        </w:tc>
        <w:tc>
          <w:tcPr>
            <w:tcW w:w="6373" w:type="dxa"/>
            <w:vAlign w:val="center"/>
          </w:tcPr>
          <w:p>
            <w:pPr>
              <w:rPr>
                <w:rFonts w:hint="eastAsia" w:ascii="宋体" w:eastAsia="宋体"/>
                <w:sz w:val="24"/>
                <w:szCs w:val="22"/>
                <w:lang w:eastAsia="zh-CN"/>
              </w:rPr>
            </w:pPr>
            <w:r>
              <w:rPr>
                <w:rFonts w:hint="eastAsia" w:ascii="宋体" w:hAnsi="宋体"/>
                <w:color w:val="auto"/>
                <w:sz w:val="24"/>
                <w:szCs w:val="22"/>
              </w:rPr>
              <w:t>仪器具有自动调焦技术，无需定焦液进行人工调焦</w:t>
            </w:r>
            <w:r>
              <w:rPr>
                <w:rFonts w:hint="eastAsia" w:ascii="宋体" w:hAnsi="宋体"/>
                <w:color w:val="auto"/>
                <w:sz w:val="24"/>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51" w:type="dxa"/>
            <w:vAlign w:val="center"/>
          </w:tcPr>
          <w:p>
            <w:pPr>
              <w:jc w:val="center"/>
              <w:rPr>
                <w:rFonts w:hint="eastAsia" w:eastAsia="宋体"/>
                <w:lang w:eastAsia="zh-CN"/>
              </w:rPr>
            </w:pPr>
            <w:r>
              <w:rPr>
                <w:sz w:val="24"/>
                <w:szCs w:val="18"/>
              </w:rPr>
              <w:t>2</w:t>
            </w:r>
            <w:r>
              <w:rPr>
                <w:rFonts w:hint="eastAsia"/>
                <w:sz w:val="24"/>
                <w:szCs w:val="18"/>
                <w:lang w:val="en-US" w:eastAsia="zh-CN"/>
              </w:rPr>
              <w:t>9</w:t>
            </w:r>
          </w:p>
        </w:tc>
        <w:tc>
          <w:tcPr>
            <w:tcW w:w="1967" w:type="dxa"/>
            <w:vAlign w:val="center"/>
          </w:tcPr>
          <w:p>
            <w:pPr>
              <w:rPr>
                <w:rFonts w:ascii="宋体"/>
                <w:color w:val="auto"/>
                <w:sz w:val="24"/>
                <w:szCs w:val="22"/>
              </w:rPr>
            </w:pPr>
            <w:r>
              <w:rPr>
                <w:rFonts w:hint="eastAsia" w:ascii="宋体" w:hAnsi="宋体"/>
                <w:color w:val="auto"/>
                <w:sz w:val="24"/>
                <w:szCs w:val="22"/>
              </w:rPr>
              <w:t>报告方式</w:t>
            </w:r>
          </w:p>
        </w:tc>
        <w:tc>
          <w:tcPr>
            <w:tcW w:w="6373" w:type="dxa"/>
            <w:vAlign w:val="center"/>
          </w:tcPr>
          <w:p>
            <w:pPr>
              <w:rPr>
                <w:rFonts w:ascii="宋体"/>
                <w:color w:val="auto"/>
                <w:sz w:val="24"/>
                <w:szCs w:val="22"/>
              </w:rPr>
            </w:pPr>
            <w:r>
              <w:rPr>
                <w:rFonts w:hint="eastAsia" w:ascii="宋体" w:hAnsi="宋体"/>
                <w:color w:val="auto"/>
                <w:sz w:val="24"/>
                <w:szCs w:val="22"/>
              </w:rPr>
              <w:t>软件提供两种报告方式，用户自由选择</w:t>
            </w:r>
          </w:p>
        </w:tc>
      </w:tr>
    </w:tbl>
    <w:p>
      <w:pPr>
        <w:pStyle w:val="2"/>
        <w:rPr>
          <w:rFonts w:hint="default" w:ascii="宋体" w:hAnsi="宋体" w:cs="宋体"/>
          <w:b/>
          <w:bCs/>
          <w:sz w:val="24"/>
          <w:lang w:val="en-US" w:eastAsia="zh-CN"/>
        </w:rPr>
      </w:pPr>
    </w:p>
    <w:p>
      <w:pPr>
        <w:pStyle w:val="2"/>
        <w:ind w:firstLine="482" w:firstLineChars="200"/>
        <w:rPr>
          <w:rFonts w:ascii="宋体" w:hAnsi="宋体"/>
          <w:b/>
          <w:bCs/>
          <w:color w:val="000000"/>
          <w:kern w:val="44"/>
          <w:sz w:val="24"/>
          <w:szCs w:val="24"/>
        </w:rPr>
      </w:pPr>
      <w:r>
        <w:rPr>
          <w:rFonts w:hint="eastAsia" w:ascii="宋体" w:hAnsi="宋体"/>
          <w:b/>
          <w:bCs/>
          <w:color w:val="000000"/>
          <w:kern w:val="44"/>
          <w:sz w:val="24"/>
          <w:szCs w:val="24"/>
          <w:lang w:val="en-US" w:eastAsia="zh-CN"/>
        </w:rPr>
        <w:t>1</w:t>
      </w:r>
      <w:r>
        <w:rPr>
          <w:rFonts w:hint="eastAsia" w:ascii="宋体" w:hAnsi="宋体"/>
          <w:b/>
          <w:bCs/>
          <w:color w:val="000000"/>
          <w:kern w:val="44"/>
          <w:sz w:val="24"/>
          <w:szCs w:val="24"/>
        </w:rPr>
        <w:t>.供应商如对以上内容有疑问，截止报名时间之前向采购人或采购代理机构提出，过期则视为同意。</w:t>
      </w:r>
    </w:p>
    <w:p>
      <w:pPr>
        <w:jc w:val="center"/>
        <w:outlineLvl w:val="0"/>
        <w:rPr>
          <w:rFonts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hint="eastAsia" w:ascii="宋体" w:hAnsi="宋体"/>
          <w:b/>
          <w:bCs/>
          <w:color w:val="000000"/>
          <w:kern w:val="44"/>
          <w:sz w:val="24"/>
          <w:szCs w:val="24"/>
          <w:lang w:val="zh-CN"/>
        </w:rPr>
      </w:pPr>
    </w:p>
    <w:p>
      <w:pPr>
        <w:jc w:val="center"/>
        <w:outlineLvl w:val="0"/>
        <w:rPr>
          <w:rFonts w:ascii="宋体" w:hAnsi="宋体"/>
          <w:b/>
          <w:bCs/>
          <w:color w:val="000000"/>
          <w:kern w:val="44"/>
          <w:sz w:val="24"/>
          <w:szCs w:val="24"/>
          <w:lang w:val="zh-CN"/>
        </w:rPr>
      </w:pPr>
      <w:r>
        <w:rPr>
          <w:rFonts w:hint="eastAsia" w:ascii="宋体" w:hAnsi="宋体"/>
          <w:b/>
          <w:bCs/>
          <w:color w:val="000000"/>
          <w:kern w:val="44"/>
          <w:sz w:val="24"/>
          <w:szCs w:val="24"/>
          <w:lang w:val="zh-CN"/>
        </w:rPr>
        <w:t>第五章 供应商资格证明及相关文件要求</w:t>
      </w:r>
      <w:bookmarkEnd w:id="11"/>
      <w:bookmarkEnd w:id="12"/>
    </w:p>
    <w:p>
      <w:pPr>
        <w:spacing w:line="360" w:lineRule="auto"/>
        <w:jc w:val="center"/>
        <w:rPr>
          <w:rFonts w:ascii="宋体" w:hAnsi="宋体"/>
          <w:b/>
          <w:bCs/>
          <w:color w:val="000000"/>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供应商应提交证明其有资格参加投标和中标后有能力履行合同的文件，并作为其响应文件的一部分，所有文件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一.供应商及投标货物的资格性证明文件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法人营业执照副本（三证合一）；</w:t>
      </w:r>
    </w:p>
    <w:p>
      <w:pPr>
        <w:pStyle w:val="2"/>
        <w:ind w:firstLine="480" w:firstLineChars="200"/>
        <w:rPr>
          <w:rFonts w:hAnsi="宋体"/>
          <w:sz w:val="24"/>
          <w:szCs w:val="24"/>
        </w:rPr>
      </w:pPr>
      <w:r>
        <w:rPr>
          <w:rFonts w:hint="eastAsia" w:hAnsi="宋体"/>
          <w:sz w:val="24"/>
          <w:szCs w:val="24"/>
        </w:rPr>
        <w:t>2.委托代表投标时的法人代表授权书（开标时需提供原件）；</w:t>
      </w:r>
    </w:p>
    <w:p>
      <w:pPr>
        <w:spacing w:line="360" w:lineRule="auto"/>
        <w:ind w:firstLine="482" w:firstLineChars="201"/>
        <w:rPr>
          <w:rFonts w:ascii="宋体" w:hAnsi="宋体"/>
          <w:sz w:val="24"/>
          <w:szCs w:val="24"/>
        </w:rPr>
      </w:pPr>
      <w:r>
        <w:rPr>
          <w:rFonts w:hint="eastAsia" w:hAnsi="宋体"/>
          <w:sz w:val="24"/>
          <w:szCs w:val="24"/>
        </w:rPr>
        <w:t>3</w:t>
      </w:r>
      <w:r>
        <w:rPr>
          <w:rFonts w:hint="eastAsia" w:ascii="宋体" w:hAnsi="宋体" w:cs="宋体"/>
          <w:sz w:val="24"/>
          <w:szCs w:val="24"/>
        </w:rPr>
        <w:t>.具有良好的商业信誉：</w:t>
      </w:r>
      <w:r>
        <w:rPr>
          <w:rFonts w:hint="eastAsia" w:ascii="宋体" w:hAnsi="宋体"/>
          <w:sz w:val="24"/>
          <w:szCs w:val="24"/>
        </w:rPr>
        <w:t>(1).供应商需提供由“征信中心网”（https://ipcrs.pbccrc.org.cn/）查询的信用报告。(2).供应商是企业或个体经营户的需带公司法人身份证及公司营业执照和公章去项目所在地或当地中国人民银行出具信用报告。</w:t>
      </w:r>
    </w:p>
    <w:p>
      <w:pPr>
        <w:spacing w:line="360" w:lineRule="auto"/>
        <w:ind w:firstLine="482" w:firstLineChars="201"/>
        <w:rPr>
          <w:rFonts w:ascii="宋体" w:hAnsi="宋体"/>
          <w:sz w:val="24"/>
          <w:szCs w:val="24"/>
        </w:rPr>
      </w:pPr>
      <w:r>
        <w:rPr>
          <w:rFonts w:hint="eastAsia" w:ascii="宋体" w:hAnsi="宋体"/>
          <w:sz w:val="24"/>
          <w:szCs w:val="24"/>
        </w:rPr>
        <w:t>4</w:t>
      </w:r>
      <w:r>
        <w:rPr>
          <w:rFonts w:hint="eastAsia" w:ascii="宋体" w:hAnsi="宋体" w:cs="宋体"/>
          <w:sz w:val="24"/>
          <w:szCs w:val="24"/>
        </w:rPr>
        <w:t>.供应商依法缴纳税收证明（以税务机关提供的纳税凭证或银行入账单为准）；</w:t>
      </w:r>
    </w:p>
    <w:p>
      <w:pPr>
        <w:spacing w:line="360" w:lineRule="auto"/>
        <w:ind w:firstLine="482" w:firstLineChars="201"/>
        <w:rPr>
          <w:rFonts w:ascii="宋体" w:hAnsi="宋体"/>
          <w:color w:val="0000FF"/>
          <w:sz w:val="24"/>
          <w:szCs w:val="24"/>
        </w:rPr>
      </w:pPr>
      <w:r>
        <w:rPr>
          <w:rFonts w:hint="eastAsia" w:ascii="宋体" w:hAnsi="宋体" w:cs="宋体"/>
          <w:sz w:val="24"/>
          <w:szCs w:val="24"/>
        </w:rPr>
        <w:t>5.供应商为企业员工缴纳社保资金的凭证（以社保机构出具的缴纳纪录凭证或银行入账单为准）；</w:t>
      </w:r>
    </w:p>
    <w:p>
      <w:pPr>
        <w:autoSpaceDE w:val="0"/>
        <w:autoSpaceDN w:val="0"/>
        <w:adjustRightInd w:val="0"/>
        <w:snapToGrid w:val="0"/>
        <w:spacing w:line="360" w:lineRule="auto"/>
        <w:ind w:right="32" w:firstLine="482" w:firstLineChars="201"/>
        <w:rPr>
          <w:rFonts w:ascii="宋体" w:hAnsi="宋体" w:cs="宋体"/>
          <w:kern w:val="0"/>
          <w:sz w:val="24"/>
          <w:szCs w:val="24"/>
        </w:rPr>
      </w:pPr>
      <w:r>
        <w:rPr>
          <w:rFonts w:hint="eastAsia" w:ascii="宋体" w:hAnsi="宋体" w:cs="宋体"/>
          <w:sz w:val="24"/>
          <w:szCs w:val="24"/>
        </w:rPr>
        <w:t>6.供应商参加政府采购近</w:t>
      </w:r>
      <w:r>
        <w:rPr>
          <w:rFonts w:hint="eastAsia" w:ascii="宋体" w:hAnsi="宋体" w:cs="宋体"/>
          <w:kern w:val="0"/>
          <w:sz w:val="24"/>
          <w:szCs w:val="24"/>
        </w:rPr>
        <w:t>三年内在经营活动中没有重大违法记录书面声明；</w:t>
      </w:r>
    </w:p>
    <w:p>
      <w:pPr>
        <w:spacing w:line="360" w:lineRule="auto"/>
        <w:ind w:firstLine="482" w:firstLineChars="201"/>
        <w:rPr>
          <w:rFonts w:hint="eastAsia" w:ascii="宋体" w:hAnsi="宋体"/>
          <w:sz w:val="24"/>
          <w:szCs w:val="24"/>
        </w:rPr>
      </w:pPr>
      <w:r>
        <w:rPr>
          <w:rFonts w:hint="eastAsia" w:ascii="宋体" w:hAnsi="宋体"/>
          <w:sz w:val="24"/>
          <w:szCs w:val="24"/>
        </w:rPr>
        <w:t>7.</w:t>
      </w:r>
      <w:r>
        <w:rPr>
          <w:rFonts w:hint="eastAsia" w:hAnsi="宋体"/>
          <w:sz w:val="24"/>
          <w:szCs w:val="24"/>
        </w:rPr>
        <w:t>供应商须在投标文件中提供企业工商注册所在地或项目所在地信用管理中心出具的《信用信息查询结果》且在有效期范围内，办理步骤：详见第七章格式</w:t>
      </w:r>
      <w:r>
        <w:rPr>
          <w:rFonts w:hint="eastAsia" w:ascii="宋体" w:hAnsi="宋体"/>
          <w:sz w:val="24"/>
          <w:szCs w:val="24"/>
        </w:rPr>
        <w:t>；</w:t>
      </w:r>
    </w:p>
    <w:p>
      <w:pPr>
        <w:spacing w:line="360" w:lineRule="auto"/>
        <w:ind w:firstLine="482" w:firstLineChars="201"/>
        <w:rPr>
          <w:rFonts w:hint="default" w:ascii="宋体" w:hAnsi="宋体"/>
          <w:sz w:val="24"/>
          <w:szCs w:val="24"/>
          <w:lang w:val="en-US"/>
        </w:rPr>
      </w:pPr>
      <w:r>
        <w:rPr>
          <w:rFonts w:hint="eastAsia" w:ascii="宋体" w:hAnsi="宋体"/>
          <w:sz w:val="24"/>
          <w:szCs w:val="24"/>
          <w:lang w:val="en-US" w:eastAsia="zh-CN"/>
        </w:rPr>
        <w:t>8.</w:t>
      </w:r>
      <w:r>
        <w:rPr>
          <w:rFonts w:hint="eastAsia" w:hAnsi="宋体"/>
          <w:sz w:val="24"/>
          <w:szCs w:val="24"/>
        </w:rPr>
        <w:t>供应商</w:t>
      </w:r>
      <w:r>
        <w:rPr>
          <w:rFonts w:hint="eastAsia" w:ascii="宋体" w:hAnsi="宋体"/>
          <w:sz w:val="24"/>
          <w:szCs w:val="24"/>
          <w:lang w:val="en-US" w:eastAsia="zh-CN"/>
        </w:rPr>
        <w:t>须具备有效的医疗器械经营许可证；</w:t>
      </w:r>
    </w:p>
    <w:p>
      <w:pPr>
        <w:autoSpaceDE w:val="0"/>
        <w:autoSpaceDN w:val="0"/>
        <w:adjustRightInd w:val="0"/>
        <w:snapToGrid w:val="0"/>
        <w:spacing w:line="360" w:lineRule="auto"/>
        <w:ind w:right="32" w:firstLine="482" w:firstLineChars="201"/>
        <w:rPr>
          <w:rFonts w:hint="eastAsia" w:ascii="宋体" w:hAnsi="宋体" w:eastAsia="宋体"/>
          <w:sz w:val="24"/>
          <w:szCs w:val="24"/>
          <w:lang w:eastAsia="zh-CN"/>
        </w:rPr>
      </w:pPr>
      <w:r>
        <w:rPr>
          <w:rFonts w:hint="eastAsia" w:ascii="宋体" w:hAnsi="宋体"/>
          <w:sz w:val="24"/>
          <w:szCs w:val="24"/>
          <w:lang w:val="en-US" w:eastAsia="zh-CN"/>
        </w:rPr>
        <w:t>9</w:t>
      </w:r>
      <w:r>
        <w:rPr>
          <w:rFonts w:hint="eastAsia" w:ascii="宋体" w:hAnsi="宋体"/>
          <w:sz w:val="24"/>
          <w:szCs w:val="24"/>
        </w:rPr>
        <w:t>.磋商文件（包括评审表中）对供应商的其他要求</w:t>
      </w:r>
      <w:r>
        <w:rPr>
          <w:rFonts w:hint="eastAsia" w:ascii="宋体" w:hAnsi="宋体"/>
          <w:sz w:val="24"/>
          <w:szCs w:val="24"/>
          <w:lang w:eastAsia="zh-CN"/>
        </w:rPr>
        <w:t>：</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w:t>
      </w:r>
      <w:r>
        <w:rPr>
          <w:rFonts w:hint="eastAsia" w:ascii="宋体" w:hAnsi="宋体"/>
          <w:sz w:val="24"/>
          <w:szCs w:val="24"/>
          <w:lang w:eastAsia="zh-CN"/>
        </w:rPr>
        <w:t>供应商</w:t>
      </w:r>
      <w:r>
        <w:rPr>
          <w:rFonts w:hint="eastAsia" w:ascii="宋体" w:hAnsi="宋体"/>
          <w:sz w:val="24"/>
          <w:szCs w:val="24"/>
        </w:rPr>
        <w:t>公章，未提供或提供的文件过期、失效的，均为无效投标。</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供应商应提供的其它材料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能够真实反映供应商业绩的有效证明材料，如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供应商认为需要提供的证明文件及资料。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在响应文件中</w:t>
      </w:r>
      <w:r>
        <w:rPr>
          <w:rFonts w:ascii="宋体" w:hAnsi="宋体"/>
          <w:sz w:val="24"/>
          <w:szCs w:val="24"/>
        </w:rPr>
        <w:t>提供复印件并加盖供应商公章</w:t>
      </w:r>
      <w:r>
        <w:rPr>
          <w:rFonts w:hint="eastAsia" w:ascii="宋体" w:hAnsi="宋体"/>
          <w:sz w:val="24"/>
          <w:szCs w:val="24"/>
        </w:rPr>
        <w:t>。</w:t>
      </w:r>
      <w:r>
        <w:rPr>
          <w:rFonts w:ascii="宋体" w:hAnsi="宋体"/>
          <w:sz w:val="24"/>
          <w:szCs w:val="24"/>
        </w:rPr>
        <w:t xml:space="preserve"> </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color w:val="000000"/>
          <w:kern w:val="44"/>
          <w:sz w:val="24"/>
          <w:szCs w:val="24"/>
          <w:lang w:val="zh-CN"/>
        </w:rPr>
      </w:pPr>
      <w:bookmarkStart w:id="14" w:name="_Toc497408605"/>
      <w:r>
        <w:rPr>
          <w:rFonts w:hint="eastAsia" w:ascii="宋体" w:hAnsi="宋体"/>
          <w:b/>
          <w:bCs/>
          <w:color w:val="000000"/>
          <w:kern w:val="44"/>
          <w:sz w:val="24"/>
          <w:szCs w:val="24"/>
          <w:lang w:val="zh-CN"/>
        </w:rPr>
        <w:t>第六章 评标办法（综合评分）</w:t>
      </w:r>
      <w:bookmarkEnd w:id="14"/>
    </w:p>
    <w:p>
      <w:pPr>
        <w:spacing w:line="360" w:lineRule="auto"/>
        <w:ind w:firstLine="482" w:firstLineChars="200"/>
        <w:rPr>
          <w:rFonts w:ascii="宋体" w:hAnsi="宋体"/>
          <w:b/>
          <w:sz w:val="24"/>
          <w:szCs w:val="24"/>
        </w:rPr>
      </w:pPr>
      <w:r>
        <w:rPr>
          <w:rFonts w:hint="eastAsia" w:ascii="宋体" w:hAnsi="宋体"/>
          <w:b/>
          <w:sz w:val="24"/>
          <w:szCs w:val="24"/>
        </w:rPr>
        <w:t>一.评标原则</w:t>
      </w:r>
    </w:p>
    <w:p>
      <w:pPr>
        <w:spacing w:line="360" w:lineRule="auto"/>
        <w:ind w:firstLine="480" w:firstLineChars="200"/>
        <w:rPr>
          <w:rFonts w:ascii="宋体" w:hAnsi="宋体"/>
          <w:b/>
          <w:sz w:val="24"/>
          <w:szCs w:val="24"/>
        </w:rPr>
      </w:pPr>
      <w:r>
        <w:rPr>
          <w:rFonts w:hint="eastAsia" w:ascii="宋体" w:hAnsi="宋体"/>
          <w:sz w:val="24"/>
          <w:szCs w:val="24"/>
        </w:rPr>
        <w:t>评审活动遵循公开、公平、公正、择优的原则进行。评审委员会将综合分析供应商的各项指标，而不以单项指标的优劣评选出预中标人。（最低报价不是成交的唯一依据。）</w:t>
      </w:r>
    </w:p>
    <w:p>
      <w:pPr>
        <w:spacing w:after="120" w:line="360" w:lineRule="auto"/>
        <w:ind w:firstLine="448" w:firstLineChars="186"/>
        <w:rPr>
          <w:rFonts w:ascii="宋体" w:hAnsi="宋体"/>
          <w:b/>
          <w:sz w:val="24"/>
          <w:szCs w:val="24"/>
        </w:rPr>
      </w:pPr>
      <w:bookmarkStart w:id="15" w:name="_Toc355703243"/>
      <w:bookmarkStart w:id="16" w:name="_Toc257983096"/>
      <w:bookmarkStart w:id="17" w:name="_Toc355703360"/>
      <w:r>
        <w:rPr>
          <w:rFonts w:hint="eastAsia" w:ascii="宋体" w:hAnsi="宋体"/>
          <w:b/>
          <w:sz w:val="24"/>
          <w:szCs w:val="24"/>
        </w:rPr>
        <w:t>二.磋商</w:t>
      </w:r>
      <w:bookmarkEnd w:id="15"/>
      <w:bookmarkEnd w:id="16"/>
      <w:bookmarkEnd w:id="17"/>
      <w:r>
        <w:rPr>
          <w:rFonts w:hint="eastAsia" w:ascii="宋体" w:hAnsi="宋体"/>
          <w:b/>
          <w:sz w:val="24"/>
          <w:szCs w:val="24"/>
        </w:rPr>
        <w:t>程序</w:t>
      </w:r>
    </w:p>
    <w:p>
      <w:pPr>
        <w:adjustRightInd w:val="0"/>
        <w:snapToGrid w:val="0"/>
        <w:spacing w:line="360" w:lineRule="auto"/>
        <w:ind w:firstLine="482" w:firstLineChars="201"/>
        <w:rPr>
          <w:rFonts w:ascii="宋体" w:hAnsi="宋体"/>
          <w:sz w:val="24"/>
          <w:szCs w:val="24"/>
        </w:rPr>
      </w:pPr>
      <w:r>
        <w:rPr>
          <w:rFonts w:hint="eastAsia" w:ascii="宋体" w:hAnsi="宋体"/>
          <w:sz w:val="24"/>
          <w:szCs w:val="24"/>
        </w:rPr>
        <w:t>1.第一阶段：初步审查</w:t>
      </w:r>
    </w:p>
    <w:p>
      <w:pPr>
        <w:adjustRightInd w:val="0"/>
        <w:snapToGrid w:val="0"/>
        <w:spacing w:line="360" w:lineRule="auto"/>
        <w:ind w:firstLine="482" w:firstLineChars="201"/>
        <w:rPr>
          <w:rFonts w:ascii="宋体" w:hAnsi="宋体"/>
          <w:sz w:val="24"/>
          <w:szCs w:val="24"/>
        </w:rPr>
      </w:pPr>
      <w:r>
        <w:rPr>
          <w:rFonts w:ascii="宋体" w:hAnsi="宋体"/>
          <w:sz w:val="24"/>
          <w:szCs w:val="24"/>
        </w:rPr>
        <w:t>依据有关法律和</w:t>
      </w:r>
      <w:r>
        <w:rPr>
          <w:rFonts w:hint="eastAsia" w:ascii="宋体" w:hAnsi="宋体"/>
          <w:sz w:val="24"/>
          <w:szCs w:val="24"/>
        </w:rPr>
        <w:t>竞争性磋商</w:t>
      </w:r>
      <w:r>
        <w:rPr>
          <w:rFonts w:ascii="宋体" w:hAnsi="宋体"/>
          <w:sz w:val="24"/>
          <w:szCs w:val="24"/>
        </w:rPr>
        <w:t>文件的规定,对</w:t>
      </w:r>
      <w:r>
        <w:rPr>
          <w:rFonts w:hint="eastAsia" w:ascii="宋体" w:hAnsi="宋体"/>
          <w:sz w:val="24"/>
          <w:szCs w:val="24"/>
        </w:rPr>
        <w:t>响应文件</w:t>
      </w:r>
      <w:r>
        <w:rPr>
          <w:rFonts w:ascii="宋体" w:hAnsi="宋体"/>
          <w:sz w:val="24"/>
          <w:szCs w:val="24"/>
        </w:rPr>
        <w:t>的</w:t>
      </w:r>
      <w:r>
        <w:rPr>
          <w:rFonts w:hint="eastAsia" w:ascii="宋体" w:hAnsi="宋体"/>
          <w:sz w:val="24"/>
          <w:szCs w:val="24"/>
        </w:rPr>
        <w:t>资格性、符合性部分</w:t>
      </w:r>
      <w:r>
        <w:rPr>
          <w:rFonts w:ascii="宋体" w:hAnsi="宋体"/>
          <w:sz w:val="24"/>
          <w:szCs w:val="24"/>
        </w:rPr>
        <w:t>进行审查，以确定</w:t>
      </w:r>
      <w:r>
        <w:rPr>
          <w:rFonts w:hint="eastAsia" w:ascii="宋体" w:hAnsi="宋体"/>
          <w:sz w:val="24"/>
          <w:szCs w:val="24"/>
        </w:rPr>
        <w:t>供应商是否可以实质性响应磋商文件要求</w:t>
      </w:r>
      <w:r>
        <w:rPr>
          <w:rFonts w:ascii="宋体" w:hAnsi="宋体"/>
          <w:sz w:val="24"/>
          <w:szCs w:val="24"/>
        </w:rPr>
        <w:t>。</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2.第二阶段：磋商</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（1）磋商小组应当通过随机方式序确定参加磋商供应商的磋商顺序，磋商小组所有成员应当集中与单一供应商分别进行磋商，并给予所有参加磋商的供应商平等的磋商机会。</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具体磋商时，由供应商法定代表人或其授权委托人须携带本人身份证或其他有效身份证明参加。</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（2）磋商内容主要包括：针对本项目的技术条款、</w:t>
      </w:r>
      <w:r>
        <w:rPr>
          <w:rFonts w:hint="eastAsia" w:ascii="宋体" w:hAnsi="宋体"/>
          <w:sz w:val="24"/>
          <w:szCs w:val="24"/>
          <w:lang w:val="en-US" w:eastAsia="zh-CN"/>
        </w:rPr>
        <w:t>技术</w:t>
      </w:r>
      <w:r>
        <w:rPr>
          <w:rFonts w:hint="eastAsia" w:ascii="宋体" w:hAnsi="宋体"/>
          <w:sz w:val="24"/>
          <w:szCs w:val="24"/>
        </w:rPr>
        <w:t>要求、合同要求；磋商文件不能详细列明采购标的的技术、</w:t>
      </w:r>
      <w:r>
        <w:rPr>
          <w:rFonts w:hint="eastAsia" w:ascii="宋体" w:hAnsi="宋体"/>
          <w:sz w:val="24"/>
          <w:szCs w:val="24"/>
          <w:lang w:val="en-US" w:eastAsia="zh-CN"/>
        </w:rPr>
        <w:t>技术</w:t>
      </w:r>
      <w:r>
        <w:rPr>
          <w:rFonts w:hint="eastAsia" w:ascii="宋体" w:hAnsi="宋体"/>
          <w:sz w:val="24"/>
          <w:szCs w:val="24"/>
        </w:rPr>
        <w:t>要求的，需经磋商由供应商提供最终设计方案或解决方案；其它需要磋商的事项。</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（3）在磋商过程中，磋商小组可以根据磋商文件和磋商情况实质性变动采购需求中的技术、</w:t>
      </w:r>
      <w:r>
        <w:rPr>
          <w:rFonts w:hint="eastAsia" w:ascii="宋体" w:hAnsi="宋体"/>
          <w:sz w:val="24"/>
          <w:szCs w:val="24"/>
          <w:lang w:val="en-US" w:eastAsia="zh-CN"/>
        </w:rPr>
        <w:t>技术</w:t>
      </w:r>
      <w:r>
        <w:rPr>
          <w:rFonts w:hint="eastAsia" w:ascii="宋体" w:hAnsi="宋体"/>
          <w:sz w:val="24"/>
          <w:szCs w:val="24"/>
        </w:rPr>
        <w:t>要求以及合同草案条款，但不得变动磋商文件中的其他内容。实质性变动的内容，须经采购人代表确认。</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对磋商文件作出的实质性变动是磋商文件的有效组成部分，磋商小组应当在《最终报价表》中载明，同时通知所有参加磋商的供应商。</w:t>
      </w:r>
    </w:p>
    <w:p>
      <w:pPr>
        <w:widowControl/>
        <w:spacing w:line="360" w:lineRule="auto"/>
        <w:ind w:firstLine="480" w:firstLineChars="200"/>
        <w:rPr>
          <w:rFonts w:ascii="宋体" w:hAnsi="宋体"/>
          <w:sz w:val="24"/>
          <w:szCs w:val="24"/>
        </w:rPr>
      </w:pPr>
      <w:r>
        <w:rPr>
          <w:rFonts w:hint="eastAsia" w:ascii="宋体" w:hAnsi="宋体"/>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56"/>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（4）对未实质性响应磋商文件的响应文件按无效响应处理，磋商小组应当告知提交响应文件的供应商。</w:t>
      </w:r>
    </w:p>
    <w:p>
      <w:pPr>
        <w:pStyle w:val="56"/>
        <w:spacing w:line="360" w:lineRule="auto"/>
        <w:ind w:firstLine="480" w:firstLineChars="200"/>
        <w:rPr>
          <w:rFonts w:ascii="Times New Roman" w:hAnsi="Times New Roman" w:eastAsia="宋体" w:cs="Times New Roman"/>
          <w:color w:val="auto"/>
        </w:rPr>
      </w:pPr>
      <w:r>
        <w:rPr>
          <w:rFonts w:hint="eastAsia" w:ascii="宋体" w:hAnsi="宋体"/>
        </w:rPr>
        <w:t>3.第三阶段：最后报价</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经磋商确定实质性响应的供应商后，磋商小组应当要求所有实质性响应的供应商在规定时间内提交最后报价。最后报价是供应商响应文件的有效组成部分。</w:t>
      </w:r>
    </w:p>
    <w:p>
      <w:pPr>
        <w:widowControl/>
        <w:spacing w:after="156" w:afterLines="50" w:line="360" w:lineRule="auto"/>
        <w:ind w:firstLine="480" w:firstLineChars="200"/>
        <w:jc w:val="left"/>
        <w:rPr>
          <w:kern w:val="0"/>
          <w:sz w:val="24"/>
          <w:szCs w:val="24"/>
        </w:rPr>
      </w:pPr>
      <w:r>
        <w:rPr>
          <w:rFonts w:hint="eastAsia"/>
          <w:kern w:val="0"/>
          <w:sz w:val="24"/>
          <w:szCs w:val="24"/>
        </w:rPr>
        <w:t>已提交响应文件的供应商，在提交最后报价之前，可以根据磋商情况退出磋商。</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供应商的最后报价填写至《最后报价表》（该表在磋商过程中由工作人员统一发放），并在规定的时间内递交至磋商小组或鄂尔多斯市鄂托克前旗公共资源交易中心。待所有实质性响应竞标人最后报价完毕后，工作人员统一公布每位实质性响应供应商的最后价格。</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4.第四阶段：综合评分</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经磋商确定最终采购需求和提交最后报价的供应商后，由磋商小组采用综合评分法对提交最后报价的供应商的响应文件和最后报价进行综合评分。磋商文件中没有规定的评审标准不得作为评审依据。</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评审时，磋商小组各成员应当独立对每个有效响应的文件进行评价、打分，然后汇总每个供应商每项评分因素的得分。（其中报价部分得分计算依据满足磋商文件要求的最后报价）</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三、确定成交供应商</w:t>
      </w:r>
    </w:p>
    <w:p>
      <w:pPr>
        <w:spacing w:line="360" w:lineRule="auto"/>
        <w:ind w:firstLine="570"/>
        <w:rPr>
          <w:rFonts w:ascii="宋体" w:hAnsi="宋体"/>
          <w:sz w:val="24"/>
          <w:szCs w:val="24"/>
        </w:rPr>
      </w:pPr>
      <w:r>
        <w:rPr>
          <w:rFonts w:hint="eastAsia" w:ascii="宋体" w:hAnsi="宋体"/>
          <w:sz w:val="24"/>
          <w:szCs w:val="24"/>
        </w:rPr>
        <w:t>磋商小组根据综合评分情况，按照评审得分由高到低确定成交候选供应商，并编写评审报告。评审得分相同的，按照最后报价由低到高的顺序确定，评审得分且最后报价相同的，按照技术指标（方案）优劣顺序确定成交候选供应商。</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6"/>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非联合体供应商（小型、微型企业）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（2）小型、微型企业是指供应商及其所投核心设备的制造商均为小型、微型企业。（如实填写后附《政府采购政策情况表》）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8" w:name="OLE_LINK1"/>
      <w:bookmarkStart w:id="19" w:name="OLE_LINK9"/>
      <w:r>
        <w:rPr>
          <w:rFonts w:hint="eastAsia" w:ascii="宋体" w:hAnsi="宋体"/>
          <w:sz w:val="24"/>
          <w:szCs w:val="24"/>
        </w:rPr>
        <w:t>本项所称货物不包括使用大型企业注册商标的货物。</w:t>
      </w:r>
      <w:bookmarkEnd w:id="18"/>
      <w:bookmarkEnd w:id="19"/>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供应商填写的《中小企业声明函》为判定标准；监狱企业须供应商提供由监狱管理局、戒毒管理局（含新疆生产建设兵团）出具的属于监狱企业的证明文件为判定标准；残疾人福利性单位以供应商填写的</w:t>
      </w:r>
      <w:bookmarkStart w:id="20" w:name="OLE_LINK14"/>
      <w:bookmarkStart w:id="21" w:name="OLE_LINK13"/>
      <w:r>
        <w:rPr>
          <w:rFonts w:hint="eastAsia" w:ascii="宋体" w:hAnsi="宋体"/>
          <w:sz w:val="24"/>
          <w:szCs w:val="24"/>
        </w:rPr>
        <w:t>《残疾人福利性单位声明函》</w:t>
      </w:r>
      <w:bookmarkEnd w:id="20"/>
      <w:bookmarkEnd w:id="21"/>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（3）提供供应商的《中小企业声明函》、《残疾人福利性单位声明函》（格式后附，不可修改），未提供、未盖章的不予价格扣除。</w:t>
      </w:r>
    </w:p>
    <w:p>
      <w:pPr>
        <w:spacing w:line="360" w:lineRule="auto"/>
        <w:ind w:firstLine="480" w:firstLineChars="200"/>
        <w:rPr>
          <w:rFonts w:ascii="宋体" w:hAnsi="宋体"/>
          <w:sz w:val="24"/>
          <w:szCs w:val="24"/>
        </w:rPr>
      </w:pPr>
      <w:r>
        <w:rPr>
          <w:rFonts w:hint="eastAsia" w:ascii="宋体" w:hAnsi="宋体"/>
          <w:sz w:val="24"/>
          <w:szCs w:val="24"/>
        </w:rPr>
        <w:t>（4）提供声明函不实或在政府采购活动中有违法违规行为的，取消其中标资格，并严格按照相关法律法规处理。</w:t>
      </w:r>
    </w:p>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rPr>
          <w:rFonts w:ascii="宋体" w:hAnsi="宋体"/>
          <w:b/>
          <w:sz w:val="24"/>
          <w:szCs w:val="24"/>
          <w:lang w:val="zh-CN"/>
        </w:rPr>
      </w:pPr>
      <w:r>
        <w:rPr>
          <w:rFonts w:hint="eastAsia" w:ascii="宋体" w:hAnsi="宋体" w:cs="宋体"/>
          <w:b/>
          <w:color w:val="000000"/>
          <w:kern w:val="0"/>
          <w:sz w:val="24"/>
          <w:szCs w:val="24"/>
        </w:rPr>
        <w:t>表一初审表：</w:t>
      </w:r>
    </w:p>
    <w:tbl>
      <w:tblPr>
        <w:tblStyle w:val="25"/>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457"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资格性检查</w:t>
            </w:r>
          </w:p>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报名及保证金缴纳情况</w:t>
            </w:r>
          </w:p>
        </w:tc>
        <w:tc>
          <w:tcPr>
            <w:tcW w:w="684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具有独立承担民事责任的能力</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具有良好的商业信誉和健全的财务会计制度</w:t>
            </w:r>
          </w:p>
        </w:tc>
        <w:tc>
          <w:tcPr>
            <w:tcW w:w="68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1.供应商需提供由“征信中心网”（https://ipcrs.pbccrc.org.cn/）查询的信用报告。</w:t>
            </w:r>
          </w:p>
          <w:p>
            <w:pPr>
              <w:adjustRightInd w:val="0"/>
              <w:snapToGrid w:val="0"/>
              <w:jc w:val="left"/>
              <w:rPr>
                <w:rFonts w:ascii="宋体" w:hAnsi="宋体" w:cs="宋体"/>
                <w:kern w:val="0"/>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有依法缴纳税收的良好记录</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1.201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6</w:t>
            </w:r>
            <w:r>
              <w:rPr>
                <w:rFonts w:hint="eastAsia" w:ascii="宋体" w:hAnsi="宋体" w:cs="宋体"/>
                <w:kern w:val="0"/>
                <w:sz w:val="24"/>
                <w:szCs w:val="24"/>
              </w:rPr>
              <w:t>月至开标当日的任意一个月缴纳增值税或营业税或企业所得税的凭据。</w:t>
            </w:r>
          </w:p>
          <w:p>
            <w:pPr>
              <w:adjustRightInd w:val="0"/>
              <w:snapToGrid w:val="0"/>
              <w:jc w:val="left"/>
              <w:rPr>
                <w:rFonts w:ascii="宋体" w:hAnsi="宋体" w:cs="宋体"/>
                <w:kern w:val="0"/>
                <w:sz w:val="24"/>
                <w:szCs w:val="24"/>
              </w:rPr>
            </w:pPr>
            <w:r>
              <w:rPr>
                <w:rFonts w:hint="eastAsia" w:ascii="宋体" w:hAnsi="宋体" w:cs="宋体"/>
                <w:kern w:val="0"/>
                <w:sz w:val="24"/>
                <w:szCs w:val="24"/>
              </w:rPr>
              <w:t>2.201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6</w:t>
            </w:r>
            <w:r>
              <w:rPr>
                <w:rFonts w:hint="eastAsia" w:ascii="宋体" w:hAnsi="宋体" w:cs="宋体"/>
                <w:kern w:val="0"/>
                <w:sz w:val="24"/>
                <w:szCs w:val="24"/>
              </w:rPr>
              <w:t>月至开标当日的任意一个月缴纳社会保险的凭据（专用收据或社保缴纳清单）</w:t>
            </w:r>
          </w:p>
          <w:p>
            <w:pPr>
              <w:adjustRightInd w:val="0"/>
              <w:snapToGrid w:val="0"/>
              <w:jc w:val="left"/>
              <w:rPr>
                <w:rFonts w:ascii="宋体" w:hAnsi="宋体" w:cs="宋体"/>
                <w:kern w:val="0"/>
                <w:sz w:val="24"/>
                <w:szCs w:val="24"/>
              </w:rPr>
            </w:pPr>
            <w:r>
              <w:rPr>
                <w:rFonts w:hint="eastAsia" w:ascii="宋体" w:hAnsi="宋体" w:cs="宋体"/>
                <w:kern w:val="0"/>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具有履行合同所必须的设备和专业技术能力</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参加采购活动前3年内，在经营活动中没有重大违法记录</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ascii="宋体" w:hAnsi="宋体" w:cs="宋体"/>
                <w:kern w:val="0"/>
                <w:sz w:val="24"/>
                <w:szCs w:val="24"/>
              </w:rPr>
              <w:t>1.审查（20</w:t>
            </w:r>
            <w:r>
              <w:rPr>
                <w:rFonts w:hint="eastAsia" w:ascii="宋体" w:hAnsi="宋体" w:cs="宋体"/>
                <w:kern w:val="0"/>
                <w:sz w:val="24"/>
                <w:szCs w:val="24"/>
              </w:rPr>
              <w:t>1</w:t>
            </w:r>
            <w:r>
              <w:rPr>
                <w:rFonts w:hint="eastAsia" w:ascii="宋体" w:hAnsi="宋体" w:cs="宋体"/>
                <w:kern w:val="0"/>
                <w:sz w:val="24"/>
                <w:szCs w:val="24"/>
                <w:lang w:val="en-US" w:eastAsia="zh-CN"/>
              </w:rPr>
              <w:t>8</w:t>
            </w:r>
            <w:r>
              <w:rPr>
                <w:rFonts w:ascii="宋体" w:hAnsi="宋体" w:cs="宋体"/>
                <w:kern w:val="0"/>
                <w:sz w:val="24"/>
                <w:szCs w:val="24"/>
              </w:rPr>
              <w:t>年至20</w:t>
            </w:r>
            <w:r>
              <w:rPr>
                <w:rFonts w:hint="eastAsia" w:ascii="宋体" w:hAnsi="宋体" w:cs="宋体"/>
                <w:kern w:val="0"/>
                <w:sz w:val="24"/>
                <w:szCs w:val="24"/>
              </w:rPr>
              <w:t>20</w:t>
            </w:r>
            <w:r>
              <w:rPr>
                <w:rFonts w:ascii="宋体" w:hAnsi="宋体" w:cs="宋体"/>
                <w:kern w:val="0"/>
                <w:sz w:val="24"/>
                <w:szCs w:val="24"/>
              </w:rPr>
              <w:t>年）供应商书面声明函；</w:t>
            </w:r>
            <w:r>
              <w:rPr>
                <w:rFonts w:ascii="宋体" w:hAnsi="宋体" w:cs="宋体"/>
                <w:kern w:val="0"/>
                <w:sz w:val="24"/>
                <w:szCs w:val="24"/>
              </w:rPr>
              <w:br w:type="textWrapping"/>
            </w:r>
            <w:r>
              <w:rPr>
                <w:rFonts w:ascii="宋体" w:hAnsi="宋体" w:cs="宋体"/>
                <w:kern w:val="0"/>
                <w:sz w:val="24"/>
                <w:szCs w:val="24"/>
              </w:rPr>
              <w:t>2.供应商须在投标文件中提供企业工商注册所在地或项目所在地信用管理中心出具的《信用信息查询结果》且在有效期范围内。</w:t>
            </w:r>
            <w:r>
              <w:rPr>
                <w:rFonts w:ascii="宋体" w:hAnsi="宋体" w:cs="宋体"/>
                <w:kern w:val="0"/>
                <w:sz w:val="24"/>
                <w:szCs w:val="24"/>
              </w:rPr>
              <w:br w:type="textWrapping"/>
            </w:r>
            <w:r>
              <w:rPr>
                <w:rFonts w:ascii="宋体" w:hAnsi="宋体" w:cs="宋体"/>
                <w:kern w:val="0"/>
                <w:sz w:val="24"/>
                <w:szCs w:val="24"/>
              </w:rPr>
              <w:t>3.“中国政府采购网”（</w:t>
            </w:r>
            <w:r>
              <w:rPr>
                <w:rFonts w:ascii="宋体" w:hAnsi="宋体" w:cs="宋体"/>
                <w:kern w:val="0"/>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ascii="宋体" w:hAnsi="宋体" w:cs="宋体"/>
                <w:kern w:val="0"/>
                <w:sz w:val="24"/>
                <w:szCs w:val="24"/>
              </w:rPr>
              <w:t>www.ccgp.gov.cn）未被列入有关违法违规纪录（网上查询结果截图加盖投标企业公章，须在投标文件中提供）。</w:t>
            </w:r>
            <w:r>
              <w:rPr>
                <w:rFonts w:ascii="宋体" w:hAnsi="宋体" w:cs="宋体"/>
                <w:kern w:val="0"/>
                <w:sz w:val="24"/>
                <w:szCs w:val="24"/>
              </w:rPr>
              <w:br w:type="textWrapping"/>
            </w:r>
            <w:r>
              <w:rPr>
                <w:rFonts w:ascii="宋体" w:hAnsi="宋体" w:cs="宋体"/>
                <w:kern w:val="0"/>
                <w:sz w:val="24"/>
                <w:szCs w:val="24"/>
              </w:rPr>
              <w:t>注：1.企业提供的《信用查询结果》和中国政府采购网中有失信记录的企业，如已处理失信情况则需要提供已处理证明材料，否则评标委员会有权将否决其投标资格。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45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其他要求</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lang w:val="en-US" w:eastAsia="zh-CN"/>
              </w:rPr>
              <w:t>须具备有效的医疗器械经营许可证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restart"/>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符合性检查</w:t>
            </w:r>
          </w:p>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投标承诺书及法人授权委托书</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开标一览表</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投标文件规范性、符合性</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投标有效期</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主要商务条款</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附加条件</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联合体投标</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需求</w:t>
            </w:r>
          </w:p>
        </w:tc>
        <w:tc>
          <w:tcPr>
            <w:tcW w:w="291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服务需求内容</w:t>
            </w:r>
          </w:p>
        </w:tc>
        <w:tc>
          <w:tcPr>
            <w:tcW w:w="684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服务内容明确（逐一对应）并实质性满足磋商文件要求。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restart"/>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报价</w:t>
            </w:r>
          </w:p>
        </w:tc>
        <w:tc>
          <w:tcPr>
            <w:tcW w:w="2913"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投标报价</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未超过采购预算、符合报价明细表要求。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tcBorders>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备注</w:t>
            </w:r>
          </w:p>
        </w:tc>
        <w:tc>
          <w:tcPr>
            <w:tcW w:w="2913" w:type="dxa"/>
            <w:tcBorders>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sz w:val="24"/>
                <w:szCs w:val="24"/>
              </w:rPr>
              <w:t>特别说明</w:t>
            </w:r>
          </w:p>
        </w:tc>
        <w:tc>
          <w:tcPr>
            <w:tcW w:w="6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bCs/>
                <w:kern w:val="36"/>
                <w:sz w:val="24"/>
                <w:szCs w:val="24"/>
              </w:rPr>
              <w:t>说明：1.供应商提供的《信用查询结果》、中国政府采购网查询截图以及</w:t>
            </w:r>
            <w:r>
              <w:rPr>
                <w:rFonts w:hint="eastAsia" w:ascii="宋体" w:hAnsi="宋体"/>
                <w:sz w:val="24"/>
                <w:szCs w:val="24"/>
              </w:rPr>
              <w:t>“征信中心网”查询的信用报告</w:t>
            </w:r>
            <w:r>
              <w:rPr>
                <w:rFonts w:hint="eastAsia" w:ascii="宋体" w:hAnsi="宋体" w:cs="宋体"/>
                <w:bCs/>
                <w:kern w:val="36"/>
                <w:sz w:val="24"/>
                <w:szCs w:val="24"/>
              </w:rPr>
              <w:t>中，如有失信记录的，已处理失信情况则需要提供已处理证明材料；2.以上要求提供的资料，供应商应在响应文件中提供，采购文件中要求提供原件的应提供原件，其他的提供复印件（加盖投标单位公章，如是自然人无公章的需本人签字确认），如有不提供、弄虚作假等行为的，评标委员会有权否决其投标资格。</w:t>
            </w:r>
          </w:p>
        </w:tc>
      </w:tr>
    </w:tbl>
    <w:p>
      <w:pPr>
        <w:adjustRightInd w:val="0"/>
        <w:snapToGrid w:val="0"/>
        <w:jc w:val="left"/>
        <w:rPr>
          <w:rFonts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hint="eastAsia" w:ascii="宋体" w:hAnsi="宋体" w:cs="宋体"/>
          <w:kern w:val="0"/>
          <w:sz w:val="24"/>
          <w:szCs w:val="24"/>
        </w:rPr>
      </w:pPr>
    </w:p>
    <w:p>
      <w:pPr>
        <w:adjustRightInd w:val="0"/>
        <w:snapToGrid w:val="0"/>
        <w:jc w:val="left"/>
        <w:rPr>
          <w:rFonts w:ascii="宋体" w:hAnsi="宋体" w:cs="宋体"/>
          <w:kern w:val="0"/>
          <w:sz w:val="24"/>
          <w:szCs w:val="24"/>
        </w:rPr>
      </w:pPr>
      <w:r>
        <w:rPr>
          <w:rFonts w:hint="eastAsia" w:ascii="宋体" w:hAnsi="宋体" w:cs="宋体"/>
          <w:kern w:val="0"/>
          <w:sz w:val="24"/>
          <w:szCs w:val="24"/>
        </w:rPr>
        <w:t>表二详细评审表：</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270"/>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8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kern w:val="0"/>
                <w:sz w:val="24"/>
                <w:szCs w:val="24"/>
              </w:rPr>
            </w:pPr>
            <w:r>
              <w:rPr>
                <w:rFonts w:hint="eastAsia" w:ascii="宋体" w:hAnsi="宋体"/>
                <w:color w:val="000000"/>
                <w:sz w:val="24"/>
                <w:szCs w:val="24"/>
              </w:rPr>
              <w:t>评审因素</w:t>
            </w:r>
          </w:p>
        </w:tc>
        <w:tc>
          <w:tcPr>
            <w:tcW w:w="67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kern w:val="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8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kern w:val="0"/>
                <w:sz w:val="24"/>
                <w:szCs w:val="24"/>
              </w:rPr>
            </w:pPr>
            <w:r>
              <w:rPr>
                <w:rFonts w:hint="eastAsia" w:ascii="宋体" w:hAnsi="宋体"/>
                <w:color w:val="000000"/>
                <w:sz w:val="24"/>
                <w:szCs w:val="24"/>
              </w:rPr>
              <w:t>分值构成</w:t>
            </w:r>
          </w:p>
        </w:tc>
        <w:tc>
          <w:tcPr>
            <w:tcW w:w="67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sz w:val="24"/>
                <w:szCs w:val="24"/>
              </w:rPr>
            </w:pPr>
            <w:r>
              <w:rPr>
                <w:rFonts w:hint="eastAsia" w:ascii="宋体" w:hAnsi="宋体"/>
                <w:color w:val="000000"/>
                <w:sz w:val="24"/>
                <w:szCs w:val="24"/>
              </w:rPr>
              <w:t xml:space="preserve">1、报价得分 30分 </w:t>
            </w:r>
          </w:p>
          <w:p>
            <w:pPr>
              <w:spacing w:line="320" w:lineRule="exact"/>
              <w:rPr>
                <w:rFonts w:ascii="宋体" w:hAnsi="宋体"/>
                <w:color w:val="000000"/>
                <w:sz w:val="24"/>
                <w:szCs w:val="24"/>
              </w:rPr>
            </w:pPr>
            <w:r>
              <w:rPr>
                <w:rFonts w:hint="eastAsia" w:ascii="宋体" w:hAnsi="宋体"/>
                <w:color w:val="000000"/>
                <w:sz w:val="24"/>
                <w:szCs w:val="24"/>
              </w:rPr>
              <w:t>2、商务部分 20分</w:t>
            </w:r>
          </w:p>
          <w:p>
            <w:pPr>
              <w:spacing w:line="320" w:lineRule="exact"/>
              <w:rPr>
                <w:rFonts w:ascii="宋体" w:hAnsi="宋体" w:cs="宋体"/>
                <w:kern w:val="0"/>
                <w:sz w:val="24"/>
                <w:szCs w:val="24"/>
              </w:rPr>
            </w:pPr>
            <w:r>
              <w:rPr>
                <w:rFonts w:hint="eastAsia" w:ascii="宋体" w:hAnsi="宋体"/>
                <w:color w:val="000000"/>
                <w:sz w:val="24"/>
                <w:szCs w:val="24"/>
              </w:rPr>
              <w:t>3、技术部分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kern w:val="0"/>
                <w:sz w:val="24"/>
                <w:szCs w:val="24"/>
              </w:rPr>
            </w:pPr>
            <w:r>
              <w:rPr>
                <w:rFonts w:hint="eastAsia" w:ascii="宋体" w:hAnsi="宋体"/>
                <w:color w:val="000000"/>
                <w:sz w:val="24"/>
                <w:szCs w:val="24"/>
              </w:rPr>
              <w:t>投标报价30分</w:t>
            </w:r>
          </w:p>
        </w:tc>
        <w:tc>
          <w:tcPr>
            <w:tcW w:w="227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kern w:val="0"/>
                <w:sz w:val="24"/>
                <w:szCs w:val="24"/>
              </w:rPr>
            </w:pPr>
            <w:r>
              <w:rPr>
                <w:rFonts w:hint="eastAsia" w:ascii="宋体" w:hAnsi="宋体"/>
                <w:color w:val="000000"/>
                <w:sz w:val="24"/>
                <w:szCs w:val="24"/>
              </w:rPr>
              <w:t>评标基准价确定方法</w:t>
            </w:r>
          </w:p>
        </w:tc>
        <w:tc>
          <w:tcPr>
            <w:tcW w:w="67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kern w:val="0"/>
                <w:sz w:val="24"/>
                <w:szCs w:val="24"/>
              </w:rPr>
            </w:pPr>
            <w:r>
              <w:rPr>
                <w:rFonts w:hint="eastAsia" w:ascii="宋体" w:hAnsi="宋体"/>
                <w:color w:val="000000"/>
                <w:sz w:val="24"/>
                <w:szCs w:val="24"/>
              </w:rPr>
              <w:t>满足磋商文件要求通过初步评审的且投标报价最低的为评标基准价。符合小型、微型企业等规定进行价格调整的，以调整后的价格计算评标基准价和投标报价。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p>
        </w:tc>
        <w:tc>
          <w:tcPr>
            <w:tcW w:w="227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s="宋体"/>
                <w:kern w:val="0"/>
                <w:sz w:val="24"/>
                <w:szCs w:val="24"/>
              </w:rPr>
            </w:pPr>
            <w:r>
              <w:rPr>
                <w:rFonts w:hint="eastAsia" w:ascii="宋体" w:hAnsi="宋体"/>
                <w:color w:val="000000"/>
                <w:sz w:val="24"/>
                <w:szCs w:val="24"/>
              </w:rPr>
              <w:t>投标报价得分（30分）</w:t>
            </w:r>
          </w:p>
        </w:tc>
        <w:tc>
          <w:tcPr>
            <w:tcW w:w="6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s="宋体"/>
                <w:kern w:val="0"/>
                <w:sz w:val="24"/>
                <w:szCs w:val="24"/>
              </w:rPr>
            </w:pPr>
            <w:r>
              <w:rPr>
                <w:rFonts w:hint="eastAsia" w:ascii="宋体" w:hAnsi="宋体"/>
                <w:color w:val="00000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99" w:type="dxa"/>
            <w:vMerge w:val="restart"/>
            <w:tcBorders>
              <w:top w:val="single" w:color="auto" w:sz="4" w:space="0"/>
              <w:left w:val="single" w:color="auto" w:sz="4" w:space="0"/>
              <w:right w:val="single" w:color="auto" w:sz="4" w:space="0"/>
            </w:tcBorders>
            <w:vAlign w:val="center"/>
          </w:tcPr>
          <w:p>
            <w:pPr>
              <w:snapToGrid w:val="0"/>
              <w:spacing w:line="320" w:lineRule="exact"/>
              <w:rPr>
                <w:rFonts w:ascii="宋体" w:hAnsi="宋体" w:cs="宋体"/>
                <w:kern w:val="0"/>
                <w:sz w:val="24"/>
                <w:szCs w:val="24"/>
              </w:rPr>
            </w:pPr>
            <w:r>
              <w:rPr>
                <w:rFonts w:hint="eastAsia" w:ascii="宋体" w:hAnsi="宋体"/>
                <w:color w:val="000000"/>
                <w:sz w:val="24"/>
                <w:szCs w:val="24"/>
              </w:rPr>
              <w:t>商务部分</w:t>
            </w:r>
            <w:r>
              <w:rPr>
                <w:rFonts w:ascii="宋体" w:hAnsi="宋体"/>
                <w:color w:val="000000"/>
                <w:sz w:val="24"/>
                <w:szCs w:val="24"/>
              </w:rPr>
              <w:t>20</w:t>
            </w:r>
            <w:r>
              <w:rPr>
                <w:rFonts w:hint="eastAsia" w:ascii="宋体" w:hAnsi="宋体"/>
                <w:color w:val="000000"/>
                <w:sz w:val="24"/>
                <w:szCs w:val="24"/>
              </w:rPr>
              <w:t>分</w:t>
            </w:r>
          </w:p>
        </w:tc>
        <w:tc>
          <w:tcPr>
            <w:tcW w:w="2270" w:type="dxa"/>
            <w:tcBorders>
              <w:top w:val="single" w:color="auto" w:sz="4" w:space="0"/>
              <w:left w:val="single" w:color="auto" w:sz="4" w:space="0"/>
              <w:right w:val="single" w:color="auto" w:sz="4" w:space="0"/>
            </w:tcBorders>
            <w:vAlign w:val="center"/>
          </w:tcPr>
          <w:p>
            <w:pPr>
              <w:pStyle w:val="62"/>
              <w:widowControl w:val="0"/>
              <w:spacing w:line="360" w:lineRule="exact"/>
              <w:jc w:val="center"/>
              <w:rPr>
                <w:rFonts w:ascii="宋体" w:hAnsi="宋体" w:cs="仿宋_GB2312"/>
                <w:kern w:val="2"/>
              </w:rPr>
            </w:pPr>
            <w:r>
              <w:rPr>
                <w:rFonts w:hint="eastAsia" w:ascii="宋体" w:hAnsi="宋体" w:cs="仿宋_GB2312"/>
                <w:kern w:val="2"/>
                <w:lang w:eastAsia="zh-CN"/>
              </w:rPr>
              <w:t>供应商</w:t>
            </w:r>
            <w:r>
              <w:rPr>
                <w:rFonts w:hint="eastAsia" w:ascii="宋体" w:hAnsi="宋体" w:cs="仿宋_GB2312"/>
                <w:kern w:val="2"/>
              </w:rPr>
              <w:t>业绩</w:t>
            </w:r>
          </w:p>
          <w:p>
            <w:pPr>
              <w:pStyle w:val="62"/>
              <w:widowControl w:val="0"/>
              <w:spacing w:line="360" w:lineRule="exact"/>
              <w:jc w:val="center"/>
              <w:rPr>
                <w:rFonts w:hint="eastAsia" w:ascii="宋体" w:hAnsi="宋体" w:cs="宋体"/>
                <w:kern w:val="0"/>
                <w:sz w:val="24"/>
                <w:szCs w:val="24"/>
              </w:rPr>
            </w:pPr>
            <w:r>
              <w:rPr>
                <w:rFonts w:hint="eastAsia" w:ascii="宋体" w:hAnsi="宋体" w:cs="仿宋_GB2312"/>
                <w:kern w:val="2"/>
              </w:rPr>
              <w:t>（</w:t>
            </w:r>
            <w:r>
              <w:rPr>
                <w:rFonts w:hint="eastAsia" w:ascii="宋体" w:hAnsi="宋体" w:cs="仿宋_GB2312"/>
                <w:kern w:val="2"/>
                <w:lang w:val="en-US" w:eastAsia="zh-CN"/>
              </w:rPr>
              <w:t>6</w:t>
            </w:r>
            <w:r>
              <w:rPr>
                <w:rFonts w:hint="eastAsia" w:ascii="宋体" w:hAnsi="宋体" w:cs="仿宋_GB2312"/>
                <w:kern w:val="2"/>
              </w:rPr>
              <w:t>分）</w:t>
            </w:r>
          </w:p>
        </w:tc>
        <w:tc>
          <w:tcPr>
            <w:tcW w:w="6759" w:type="dxa"/>
            <w:tcBorders>
              <w:top w:val="single" w:color="auto" w:sz="4" w:space="0"/>
              <w:left w:val="single" w:color="auto" w:sz="4" w:space="0"/>
              <w:right w:val="single" w:color="auto" w:sz="4" w:space="0"/>
            </w:tcBorders>
            <w:vAlign w:val="center"/>
          </w:tcPr>
          <w:p>
            <w:pPr>
              <w:pStyle w:val="62"/>
              <w:widowControl w:val="0"/>
              <w:numPr>
                <w:ilvl w:val="0"/>
                <w:numId w:val="0"/>
              </w:numPr>
              <w:jc w:val="both"/>
              <w:rPr>
                <w:rFonts w:hint="eastAsia" w:ascii="宋体" w:hAnsi="宋体"/>
                <w:color w:val="000000"/>
              </w:rPr>
            </w:pPr>
            <w:r>
              <w:rPr>
                <w:rFonts w:hint="eastAsia" w:ascii="宋体" w:hAnsi="宋体"/>
                <w:color w:val="000000"/>
                <w:lang w:eastAsia="zh-CN"/>
              </w:rPr>
              <w:t>供应商</w:t>
            </w:r>
            <w:r>
              <w:rPr>
                <w:rFonts w:hint="eastAsia" w:ascii="宋体" w:hAnsi="宋体"/>
                <w:color w:val="000000"/>
              </w:rPr>
              <w:t>提供2017至</w:t>
            </w:r>
            <w:r>
              <w:rPr>
                <w:rFonts w:hint="eastAsia" w:ascii="宋体" w:hAnsi="宋体"/>
                <w:color w:val="000000"/>
                <w:lang w:val="en-US" w:eastAsia="zh-CN"/>
              </w:rPr>
              <w:t>开标当日</w:t>
            </w:r>
            <w:r>
              <w:rPr>
                <w:rFonts w:hint="eastAsia" w:ascii="宋体" w:hAnsi="宋体"/>
                <w:color w:val="000000"/>
              </w:rPr>
              <w:t>类似业绩，每提供1份有效</w:t>
            </w:r>
            <w:r>
              <w:rPr>
                <w:rFonts w:hint="eastAsia" w:ascii="宋体" w:hAnsi="宋体"/>
                <w:color w:val="000000"/>
                <w:lang w:val="en-US" w:eastAsia="zh-CN"/>
              </w:rPr>
              <w:t>业绩</w:t>
            </w:r>
            <w:r>
              <w:rPr>
                <w:rFonts w:hint="eastAsia" w:ascii="宋体" w:hAnsi="宋体"/>
                <w:color w:val="000000"/>
              </w:rPr>
              <w:t>得</w:t>
            </w:r>
            <w:r>
              <w:rPr>
                <w:rFonts w:hint="eastAsia" w:ascii="宋体" w:hAnsi="宋体"/>
                <w:color w:val="000000"/>
                <w:lang w:val="en-US" w:eastAsia="zh-CN"/>
              </w:rPr>
              <w:t>1</w:t>
            </w:r>
            <w:r>
              <w:rPr>
                <w:rFonts w:hint="eastAsia" w:ascii="宋体" w:hAnsi="宋体"/>
                <w:color w:val="000000"/>
              </w:rPr>
              <w:t>分，最高</w:t>
            </w:r>
            <w:r>
              <w:rPr>
                <w:rFonts w:hint="eastAsia" w:ascii="宋体" w:hAnsi="宋体"/>
                <w:color w:val="000000"/>
                <w:lang w:val="en-US" w:eastAsia="zh-CN"/>
              </w:rPr>
              <w:t>6</w:t>
            </w:r>
            <w:r>
              <w:rPr>
                <w:rFonts w:hint="eastAsia" w:ascii="宋体" w:hAnsi="宋体"/>
                <w:color w:val="000000"/>
              </w:rPr>
              <w:t>分。</w:t>
            </w:r>
            <w:r>
              <w:rPr>
                <w:rFonts w:ascii="宋体" w:hAnsi="宋体"/>
                <w:sz w:val="24"/>
              </w:rPr>
              <w:t>以中标通知书（附清单）</w:t>
            </w:r>
            <w:r>
              <w:rPr>
                <w:rFonts w:hint="eastAsia" w:ascii="宋体" w:hAnsi="宋体"/>
                <w:sz w:val="24"/>
                <w:lang w:eastAsia="zh-CN"/>
              </w:rPr>
              <w:t>或</w:t>
            </w:r>
            <w:r>
              <w:rPr>
                <w:rFonts w:ascii="宋体" w:hAnsi="宋体"/>
                <w:sz w:val="24"/>
              </w:rPr>
              <w:t>销售合同（附清单）为准；</w:t>
            </w:r>
          </w:p>
          <w:p>
            <w:pPr>
              <w:pStyle w:val="62"/>
              <w:widowControl w:val="0"/>
              <w:numPr>
                <w:ilvl w:val="0"/>
                <w:numId w:val="0"/>
              </w:numPr>
              <w:ind w:left="0" w:leftChars="0" w:firstLine="0" w:firstLineChars="0"/>
              <w:jc w:val="both"/>
              <w:rPr>
                <w:rFonts w:hint="eastAsia" w:ascii="宋体" w:hAnsi="宋体" w:cs="宋体"/>
                <w:kern w:val="0"/>
                <w:sz w:val="24"/>
                <w:szCs w:val="24"/>
              </w:rPr>
            </w:pPr>
            <w:r>
              <w:rPr>
                <w:rFonts w:hint="eastAsia" w:ascii="宋体" w:hAnsi="宋体"/>
                <w:color w:val="000000"/>
              </w:rPr>
              <w:t>类似业绩是指：</w:t>
            </w:r>
            <w:r>
              <w:rPr>
                <w:rFonts w:hint="eastAsia" w:ascii="宋体" w:hAnsi="宋体"/>
                <w:color w:val="000000"/>
                <w:lang w:eastAsia="zh-CN"/>
              </w:rPr>
              <w:t>医疗器械设备</w:t>
            </w:r>
            <w:r>
              <w:rPr>
                <w:rFonts w:hint="eastAsia" w:ascii="宋体" w:hAnsi="宋体"/>
                <w:color w:val="00000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599" w:type="dxa"/>
            <w:vMerge w:val="continue"/>
            <w:tcBorders>
              <w:left w:val="single" w:color="auto" w:sz="4" w:space="0"/>
              <w:right w:val="single" w:color="auto" w:sz="4" w:space="0"/>
            </w:tcBorders>
            <w:vAlign w:val="center"/>
          </w:tcPr>
          <w:p>
            <w:pPr>
              <w:widowControl/>
              <w:rPr>
                <w:rFonts w:ascii="宋体" w:hAnsi="宋体" w:cs="宋体"/>
                <w:kern w:val="0"/>
                <w:sz w:val="24"/>
                <w:szCs w:val="24"/>
              </w:rPr>
            </w:pPr>
          </w:p>
        </w:tc>
        <w:tc>
          <w:tcPr>
            <w:tcW w:w="2270"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szCs w:val="24"/>
              </w:rPr>
            </w:pPr>
            <w:r>
              <w:rPr>
                <w:rFonts w:hint="eastAsia" w:ascii="宋体" w:hAnsi="宋体"/>
                <w:sz w:val="24"/>
                <w:szCs w:val="24"/>
              </w:rPr>
              <w:t>相关认证（</w:t>
            </w:r>
            <w:r>
              <w:rPr>
                <w:rFonts w:hint="eastAsia" w:ascii="宋体" w:hAnsi="宋体"/>
                <w:sz w:val="24"/>
                <w:szCs w:val="24"/>
                <w:lang w:val="en-US" w:eastAsia="zh-CN"/>
              </w:rPr>
              <w:t>6</w:t>
            </w:r>
            <w:r>
              <w:rPr>
                <w:rFonts w:hint="eastAsia" w:ascii="宋体" w:hAnsi="宋体"/>
                <w:sz w:val="24"/>
                <w:szCs w:val="24"/>
              </w:rPr>
              <w:t>分）</w:t>
            </w:r>
          </w:p>
        </w:tc>
        <w:tc>
          <w:tcPr>
            <w:tcW w:w="67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供应商或设备生产厂商</w:t>
            </w:r>
            <w:r>
              <w:rPr>
                <w:rFonts w:hint="eastAsia" w:asciiTheme="minorEastAsia" w:hAnsiTheme="minorEastAsia" w:eastAsiaTheme="minorEastAsia" w:cstheme="minorEastAsia"/>
                <w:color w:val="auto"/>
                <w:sz w:val="24"/>
                <w:szCs w:val="24"/>
              </w:rPr>
              <w:t>具有（在有效期内）：</w:t>
            </w:r>
          </w:p>
          <w:p>
            <w:pPr>
              <w:widowControl/>
              <w:numPr>
                <w:ilvl w:val="0"/>
                <w:numId w:val="3"/>
              </w:num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ISO9001</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质量</w:t>
            </w:r>
            <w:r>
              <w:rPr>
                <w:rFonts w:hint="eastAsia" w:asciiTheme="minorEastAsia" w:hAnsiTheme="minorEastAsia" w:eastAsiaTheme="minorEastAsia" w:cstheme="minorEastAsia"/>
                <w:color w:val="auto"/>
                <w:sz w:val="24"/>
                <w:szCs w:val="24"/>
                <w:lang w:eastAsia="zh-CN"/>
              </w:rPr>
              <w:t>管理</w:t>
            </w:r>
            <w:r>
              <w:rPr>
                <w:rFonts w:hint="eastAsia" w:asciiTheme="minorEastAsia" w:hAnsiTheme="minorEastAsia" w:eastAsiaTheme="minorEastAsia" w:cstheme="minorEastAsia"/>
                <w:color w:val="auto"/>
                <w:sz w:val="24"/>
                <w:szCs w:val="24"/>
              </w:rPr>
              <w:t>体系认证证书；</w:t>
            </w:r>
          </w:p>
          <w:p>
            <w:pPr>
              <w:widowControl/>
              <w:numPr>
                <w:ilvl w:val="0"/>
                <w:numId w:val="3"/>
              </w:num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"http://www.bjlkb.net/about.php?id=12" \o "ISO14001环境管理体系"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ISO14001环境管理体系</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认证证书；</w:t>
            </w:r>
          </w:p>
          <w:p>
            <w:pPr>
              <w:widowControl/>
              <w:numPr>
                <w:ilvl w:val="0"/>
                <w:numId w:val="3"/>
              </w:numPr>
              <w:spacing w:line="24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"http://www.bjlkb.net/about.php?id=49" \o "ISO18001职业健康安全管理体系认证"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ISO18001职业健康安全管理体系认证</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rPr>
              <w:t>证书</w:t>
            </w:r>
            <w:r>
              <w:rPr>
                <w:rFonts w:hint="eastAsia" w:asciiTheme="minorEastAsia" w:hAnsiTheme="minorEastAsia" w:eastAsiaTheme="minorEastAsia" w:cstheme="minorEastAsia"/>
                <w:color w:val="auto"/>
                <w:sz w:val="24"/>
                <w:szCs w:val="24"/>
                <w:lang w:val="en-US" w:eastAsia="zh-CN"/>
              </w:rPr>
              <w:t>；</w:t>
            </w:r>
          </w:p>
          <w:p>
            <w:r>
              <w:rPr>
                <w:rFonts w:hint="eastAsia"/>
                <w:sz w:val="24"/>
                <w:szCs w:val="18"/>
                <w:lang w:val="en-US" w:eastAsia="zh-CN"/>
              </w:rPr>
              <w:t>以上证书，每有一项</w:t>
            </w:r>
            <w:r>
              <w:rPr>
                <w:rFonts w:hint="eastAsia"/>
                <w:sz w:val="24"/>
                <w:szCs w:val="18"/>
                <w:lang w:eastAsia="zh-CN"/>
              </w:rPr>
              <w:t>得</w:t>
            </w:r>
            <w:r>
              <w:rPr>
                <w:rFonts w:hint="eastAsia"/>
                <w:sz w:val="24"/>
                <w:szCs w:val="18"/>
                <w:lang w:val="en-US" w:eastAsia="zh-CN"/>
              </w:rPr>
              <w:t>2</w:t>
            </w:r>
            <w:r>
              <w:rPr>
                <w:rFonts w:hint="eastAsia"/>
                <w:sz w:val="24"/>
                <w:szCs w:val="18"/>
                <w:lang w:eastAsia="zh-CN"/>
              </w:rPr>
              <w:t>分，</w:t>
            </w:r>
            <w:r>
              <w:rPr>
                <w:rFonts w:hint="eastAsia"/>
                <w:sz w:val="24"/>
                <w:szCs w:val="18"/>
                <w:lang w:val="en-US" w:eastAsia="zh-CN"/>
              </w:rPr>
              <w:t>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99" w:type="dxa"/>
            <w:vMerge w:val="continue"/>
            <w:tcBorders>
              <w:left w:val="single" w:color="auto" w:sz="4" w:space="0"/>
              <w:right w:val="single" w:color="auto" w:sz="4" w:space="0"/>
            </w:tcBorders>
            <w:vAlign w:val="center"/>
          </w:tcPr>
          <w:p>
            <w:pPr>
              <w:widowControl/>
              <w:rPr>
                <w:rFonts w:ascii="宋体" w:hAnsi="宋体" w:cs="宋体"/>
                <w:kern w:val="0"/>
                <w:sz w:val="24"/>
                <w:szCs w:val="24"/>
              </w:rPr>
            </w:pPr>
          </w:p>
        </w:tc>
        <w:tc>
          <w:tcPr>
            <w:tcW w:w="2270" w:type="dxa"/>
            <w:tcBorders>
              <w:top w:val="single" w:color="auto" w:sz="4" w:space="0"/>
              <w:left w:val="single" w:color="auto" w:sz="4" w:space="0"/>
              <w:right w:val="single" w:color="auto" w:sz="4" w:space="0"/>
            </w:tcBorders>
            <w:vAlign w:val="center"/>
          </w:tcPr>
          <w:p>
            <w:pPr>
              <w:jc w:val="center"/>
              <w:rPr>
                <w:rFonts w:hint="eastAsia" w:ascii="宋体" w:hAnsi="宋体" w:eastAsia="宋体"/>
                <w:sz w:val="24"/>
                <w:szCs w:val="24"/>
                <w:lang w:val="en-US" w:eastAsia="zh-CN"/>
              </w:rPr>
            </w:pPr>
            <w:r>
              <w:rPr>
                <w:rFonts w:hint="eastAsia"/>
                <w:sz w:val="24"/>
                <w:szCs w:val="18"/>
                <w:lang w:val="en-US" w:eastAsia="zh-CN"/>
              </w:rPr>
              <w:t>质量信用</w:t>
            </w:r>
            <w:r>
              <w:rPr>
                <w:rFonts w:hint="eastAsia" w:ascii="宋体" w:hAnsi="宋体"/>
                <w:sz w:val="24"/>
                <w:szCs w:val="24"/>
                <w:lang w:val="en-US" w:eastAsia="zh-CN"/>
              </w:rPr>
              <w:t>（8分）</w:t>
            </w:r>
          </w:p>
        </w:tc>
        <w:tc>
          <w:tcPr>
            <w:tcW w:w="6759" w:type="dxa"/>
            <w:tcBorders>
              <w:top w:val="single" w:color="auto" w:sz="4" w:space="0"/>
              <w:left w:val="single" w:color="auto" w:sz="4" w:space="0"/>
              <w:bottom w:val="single" w:color="auto" w:sz="4" w:space="0"/>
              <w:right w:val="single" w:color="auto" w:sz="4" w:space="0"/>
            </w:tcBorders>
            <w:vAlign w:val="center"/>
          </w:tcPr>
          <w:p>
            <w:pPr>
              <w:rPr>
                <w:rFonts w:hint="eastAsia"/>
                <w:sz w:val="24"/>
                <w:szCs w:val="18"/>
                <w:lang w:val="en-US" w:eastAsia="zh-CN"/>
              </w:rPr>
            </w:pPr>
            <w:r>
              <w:rPr>
                <w:rFonts w:hint="eastAsia" w:asciiTheme="minorEastAsia" w:hAnsiTheme="minorEastAsia" w:eastAsiaTheme="minorEastAsia" w:cstheme="minorEastAsia"/>
                <w:color w:val="auto"/>
                <w:sz w:val="24"/>
                <w:szCs w:val="24"/>
                <w:lang w:eastAsia="zh-CN"/>
              </w:rPr>
              <w:t>设备生产厂商</w:t>
            </w:r>
            <w:r>
              <w:rPr>
                <w:rFonts w:hint="eastAsia"/>
                <w:sz w:val="24"/>
                <w:szCs w:val="18"/>
                <w:lang w:val="en-US" w:eastAsia="zh-CN"/>
              </w:rPr>
              <w:t>被</w:t>
            </w:r>
            <w:r>
              <w:rPr>
                <w:rFonts w:hint="eastAsia"/>
                <w:b w:val="0"/>
                <w:bCs w:val="0"/>
                <w:color w:val="auto"/>
                <w:sz w:val="24"/>
                <w:szCs w:val="18"/>
                <w:lang w:val="en-US" w:eastAsia="zh-CN"/>
              </w:rPr>
              <w:t>行业主管部门</w:t>
            </w:r>
            <w:r>
              <w:rPr>
                <w:rFonts w:hint="eastAsia"/>
                <w:sz w:val="24"/>
                <w:szCs w:val="18"/>
                <w:lang w:val="en-US" w:eastAsia="zh-CN"/>
              </w:rPr>
              <w:t>纳入市级及以上质量信用医疗器械生产企业名单的：</w:t>
            </w:r>
          </w:p>
          <w:p>
            <w:pPr>
              <w:rPr>
                <w:rFonts w:hint="default"/>
                <w:sz w:val="24"/>
                <w:szCs w:val="18"/>
                <w:lang w:val="en-US" w:eastAsia="zh-CN"/>
              </w:rPr>
            </w:pPr>
            <w:r>
              <w:rPr>
                <w:rFonts w:hint="eastAsia"/>
                <w:sz w:val="24"/>
                <w:szCs w:val="18"/>
                <w:lang w:val="en-US" w:eastAsia="zh-CN"/>
              </w:rPr>
              <w:t>A类得8分；B类得6分；C类得4分；D类得2分；未提供不得分；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599" w:type="dxa"/>
            <w:vMerge w:val="restart"/>
            <w:tcBorders>
              <w:left w:val="single" w:color="auto" w:sz="4" w:space="0"/>
              <w:right w:val="single" w:color="auto" w:sz="4" w:space="0"/>
            </w:tcBorders>
            <w:vAlign w:val="center"/>
          </w:tcPr>
          <w:p>
            <w:pPr>
              <w:widowControl/>
              <w:jc w:val="center"/>
              <w:rPr>
                <w:rFonts w:ascii="宋体" w:hAnsi="宋体"/>
                <w:color w:val="000000"/>
                <w:sz w:val="24"/>
                <w:szCs w:val="24"/>
              </w:rPr>
            </w:pPr>
          </w:p>
          <w:p>
            <w:pPr>
              <w:widowControl/>
              <w:jc w:val="center"/>
              <w:rPr>
                <w:rFonts w:ascii="宋体" w:hAnsi="宋体"/>
                <w:color w:val="000000"/>
                <w:sz w:val="24"/>
                <w:szCs w:val="24"/>
              </w:rPr>
            </w:pPr>
          </w:p>
          <w:p>
            <w:pPr>
              <w:widowControl/>
              <w:jc w:val="center"/>
              <w:rPr>
                <w:rFonts w:ascii="宋体" w:hAnsi="宋体"/>
                <w:color w:val="000000"/>
                <w:sz w:val="24"/>
                <w:szCs w:val="24"/>
              </w:rPr>
            </w:pPr>
          </w:p>
          <w:p>
            <w:pPr>
              <w:widowControl/>
              <w:jc w:val="center"/>
              <w:rPr>
                <w:rFonts w:ascii="宋体" w:hAnsi="宋体" w:cs="宋体"/>
                <w:kern w:val="0"/>
                <w:sz w:val="24"/>
                <w:szCs w:val="24"/>
              </w:rPr>
            </w:pPr>
            <w:r>
              <w:rPr>
                <w:rFonts w:hint="eastAsia" w:ascii="宋体" w:hAnsi="宋体"/>
                <w:color w:val="000000"/>
                <w:sz w:val="24"/>
                <w:szCs w:val="24"/>
              </w:rPr>
              <w:t>技术部分50分</w:t>
            </w:r>
          </w:p>
        </w:tc>
        <w:tc>
          <w:tcPr>
            <w:tcW w:w="2270" w:type="dxa"/>
            <w:tcBorders>
              <w:left w:val="single" w:color="auto" w:sz="4" w:space="0"/>
              <w:right w:val="single" w:color="auto" w:sz="4" w:space="0"/>
            </w:tcBorders>
            <w:vAlign w:val="center"/>
          </w:tcPr>
          <w:p>
            <w:pPr>
              <w:pStyle w:val="62"/>
              <w:widowControl w:val="0"/>
              <w:spacing w:line="360" w:lineRule="exact"/>
              <w:jc w:val="center"/>
              <w:rPr>
                <w:rFonts w:ascii="宋体" w:hAnsi="宋体" w:cs="宋体"/>
                <w:kern w:val="0"/>
                <w:sz w:val="24"/>
                <w:szCs w:val="24"/>
              </w:rPr>
            </w:pPr>
            <w:r>
              <w:rPr>
                <w:rFonts w:hint="eastAsia" w:ascii="宋体" w:hAnsi="宋体" w:cs="仿宋_GB2312"/>
                <w:kern w:val="2"/>
              </w:rPr>
              <w:t>主要技术参数</w:t>
            </w:r>
            <w:r>
              <w:rPr>
                <w:rFonts w:hint="eastAsia" w:ascii="宋体" w:hAnsi="宋体" w:cs="仿宋_GB2312"/>
                <w:kern w:val="2"/>
                <w:lang w:eastAsia="zh-CN"/>
              </w:rPr>
              <w:t>和指标</w:t>
            </w:r>
            <w:r>
              <w:rPr>
                <w:rFonts w:hint="eastAsia" w:ascii="宋体" w:hAnsi="宋体" w:cs="仿宋_GB2312"/>
                <w:kern w:val="2"/>
              </w:rPr>
              <w:t>（标“</w:t>
            </w:r>
            <w:r>
              <w:rPr>
                <w:rFonts w:hint="eastAsia" w:ascii="宋体" w:hAnsi="宋体" w:eastAsia="宋体" w:cs="宋体"/>
                <w:kern w:val="0"/>
                <w:sz w:val="24"/>
                <w:szCs w:val="24"/>
                <w:lang w:val="en-US" w:eastAsia="zh-CN" w:bidi="lo-LA"/>
              </w:rPr>
              <w:t>*</w:t>
            </w:r>
            <w:r>
              <w:rPr>
                <w:rFonts w:hint="eastAsia" w:ascii="宋体" w:hAnsi="宋体" w:cs="仿宋_GB2312"/>
                <w:kern w:val="2"/>
              </w:rPr>
              <w:t>”项）（</w:t>
            </w:r>
            <w:r>
              <w:rPr>
                <w:rFonts w:hint="eastAsia" w:ascii="宋体" w:hAnsi="宋体" w:cs="仿宋_GB2312"/>
                <w:kern w:val="2"/>
                <w:lang w:val="en-US" w:eastAsia="zh-CN"/>
              </w:rPr>
              <w:t>15</w:t>
            </w:r>
            <w:r>
              <w:rPr>
                <w:rFonts w:hint="eastAsia" w:ascii="宋体" w:hAnsi="宋体" w:cs="仿宋_GB2312"/>
                <w:kern w:val="2"/>
              </w:rPr>
              <w:t>分）</w:t>
            </w:r>
          </w:p>
        </w:tc>
        <w:tc>
          <w:tcPr>
            <w:tcW w:w="6759" w:type="dxa"/>
            <w:tcBorders>
              <w:top w:val="single" w:color="auto" w:sz="4" w:space="0"/>
              <w:left w:val="single" w:color="auto" w:sz="4" w:space="0"/>
              <w:right w:val="single" w:color="auto" w:sz="4" w:space="0"/>
            </w:tcBorders>
            <w:vAlign w:val="center"/>
          </w:tcPr>
          <w:p>
            <w:pPr>
              <w:pStyle w:val="62"/>
              <w:spacing w:line="360" w:lineRule="exact"/>
              <w:rPr>
                <w:rStyle w:val="63"/>
                <w:rFonts w:hint="eastAsia" w:ascii="宋体" w:hAnsi="宋体"/>
                <w:sz w:val="24"/>
                <w:szCs w:val="24"/>
                <w:lang w:val="en-US"/>
              </w:rPr>
            </w:pPr>
            <w:r>
              <w:rPr>
                <w:rStyle w:val="63"/>
                <w:rFonts w:ascii="宋体" w:hAnsi="宋体"/>
                <w:color w:val="000000"/>
                <w:sz w:val="24"/>
                <w:szCs w:val="24"/>
              </w:rPr>
              <w:t>所</w:t>
            </w:r>
            <w:r>
              <w:rPr>
                <w:rStyle w:val="63"/>
                <w:rFonts w:hint="eastAsia" w:ascii="宋体" w:hAnsi="宋体"/>
                <w:color w:val="000000"/>
                <w:sz w:val="24"/>
                <w:szCs w:val="24"/>
              </w:rPr>
              <w:t>有</w:t>
            </w:r>
            <w:r>
              <w:rPr>
                <w:rStyle w:val="63"/>
                <w:rFonts w:ascii="宋体" w:hAnsi="宋体"/>
                <w:color w:val="000000"/>
                <w:sz w:val="24"/>
                <w:szCs w:val="24"/>
              </w:rPr>
              <w:t>产品</w:t>
            </w:r>
            <w:r>
              <w:rPr>
                <w:rStyle w:val="63"/>
                <w:rFonts w:hint="eastAsia" w:ascii="宋体" w:hAnsi="宋体"/>
                <w:color w:val="000000"/>
                <w:sz w:val="24"/>
                <w:szCs w:val="24"/>
              </w:rPr>
              <w:t>主要</w:t>
            </w:r>
            <w:r>
              <w:rPr>
                <w:rStyle w:val="63"/>
                <w:rFonts w:ascii="宋体" w:hAnsi="宋体"/>
                <w:color w:val="000000"/>
                <w:sz w:val="24"/>
                <w:szCs w:val="24"/>
              </w:rPr>
              <w:t>技术</w:t>
            </w:r>
            <w:r>
              <w:rPr>
                <w:rStyle w:val="63"/>
                <w:rFonts w:hint="eastAsia" w:ascii="宋体" w:hAnsi="宋体"/>
                <w:color w:val="000000"/>
                <w:sz w:val="24"/>
                <w:szCs w:val="24"/>
                <w:lang w:val="en-US"/>
              </w:rPr>
              <w:t>参数和指标</w:t>
            </w:r>
            <w:r>
              <w:rPr>
                <w:rFonts w:hint="eastAsia" w:ascii="宋体" w:hAnsi="宋体" w:cs="仿宋_GB2312"/>
                <w:kern w:val="2"/>
              </w:rPr>
              <w:t>（标“</w:t>
            </w:r>
            <w:r>
              <w:rPr>
                <w:rFonts w:hint="eastAsia" w:ascii="宋体" w:hAnsi="宋体" w:eastAsia="宋体" w:cs="宋体"/>
                <w:kern w:val="0"/>
                <w:sz w:val="24"/>
                <w:szCs w:val="24"/>
                <w:lang w:val="en-US" w:eastAsia="zh-CN" w:bidi="lo-LA"/>
              </w:rPr>
              <w:t>*</w:t>
            </w:r>
            <w:r>
              <w:rPr>
                <w:rFonts w:hint="eastAsia" w:ascii="宋体" w:hAnsi="宋体" w:cs="仿宋_GB2312"/>
                <w:kern w:val="2"/>
              </w:rPr>
              <w:t>”项）</w:t>
            </w:r>
            <w:r>
              <w:rPr>
                <w:rStyle w:val="63"/>
                <w:rFonts w:hint="eastAsia" w:ascii="宋体" w:hAnsi="宋体"/>
                <w:color w:val="000000"/>
                <w:sz w:val="24"/>
                <w:szCs w:val="24"/>
                <w:lang w:val="en-US"/>
              </w:rPr>
              <w:t>满足</w:t>
            </w:r>
            <w:r>
              <w:rPr>
                <w:rStyle w:val="63"/>
                <w:rFonts w:hint="eastAsia" w:ascii="宋体" w:hAnsi="宋体"/>
                <w:sz w:val="24"/>
                <w:szCs w:val="24"/>
              </w:rPr>
              <w:t>招标</w:t>
            </w:r>
            <w:r>
              <w:rPr>
                <w:rStyle w:val="63"/>
                <w:rFonts w:hint="eastAsia" w:ascii="宋体" w:hAnsi="宋体"/>
                <w:sz w:val="24"/>
                <w:szCs w:val="24"/>
                <w:lang w:val="en-US"/>
              </w:rPr>
              <w:t>文件</w:t>
            </w:r>
            <w:r>
              <w:rPr>
                <w:rStyle w:val="63"/>
                <w:rFonts w:hint="eastAsia" w:ascii="宋体" w:hAnsi="宋体"/>
                <w:sz w:val="24"/>
                <w:szCs w:val="24"/>
              </w:rPr>
              <w:t>要求</w:t>
            </w:r>
            <w:r>
              <w:rPr>
                <w:rStyle w:val="63"/>
                <w:rFonts w:hint="eastAsia" w:ascii="宋体" w:hAnsi="宋体"/>
                <w:sz w:val="24"/>
                <w:szCs w:val="24"/>
                <w:lang w:val="en-US"/>
              </w:rPr>
              <w:t>得基础分10分；</w:t>
            </w:r>
          </w:p>
          <w:p>
            <w:pPr>
              <w:pStyle w:val="62"/>
              <w:spacing w:line="360" w:lineRule="exact"/>
              <w:rPr>
                <w:rFonts w:asciiTheme="minorEastAsia" w:hAnsiTheme="minorEastAsia" w:eastAsiaTheme="minorEastAsia"/>
                <w:sz w:val="24"/>
                <w:szCs w:val="24"/>
              </w:rPr>
            </w:pPr>
            <w:r>
              <w:rPr>
                <w:rStyle w:val="63"/>
                <w:rFonts w:hint="eastAsia" w:ascii="宋体" w:hAnsi="宋体"/>
                <w:sz w:val="24"/>
                <w:szCs w:val="24"/>
                <w:lang w:val="en-US"/>
              </w:rPr>
              <w:t>每有一项主要技术参数和指标</w:t>
            </w:r>
            <w:r>
              <w:rPr>
                <w:rFonts w:hint="eastAsia" w:ascii="宋体" w:hAnsi="宋体" w:cs="仿宋_GB2312"/>
                <w:kern w:val="2"/>
              </w:rPr>
              <w:t>（标“</w:t>
            </w:r>
            <w:r>
              <w:rPr>
                <w:rFonts w:hint="eastAsia" w:ascii="宋体" w:hAnsi="宋体" w:eastAsia="宋体" w:cs="宋体"/>
                <w:kern w:val="0"/>
                <w:sz w:val="24"/>
                <w:szCs w:val="24"/>
                <w:lang w:val="en-US" w:eastAsia="zh-CN" w:bidi="lo-LA"/>
              </w:rPr>
              <w:t>*</w:t>
            </w:r>
            <w:r>
              <w:rPr>
                <w:rFonts w:hint="eastAsia" w:ascii="宋体" w:hAnsi="宋体" w:cs="仿宋_GB2312"/>
                <w:kern w:val="2"/>
              </w:rPr>
              <w:t>”项）</w:t>
            </w:r>
            <w:r>
              <w:rPr>
                <w:rStyle w:val="63"/>
                <w:rFonts w:hint="eastAsia" w:ascii="宋体" w:hAnsi="宋体"/>
                <w:sz w:val="24"/>
                <w:szCs w:val="24"/>
                <w:lang w:val="en-US"/>
              </w:rPr>
              <w:t>优于招标文件得1分，最高得5分；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599" w:type="dxa"/>
            <w:vMerge w:val="continue"/>
            <w:tcBorders>
              <w:left w:val="single" w:color="auto" w:sz="4" w:space="0"/>
              <w:right w:val="single" w:color="auto" w:sz="4" w:space="0"/>
            </w:tcBorders>
            <w:vAlign w:val="center"/>
          </w:tcPr>
          <w:p>
            <w:pPr>
              <w:widowControl/>
              <w:jc w:val="center"/>
              <w:rPr>
                <w:rFonts w:ascii="宋体" w:hAnsi="宋体" w:cs="宋体"/>
                <w:kern w:val="0"/>
                <w:sz w:val="24"/>
                <w:szCs w:val="24"/>
              </w:rPr>
            </w:pPr>
          </w:p>
        </w:tc>
        <w:tc>
          <w:tcPr>
            <w:tcW w:w="2270" w:type="dxa"/>
            <w:tcBorders>
              <w:left w:val="single" w:color="auto" w:sz="4" w:space="0"/>
              <w:right w:val="single" w:color="auto" w:sz="4" w:space="0"/>
            </w:tcBorders>
            <w:vAlign w:val="center"/>
          </w:tcPr>
          <w:p>
            <w:pPr>
              <w:pStyle w:val="62"/>
              <w:widowControl w:val="0"/>
              <w:spacing w:line="360" w:lineRule="exact"/>
              <w:jc w:val="center"/>
              <w:rPr>
                <w:rFonts w:hint="eastAsia" w:ascii="宋体" w:hAnsi="宋体" w:cs="仿宋_GB2312"/>
                <w:kern w:val="2"/>
              </w:rPr>
            </w:pPr>
            <w:r>
              <w:rPr>
                <w:rFonts w:hint="eastAsia" w:ascii="宋体" w:hAnsi="宋体" w:cs="仿宋_GB2312"/>
                <w:kern w:val="2"/>
                <w:lang w:eastAsia="zh-CN"/>
              </w:rPr>
              <w:t>一般</w:t>
            </w:r>
            <w:r>
              <w:rPr>
                <w:rFonts w:hint="eastAsia" w:ascii="宋体" w:hAnsi="宋体" w:cs="仿宋_GB2312"/>
                <w:kern w:val="2"/>
              </w:rPr>
              <w:t>技术参数</w:t>
            </w:r>
            <w:r>
              <w:rPr>
                <w:rFonts w:hint="eastAsia" w:ascii="宋体" w:hAnsi="宋体" w:cs="仿宋_GB2312"/>
                <w:kern w:val="2"/>
                <w:lang w:eastAsia="zh-CN"/>
              </w:rPr>
              <w:t>和指标</w:t>
            </w:r>
            <w:r>
              <w:rPr>
                <w:rFonts w:hint="eastAsia" w:ascii="宋体" w:hAnsi="宋体" w:cs="仿宋_GB2312"/>
                <w:kern w:val="2"/>
              </w:rPr>
              <w:t>（</w:t>
            </w:r>
            <w:r>
              <w:rPr>
                <w:rFonts w:hint="eastAsia" w:ascii="宋体" w:hAnsi="宋体" w:cs="仿宋_GB2312"/>
                <w:kern w:val="2"/>
                <w:lang w:eastAsia="zh-CN"/>
              </w:rPr>
              <w:t>未标</w:t>
            </w:r>
            <w:r>
              <w:rPr>
                <w:rFonts w:hint="eastAsia" w:ascii="宋体" w:hAnsi="宋体" w:cs="仿宋_GB2312"/>
                <w:kern w:val="2"/>
              </w:rPr>
              <w:t>“</w:t>
            </w:r>
            <w:r>
              <w:rPr>
                <w:rFonts w:hint="eastAsia" w:ascii="宋体" w:hAnsi="宋体" w:eastAsia="宋体" w:cs="宋体"/>
                <w:kern w:val="0"/>
                <w:sz w:val="24"/>
                <w:szCs w:val="24"/>
                <w:lang w:val="en-US" w:eastAsia="zh-CN" w:bidi="lo-LA"/>
              </w:rPr>
              <w:t>*</w:t>
            </w:r>
            <w:r>
              <w:rPr>
                <w:rFonts w:hint="eastAsia" w:ascii="宋体" w:hAnsi="宋体" w:cs="仿宋_GB2312"/>
                <w:kern w:val="2"/>
              </w:rPr>
              <w:t>”项）</w:t>
            </w:r>
          </w:p>
          <w:p>
            <w:pPr>
              <w:pStyle w:val="62"/>
              <w:widowControl w:val="0"/>
              <w:spacing w:line="360" w:lineRule="exact"/>
              <w:jc w:val="center"/>
              <w:rPr>
                <w:rFonts w:hint="eastAsia" w:ascii="宋体" w:hAnsi="宋体"/>
                <w:b w:val="0"/>
                <w:bCs w:val="0"/>
                <w:color w:val="auto"/>
                <w:sz w:val="24"/>
                <w:szCs w:val="22"/>
                <w:lang w:val="zh-CN"/>
              </w:rPr>
            </w:pPr>
            <w:r>
              <w:rPr>
                <w:rFonts w:hint="eastAsia" w:ascii="宋体" w:hAnsi="宋体" w:cs="仿宋_GB2312"/>
                <w:kern w:val="2"/>
              </w:rPr>
              <w:t>（</w:t>
            </w:r>
            <w:r>
              <w:rPr>
                <w:rFonts w:hint="eastAsia" w:ascii="宋体" w:hAnsi="宋体" w:cs="仿宋_GB2312"/>
                <w:kern w:val="2"/>
                <w:lang w:val="en-US" w:eastAsia="zh-CN"/>
              </w:rPr>
              <w:t>18</w:t>
            </w:r>
            <w:r>
              <w:rPr>
                <w:rFonts w:hint="eastAsia" w:ascii="宋体" w:hAnsi="宋体" w:cs="仿宋_GB2312"/>
                <w:kern w:val="2"/>
              </w:rPr>
              <w:t>分）</w:t>
            </w:r>
          </w:p>
        </w:tc>
        <w:tc>
          <w:tcPr>
            <w:tcW w:w="6759" w:type="dxa"/>
            <w:tcBorders>
              <w:top w:val="single" w:color="auto" w:sz="4" w:space="0"/>
              <w:left w:val="single" w:color="auto" w:sz="4" w:space="0"/>
              <w:right w:val="single" w:color="auto" w:sz="4" w:space="0"/>
            </w:tcBorders>
            <w:vAlign w:val="center"/>
          </w:tcPr>
          <w:p>
            <w:pPr>
              <w:pStyle w:val="62"/>
              <w:spacing w:line="360" w:lineRule="exact"/>
              <w:rPr>
                <w:rStyle w:val="63"/>
                <w:rFonts w:hint="eastAsia" w:ascii="宋体" w:hAnsi="宋体"/>
                <w:sz w:val="24"/>
                <w:szCs w:val="24"/>
                <w:lang w:val="en-US"/>
              </w:rPr>
            </w:pPr>
            <w:r>
              <w:rPr>
                <w:rStyle w:val="63"/>
                <w:rFonts w:ascii="宋体" w:hAnsi="宋体"/>
                <w:color w:val="000000"/>
                <w:sz w:val="24"/>
                <w:szCs w:val="24"/>
              </w:rPr>
              <w:t>所</w:t>
            </w:r>
            <w:r>
              <w:rPr>
                <w:rStyle w:val="63"/>
                <w:rFonts w:hint="eastAsia" w:ascii="宋体" w:hAnsi="宋体"/>
                <w:color w:val="000000"/>
                <w:sz w:val="24"/>
                <w:szCs w:val="24"/>
              </w:rPr>
              <w:t>有</w:t>
            </w:r>
            <w:r>
              <w:rPr>
                <w:rStyle w:val="63"/>
                <w:rFonts w:ascii="宋体" w:hAnsi="宋体"/>
                <w:color w:val="000000"/>
                <w:sz w:val="24"/>
                <w:szCs w:val="24"/>
              </w:rPr>
              <w:t>产品</w:t>
            </w:r>
            <w:r>
              <w:rPr>
                <w:rStyle w:val="63"/>
                <w:rFonts w:hint="eastAsia" w:ascii="宋体" w:hAnsi="宋体"/>
                <w:color w:val="000000"/>
                <w:sz w:val="24"/>
                <w:szCs w:val="24"/>
              </w:rPr>
              <w:t>一般</w:t>
            </w:r>
            <w:r>
              <w:rPr>
                <w:rStyle w:val="63"/>
                <w:rFonts w:ascii="宋体" w:hAnsi="宋体"/>
                <w:color w:val="000000"/>
                <w:sz w:val="24"/>
                <w:szCs w:val="24"/>
              </w:rPr>
              <w:t>技术</w:t>
            </w:r>
            <w:r>
              <w:rPr>
                <w:rStyle w:val="63"/>
                <w:rFonts w:hint="eastAsia" w:ascii="宋体" w:hAnsi="宋体"/>
                <w:color w:val="000000"/>
                <w:sz w:val="24"/>
                <w:szCs w:val="24"/>
                <w:lang w:val="en-US"/>
              </w:rPr>
              <w:t>参数或指标</w:t>
            </w:r>
            <w:r>
              <w:rPr>
                <w:rFonts w:hint="eastAsia" w:ascii="宋体" w:hAnsi="宋体" w:cs="仿宋_GB2312"/>
                <w:kern w:val="2"/>
              </w:rPr>
              <w:t>（</w:t>
            </w:r>
            <w:r>
              <w:rPr>
                <w:rFonts w:hint="eastAsia" w:ascii="宋体" w:hAnsi="宋体" w:cs="仿宋_GB2312"/>
                <w:kern w:val="2"/>
                <w:lang w:eastAsia="zh-CN"/>
              </w:rPr>
              <w:t>未</w:t>
            </w:r>
            <w:r>
              <w:rPr>
                <w:rFonts w:hint="eastAsia" w:ascii="宋体" w:hAnsi="宋体" w:cs="仿宋_GB2312"/>
                <w:kern w:val="2"/>
              </w:rPr>
              <w:t>标“</w:t>
            </w:r>
            <w:r>
              <w:rPr>
                <w:rFonts w:hint="eastAsia" w:ascii="宋体" w:hAnsi="宋体" w:eastAsia="宋体" w:cs="宋体"/>
                <w:kern w:val="0"/>
                <w:sz w:val="24"/>
                <w:szCs w:val="24"/>
                <w:lang w:val="en-US" w:eastAsia="zh-CN" w:bidi="lo-LA"/>
              </w:rPr>
              <w:t>*</w:t>
            </w:r>
            <w:r>
              <w:rPr>
                <w:rFonts w:hint="eastAsia" w:ascii="宋体" w:hAnsi="宋体" w:cs="仿宋_GB2312"/>
                <w:kern w:val="2"/>
              </w:rPr>
              <w:t>”项）</w:t>
            </w:r>
            <w:r>
              <w:rPr>
                <w:rStyle w:val="63"/>
                <w:rFonts w:hint="eastAsia" w:ascii="宋体" w:hAnsi="宋体"/>
                <w:color w:val="000000"/>
                <w:sz w:val="24"/>
                <w:szCs w:val="24"/>
                <w:lang w:val="en-US"/>
              </w:rPr>
              <w:t>满足</w:t>
            </w:r>
            <w:r>
              <w:rPr>
                <w:rStyle w:val="63"/>
                <w:rFonts w:hint="eastAsia" w:ascii="宋体" w:hAnsi="宋体"/>
                <w:sz w:val="24"/>
                <w:szCs w:val="24"/>
              </w:rPr>
              <w:t>招标</w:t>
            </w:r>
            <w:r>
              <w:rPr>
                <w:rStyle w:val="63"/>
                <w:rFonts w:hint="eastAsia" w:ascii="宋体" w:hAnsi="宋体"/>
                <w:sz w:val="24"/>
                <w:szCs w:val="24"/>
                <w:lang w:val="en-US"/>
              </w:rPr>
              <w:t>文件</w:t>
            </w:r>
            <w:r>
              <w:rPr>
                <w:rStyle w:val="63"/>
                <w:rFonts w:hint="eastAsia" w:ascii="宋体" w:hAnsi="宋体"/>
                <w:sz w:val="24"/>
                <w:szCs w:val="24"/>
              </w:rPr>
              <w:t>要求</w:t>
            </w:r>
            <w:r>
              <w:rPr>
                <w:rStyle w:val="63"/>
                <w:rFonts w:hint="eastAsia" w:ascii="宋体" w:hAnsi="宋体"/>
                <w:sz w:val="24"/>
                <w:szCs w:val="24"/>
                <w:lang w:val="en-US"/>
              </w:rPr>
              <w:t>得基础分12分；</w:t>
            </w:r>
          </w:p>
          <w:p>
            <w:pPr>
              <w:pStyle w:val="62"/>
              <w:spacing w:line="360" w:lineRule="exact"/>
              <w:rPr>
                <w:rStyle w:val="63"/>
                <w:rFonts w:hint="eastAsia" w:ascii="宋体" w:hAnsi="宋体"/>
                <w:sz w:val="24"/>
                <w:szCs w:val="24"/>
                <w:lang w:val="en-US"/>
              </w:rPr>
            </w:pPr>
            <w:r>
              <w:rPr>
                <w:rStyle w:val="63"/>
                <w:rFonts w:hint="eastAsia" w:ascii="宋体" w:hAnsi="宋体"/>
                <w:sz w:val="24"/>
                <w:szCs w:val="24"/>
                <w:lang w:val="en-US"/>
              </w:rPr>
              <w:t>每有一项一般技术参数和指标</w:t>
            </w:r>
            <w:r>
              <w:rPr>
                <w:rFonts w:hint="eastAsia" w:ascii="宋体" w:hAnsi="宋体" w:cs="仿宋_GB2312"/>
                <w:kern w:val="2"/>
              </w:rPr>
              <w:t>（</w:t>
            </w:r>
            <w:r>
              <w:rPr>
                <w:rFonts w:hint="eastAsia" w:ascii="宋体" w:hAnsi="宋体" w:cs="仿宋_GB2312"/>
                <w:kern w:val="2"/>
                <w:lang w:eastAsia="zh-CN"/>
              </w:rPr>
              <w:t>未</w:t>
            </w:r>
            <w:r>
              <w:rPr>
                <w:rFonts w:hint="eastAsia" w:ascii="宋体" w:hAnsi="宋体" w:cs="仿宋_GB2312"/>
                <w:kern w:val="2"/>
              </w:rPr>
              <w:t>标“</w:t>
            </w:r>
            <w:r>
              <w:rPr>
                <w:rFonts w:hint="eastAsia" w:ascii="宋体" w:hAnsi="宋体" w:eastAsia="宋体" w:cs="宋体"/>
                <w:kern w:val="0"/>
                <w:sz w:val="24"/>
                <w:szCs w:val="24"/>
                <w:lang w:val="en-US" w:eastAsia="zh-CN" w:bidi="lo-LA"/>
              </w:rPr>
              <w:t>*</w:t>
            </w:r>
            <w:r>
              <w:rPr>
                <w:rFonts w:hint="eastAsia" w:ascii="宋体" w:hAnsi="宋体" w:cs="仿宋_GB2312"/>
                <w:kern w:val="2"/>
              </w:rPr>
              <w:t>”项）</w:t>
            </w:r>
            <w:r>
              <w:rPr>
                <w:rStyle w:val="63"/>
                <w:rFonts w:hint="eastAsia" w:ascii="宋体" w:hAnsi="宋体"/>
                <w:sz w:val="24"/>
                <w:szCs w:val="24"/>
                <w:lang w:val="en-US"/>
              </w:rPr>
              <w:t>优于招标文件得1分，最高得6分；</w:t>
            </w:r>
          </w:p>
          <w:p>
            <w:pPr>
              <w:pStyle w:val="62"/>
              <w:spacing w:line="360" w:lineRule="exact"/>
              <w:rPr>
                <w:rFonts w:hint="eastAsia" w:ascii="宋体" w:hAnsi="宋体" w:eastAsia="宋体"/>
                <w:b w:val="0"/>
                <w:bCs w:val="0"/>
                <w:color w:val="auto"/>
                <w:spacing w:val="0"/>
                <w:kern w:val="2"/>
                <w:szCs w:val="22"/>
                <w:lang w:eastAsia="zh-CN"/>
              </w:rPr>
            </w:pPr>
            <w:r>
              <w:rPr>
                <w:rStyle w:val="63"/>
                <w:rFonts w:hint="eastAsia" w:ascii="宋体" w:hAnsi="宋体"/>
                <w:sz w:val="24"/>
                <w:szCs w:val="24"/>
                <w:lang w:val="en-US"/>
              </w:rPr>
              <w:t>每有一项一般技术参数和指标</w:t>
            </w:r>
            <w:r>
              <w:rPr>
                <w:rFonts w:hint="eastAsia" w:ascii="宋体" w:hAnsi="宋体" w:cs="仿宋_GB2312"/>
                <w:kern w:val="2"/>
              </w:rPr>
              <w:t>（</w:t>
            </w:r>
            <w:r>
              <w:rPr>
                <w:rFonts w:hint="eastAsia" w:ascii="宋体" w:hAnsi="宋体" w:cs="仿宋_GB2312"/>
                <w:kern w:val="2"/>
                <w:lang w:eastAsia="zh-CN"/>
              </w:rPr>
              <w:t>未</w:t>
            </w:r>
            <w:r>
              <w:rPr>
                <w:rFonts w:hint="eastAsia" w:ascii="宋体" w:hAnsi="宋体" w:cs="仿宋_GB2312"/>
                <w:kern w:val="2"/>
              </w:rPr>
              <w:t>标“</w:t>
            </w:r>
            <w:r>
              <w:rPr>
                <w:rFonts w:hint="eastAsia" w:ascii="宋体" w:hAnsi="宋体" w:eastAsia="宋体" w:cs="宋体"/>
                <w:kern w:val="0"/>
                <w:sz w:val="24"/>
                <w:szCs w:val="24"/>
                <w:lang w:val="en-US" w:eastAsia="zh-CN" w:bidi="lo-LA"/>
              </w:rPr>
              <w:t>*</w:t>
            </w:r>
            <w:r>
              <w:rPr>
                <w:rFonts w:hint="eastAsia" w:ascii="宋体" w:hAnsi="宋体" w:cs="仿宋_GB2312"/>
                <w:kern w:val="2"/>
              </w:rPr>
              <w:t>”项）</w:t>
            </w:r>
            <w:r>
              <w:rPr>
                <w:rFonts w:hint="eastAsia" w:ascii="宋体" w:hAnsi="宋体"/>
                <w:color w:val="000000"/>
                <w:sz w:val="24"/>
                <w:szCs w:val="24"/>
              </w:rPr>
              <w:t>不满足或负偏离扣3分,分值扣完为止</w:t>
            </w:r>
            <w:r>
              <w:rPr>
                <w:rFonts w:hint="eastAsia" w:ascii="宋体" w:hAnsi="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99" w:type="dxa"/>
            <w:vMerge w:val="continue"/>
            <w:tcBorders>
              <w:left w:val="single" w:color="auto" w:sz="4" w:space="0"/>
              <w:right w:val="single" w:color="auto" w:sz="4" w:space="0"/>
            </w:tcBorders>
            <w:vAlign w:val="center"/>
          </w:tcPr>
          <w:p>
            <w:pPr>
              <w:widowControl/>
              <w:jc w:val="center"/>
              <w:rPr>
                <w:rFonts w:ascii="宋体" w:hAnsi="宋体" w:cs="宋体"/>
                <w:kern w:val="0"/>
                <w:sz w:val="24"/>
                <w:szCs w:val="24"/>
              </w:rPr>
            </w:pPr>
          </w:p>
        </w:tc>
        <w:tc>
          <w:tcPr>
            <w:tcW w:w="2270" w:type="dxa"/>
            <w:tcBorders>
              <w:left w:val="single" w:color="auto" w:sz="4" w:space="0"/>
              <w:right w:val="single" w:color="auto" w:sz="4" w:space="0"/>
            </w:tcBorders>
            <w:vAlign w:val="center"/>
          </w:tcPr>
          <w:p>
            <w:pPr>
              <w:jc w:val="center"/>
              <w:rPr>
                <w:rFonts w:ascii="宋体" w:hAnsi="宋体" w:eastAsia="宋体" w:cs="Courier New"/>
                <w:color w:val="000000" w:themeColor="text1"/>
                <w:kern w:val="2"/>
                <w:sz w:val="24"/>
                <w:szCs w:val="24"/>
                <w:lang w:val="en-US" w:eastAsia="zh-CN" w:bidi="ar-SA"/>
                <w14:textFill>
                  <w14:solidFill>
                    <w14:schemeClr w14:val="tx1"/>
                  </w14:solidFill>
                </w14:textFill>
              </w:rPr>
            </w:pPr>
            <w:r>
              <w:rPr>
                <w:rFonts w:hint="eastAsia" w:ascii="宋体" w:hAnsi="宋体"/>
                <w:b w:val="0"/>
                <w:bCs w:val="0"/>
                <w:color w:val="auto"/>
                <w:sz w:val="24"/>
                <w:szCs w:val="22"/>
                <w:lang w:val="en-US" w:eastAsia="zh-CN"/>
              </w:rPr>
              <w:t>质保期（2分）</w:t>
            </w:r>
          </w:p>
        </w:tc>
        <w:tc>
          <w:tcPr>
            <w:tcW w:w="6759" w:type="dxa"/>
            <w:tcBorders>
              <w:top w:val="single" w:color="auto" w:sz="4" w:space="0"/>
              <w:left w:val="single" w:color="auto" w:sz="4" w:space="0"/>
              <w:right w:val="single" w:color="auto" w:sz="4" w:space="0"/>
            </w:tcBorders>
            <w:vAlign w:val="center"/>
          </w:tcPr>
          <w:p>
            <w:pPr>
              <w:spacing w:line="240" w:lineRule="auto"/>
              <w:rPr>
                <w:rFonts w:hint="eastAsia"/>
                <w:lang w:val="en-US" w:eastAsia="zh-CN"/>
              </w:rPr>
            </w:pPr>
            <w:r>
              <w:rPr>
                <w:rFonts w:hint="eastAsia"/>
                <w:sz w:val="24"/>
                <w:szCs w:val="18"/>
                <w:lang w:val="en-US" w:eastAsia="zh-CN"/>
              </w:rPr>
              <w:t>质保期在满足磋商文件基本要求的基础上，每增加1年加1分，最高得2分；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599" w:type="dxa"/>
            <w:vMerge w:val="continue"/>
            <w:tcBorders>
              <w:left w:val="single" w:color="auto" w:sz="4" w:space="0"/>
              <w:right w:val="single" w:color="auto" w:sz="4" w:space="0"/>
            </w:tcBorders>
            <w:vAlign w:val="center"/>
          </w:tcPr>
          <w:p>
            <w:pPr>
              <w:widowControl/>
              <w:jc w:val="center"/>
              <w:rPr>
                <w:rFonts w:ascii="宋体" w:hAnsi="宋体" w:cs="宋体"/>
                <w:kern w:val="0"/>
                <w:sz w:val="24"/>
                <w:szCs w:val="24"/>
              </w:rPr>
            </w:pPr>
          </w:p>
        </w:tc>
        <w:tc>
          <w:tcPr>
            <w:tcW w:w="2270" w:type="dxa"/>
            <w:tcBorders>
              <w:left w:val="single" w:color="auto" w:sz="4" w:space="0"/>
              <w:right w:val="single" w:color="auto" w:sz="4" w:space="0"/>
            </w:tcBorders>
            <w:vAlign w:val="center"/>
          </w:tcPr>
          <w:p>
            <w:pPr>
              <w:jc w:val="center"/>
              <w:rPr>
                <w:rFonts w:hint="eastAsia" w:ascii="宋体" w:hAnsi="宋体"/>
                <w:b w:val="0"/>
                <w:bCs w:val="0"/>
                <w:color w:val="auto"/>
                <w:sz w:val="24"/>
                <w:szCs w:val="22"/>
                <w:lang w:val="en-US" w:eastAsia="zh-CN"/>
              </w:rPr>
            </w:pPr>
            <w:r>
              <w:rPr>
                <w:rFonts w:hint="eastAsia" w:ascii="宋体" w:hAnsi="宋体"/>
                <w:b w:val="0"/>
                <w:bCs w:val="0"/>
                <w:color w:val="auto"/>
                <w:sz w:val="24"/>
                <w:szCs w:val="22"/>
                <w:lang w:val="en-US" w:eastAsia="zh-CN"/>
              </w:rPr>
              <w:t>运输安装、调试及培训措施</w:t>
            </w:r>
            <w:r>
              <w:rPr>
                <w:rFonts w:hint="eastAsia" w:ascii="宋体" w:hAnsi="宋体"/>
                <w:b w:val="0"/>
                <w:bCs w:val="0"/>
                <w:color w:val="auto"/>
                <w:sz w:val="24"/>
                <w:szCs w:val="22"/>
                <w:lang w:val="zh-CN"/>
              </w:rPr>
              <w:t>（</w:t>
            </w:r>
            <w:r>
              <w:rPr>
                <w:rFonts w:hint="eastAsia" w:ascii="宋体" w:hAnsi="宋体"/>
                <w:b w:val="0"/>
                <w:bCs w:val="0"/>
                <w:color w:val="auto"/>
                <w:sz w:val="24"/>
                <w:szCs w:val="22"/>
                <w:lang w:val="en-US" w:eastAsia="zh-CN"/>
              </w:rPr>
              <w:t>9</w:t>
            </w:r>
            <w:r>
              <w:rPr>
                <w:rFonts w:hint="eastAsia" w:ascii="宋体" w:hAnsi="宋体"/>
                <w:b w:val="0"/>
                <w:bCs w:val="0"/>
                <w:color w:val="auto"/>
                <w:sz w:val="24"/>
                <w:szCs w:val="22"/>
                <w:lang w:val="zh-CN"/>
              </w:rPr>
              <w:t>分）</w:t>
            </w:r>
          </w:p>
        </w:tc>
        <w:tc>
          <w:tcPr>
            <w:tcW w:w="6759" w:type="dxa"/>
            <w:tcBorders>
              <w:top w:val="single" w:color="auto" w:sz="4" w:space="0"/>
              <w:left w:val="single" w:color="auto" w:sz="4" w:space="0"/>
              <w:right w:val="single" w:color="auto" w:sz="4" w:space="0"/>
            </w:tcBorders>
            <w:vAlign w:val="center"/>
          </w:tcPr>
          <w:p>
            <w:pPr>
              <w:numPr>
                <w:ilvl w:val="0"/>
                <w:numId w:val="4"/>
              </w:numPr>
              <w:rPr>
                <w:rFonts w:hint="eastAsia"/>
                <w:sz w:val="24"/>
                <w:szCs w:val="18"/>
                <w:lang w:val="en-US" w:eastAsia="zh-CN"/>
              </w:rPr>
            </w:pPr>
            <w:r>
              <w:rPr>
                <w:rFonts w:hint="eastAsia"/>
                <w:sz w:val="24"/>
                <w:szCs w:val="18"/>
                <w:lang w:eastAsia="zh-CN"/>
              </w:rPr>
              <w:t>供应商对</w:t>
            </w:r>
            <w:r>
              <w:rPr>
                <w:rFonts w:hint="eastAsia"/>
                <w:sz w:val="24"/>
                <w:szCs w:val="18"/>
              </w:rPr>
              <w:t>设备的</w:t>
            </w:r>
            <w:r>
              <w:rPr>
                <w:rFonts w:hint="eastAsia"/>
                <w:sz w:val="24"/>
                <w:szCs w:val="18"/>
                <w:lang w:val="en-US" w:eastAsia="zh-CN"/>
              </w:rPr>
              <w:t>运输及</w:t>
            </w:r>
            <w:r>
              <w:rPr>
                <w:rFonts w:hint="eastAsia"/>
                <w:sz w:val="24"/>
                <w:szCs w:val="18"/>
              </w:rPr>
              <w:t>安装</w:t>
            </w:r>
            <w:r>
              <w:rPr>
                <w:rFonts w:hint="eastAsia"/>
                <w:sz w:val="24"/>
                <w:szCs w:val="18"/>
                <w:lang w:val="en-US" w:eastAsia="zh-CN"/>
              </w:rPr>
              <w:t>有详细安全方案的得3分；方案不详细得1分；未提供不得分；</w:t>
            </w:r>
          </w:p>
          <w:p>
            <w:pPr>
              <w:numPr>
                <w:ilvl w:val="0"/>
                <w:numId w:val="0"/>
              </w:numPr>
              <w:rPr>
                <w:sz w:val="24"/>
                <w:szCs w:val="18"/>
                <w:lang w:val="en-US" w:eastAsia="zh-CN"/>
              </w:rPr>
            </w:pPr>
            <w:r>
              <w:rPr>
                <w:rFonts w:hint="eastAsia"/>
                <w:sz w:val="24"/>
                <w:szCs w:val="18"/>
                <w:lang w:val="en-US" w:eastAsia="zh-CN"/>
              </w:rPr>
              <w:t>2、</w:t>
            </w:r>
            <w:r>
              <w:rPr>
                <w:rFonts w:hint="eastAsia"/>
                <w:sz w:val="24"/>
                <w:szCs w:val="18"/>
                <w:lang w:eastAsia="zh-CN"/>
              </w:rPr>
              <w:t>供应商</w:t>
            </w:r>
            <w:r>
              <w:rPr>
                <w:rFonts w:hint="eastAsia"/>
                <w:sz w:val="24"/>
                <w:szCs w:val="18"/>
                <w:lang w:val="en-US" w:eastAsia="zh-CN"/>
              </w:rPr>
              <w:t>对设备的</w:t>
            </w:r>
            <w:r>
              <w:rPr>
                <w:rFonts w:hint="eastAsia"/>
                <w:sz w:val="24"/>
                <w:szCs w:val="18"/>
              </w:rPr>
              <w:t>调试及技术服务</w:t>
            </w:r>
            <w:r>
              <w:rPr>
                <w:rFonts w:hint="eastAsia"/>
                <w:sz w:val="24"/>
                <w:szCs w:val="18"/>
                <w:lang w:eastAsia="zh-CN"/>
              </w:rPr>
              <w:t>有详细</w:t>
            </w:r>
            <w:r>
              <w:rPr>
                <w:rFonts w:hint="eastAsia"/>
                <w:sz w:val="24"/>
                <w:szCs w:val="18"/>
                <w:lang w:val="en-US" w:eastAsia="zh-CN"/>
              </w:rPr>
              <w:t>得技术</w:t>
            </w:r>
            <w:r>
              <w:rPr>
                <w:rFonts w:hint="eastAsia"/>
                <w:sz w:val="24"/>
                <w:szCs w:val="18"/>
                <w:lang w:eastAsia="zh-CN"/>
              </w:rPr>
              <w:t>方案</w:t>
            </w:r>
            <w:r>
              <w:rPr>
                <w:rFonts w:hint="eastAsia"/>
                <w:sz w:val="24"/>
                <w:szCs w:val="18"/>
              </w:rPr>
              <w:t>得</w:t>
            </w:r>
            <w:r>
              <w:rPr>
                <w:rFonts w:hint="eastAsia"/>
                <w:sz w:val="24"/>
                <w:szCs w:val="18"/>
                <w:lang w:val="en-US" w:eastAsia="zh-CN"/>
              </w:rPr>
              <w:t>3</w:t>
            </w:r>
            <w:r>
              <w:rPr>
                <w:rFonts w:hint="eastAsia"/>
                <w:sz w:val="24"/>
                <w:szCs w:val="18"/>
              </w:rPr>
              <w:t>分</w:t>
            </w:r>
            <w:r>
              <w:rPr>
                <w:rFonts w:hint="eastAsia"/>
                <w:sz w:val="24"/>
                <w:szCs w:val="18"/>
                <w:lang w:eastAsia="zh-CN"/>
              </w:rPr>
              <w:t>；</w:t>
            </w:r>
            <w:r>
              <w:rPr>
                <w:rFonts w:hint="eastAsia"/>
                <w:sz w:val="24"/>
                <w:szCs w:val="18"/>
              </w:rPr>
              <w:t>调试及技术服务</w:t>
            </w:r>
            <w:r>
              <w:rPr>
                <w:rFonts w:hint="eastAsia"/>
                <w:sz w:val="24"/>
                <w:szCs w:val="18"/>
                <w:lang w:val="en-US" w:eastAsia="zh-CN"/>
              </w:rPr>
              <w:t>不详细得1分；未提供不得分</w:t>
            </w:r>
            <w:r>
              <w:rPr>
                <w:rFonts w:hint="eastAsia"/>
                <w:sz w:val="24"/>
                <w:szCs w:val="18"/>
              </w:rPr>
              <w:t>；</w:t>
            </w:r>
          </w:p>
          <w:p>
            <w:pPr>
              <w:rPr>
                <w:rFonts w:hint="eastAsia"/>
                <w:sz w:val="24"/>
                <w:szCs w:val="18"/>
                <w:lang w:val="en-US" w:eastAsia="zh-CN"/>
              </w:rPr>
            </w:pPr>
            <w:r>
              <w:rPr>
                <w:rFonts w:hint="eastAsia"/>
                <w:sz w:val="24"/>
                <w:szCs w:val="18"/>
                <w:lang w:val="en-US" w:eastAsia="zh-CN"/>
              </w:rPr>
              <w:t>3、</w:t>
            </w:r>
            <w:r>
              <w:rPr>
                <w:rFonts w:hint="eastAsia"/>
                <w:sz w:val="24"/>
                <w:szCs w:val="18"/>
                <w:lang w:eastAsia="zh-CN"/>
              </w:rPr>
              <w:t>供应商</w:t>
            </w:r>
            <w:r>
              <w:rPr>
                <w:rFonts w:hint="eastAsia"/>
                <w:sz w:val="24"/>
                <w:szCs w:val="18"/>
                <w:lang w:val="en-US" w:eastAsia="zh-CN"/>
              </w:rPr>
              <w:t>有完整的</w:t>
            </w:r>
            <w:r>
              <w:rPr>
                <w:rFonts w:hint="eastAsia"/>
                <w:sz w:val="24"/>
                <w:szCs w:val="18"/>
              </w:rPr>
              <w:t>开展技术培训保证措施得</w:t>
            </w:r>
            <w:r>
              <w:rPr>
                <w:rFonts w:hint="eastAsia"/>
                <w:sz w:val="24"/>
                <w:szCs w:val="18"/>
                <w:lang w:val="en-US" w:eastAsia="zh-CN"/>
              </w:rPr>
              <w:t>3</w:t>
            </w:r>
            <w:r>
              <w:rPr>
                <w:rFonts w:hint="eastAsia"/>
                <w:sz w:val="24"/>
                <w:szCs w:val="18"/>
              </w:rPr>
              <w:t>分</w:t>
            </w:r>
            <w:r>
              <w:rPr>
                <w:rFonts w:hint="eastAsia"/>
                <w:sz w:val="24"/>
                <w:szCs w:val="18"/>
                <w:lang w:eastAsia="zh-CN"/>
              </w:rPr>
              <w:t>，</w:t>
            </w:r>
            <w:r>
              <w:rPr>
                <w:rFonts w:hint="eastAsia"/>
                <w:sz w:val="24"/>
                <w:szCs w:val="18"/>
              </w:rPr>
              <w:t>技术培训保证措施</w:t>
            </w:r>
            <w:r>
              <w:rPr>
                <w:rFonts w:hint="eastAsia"/>
                <w:sz w:val="24"/>
                <w:szCs w:val="18"/>
                <w:lang w:val="en-US" w:eastAsia="zh-CN"/>
              </w:rPr>
              <w:t>较</w:t>
            </w:r>
            <w:r>
              <w:rPr>
                <w:rFonts w:hint="eastAsia"/>
                <w:sz w:val="24"/>
                <w:szCs w:val="18"/>
              </w:rPr>
              <w:t>差</w:t>
            </w:r>
            <w:r>
              <w:rPr>
                <w:rFonts w:hint="eastAsia"/>
                <w:sz w:val="24"/>
                <w:szCs w:val="18"/>
                <w:lang w:val="en-US" w:eastAsia="zh-CN"/>
              </w:rPr>
              <w:t>得1分；未提供不</w:t>
            </w:r>
            <w:r>
              <w:rPr>
                <w:rFonts w:hint="eastAsia"/>
                <w:sz w:val="24"/>
                <w:szCs w:val="18"/>
              </w:rPr>
              <w:t>得分</w:t>
            </w:r>
            <w:r>
              <w:rPr>
                <w:rFonts w:hint="eastAsia"/>
                <w:sz w:val="24"/>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599" w:type="dxa"/>
            <w:vMerge w:val="continue"/>
            <w:tcBorders>
              <w:left w:val="single" w:color="auto" w:sz="4" w:space="0"/>
              <w:right w:val="single" w:color="auto" w:sz="4" w:space="0"/>
            </w:tcBorders>
            <w:vAlign w:val="center"/>
          </w:tcPr>
          <w:p>
            <w:pPr>
              <w:widowControl/>
              <w:jc w:val="center"/>
              <w:rPr>
                <w:rFonts w:ascii="宋体" w:hAnsi="宋体" w:cs="宋体"/>
                <w:kern w:val="0"/>
                <w:sz w:val="24"/>
                <w:szCs w:val="24"/>
              </w:rPr>
            </w:pPr>
          </w:p>
        </w:tc>
        <w:tc>
          <w:tcPr>
            <w:tcW w:w="2270" w:type="dxa"/>
            <w:tcBorders>
              <w:left w:val="single" w:color="auto" w:sz="4" w:space="0"/>
              <w:right w:val="single" w:color="auto" w:sz="4" w:space="0"/>
            </w:tcBorders>
            <w:vAlign w:val="center"/>
          </w:tcPr>
          <w:p>
            <w:pPr>
              <w:pStyle w:val="62"/>
              <w:widowControl w:val="0"/>
              <w:spacing w:line="360" w:lineRule="exact"/>
              <w:jc w:val="left"/>
              <w:rPr>
                <w:rFonts w:hint="eastAsia" w:asciiTheme="minorEastAsia" w:hAnsiTheme="minorEastAsia" w:eastAsiaTheme="minorEastAsia"/>
                <w:color w:val="000000"/>
                <w:sz w:val="24"/>
                <w:szCs w:val="24"/>
              </w:rPr>
            </w:pPr>
            <w:r>
              <w:rPr>
                <w:rFonts w:hint="eastAsia" w:ascii="宋体" w:hAnsi="宋体" w:cs="仿宋_GB2312"/>
                <w:kern w:val="2"/>
              </w:rPr>
              <w:t>售后服务及后续跟踪保障措施（</w:t>
            </w:r>
            <w:r>
              <w:rPr>
                <w:rFonts w:hint="eastAsia" w:ascii="宋体" w:hAnsi="宋体" w:cs="仿宋_GB2312"/>
                <w:kern w:val="2"/>
                <w:lang w:val="en-US" w:eastAsia="zh-CN"/>
              </w:rPr>
              <w:t>6</w:t>
            </w:r>
            <w:r>
              <w:rPr>
                <w:rFonts w:hint="eastAsia" w:ascii="宋体" w:hAnsi="宋体" w:cs="仿宋_GB2312"/>
                <w:kern w:val="2"/>
              </w:rPr>
              <w:t>分）</w:t>
            </w:r>
          </w:p>
        </w:tc>
        <w:tc>
          <w:tcPr>
            <w:tcW w:w="6759" w:type="dxa"/>
            <w:tcBorders>
              <w:top w:val="single" w:color="auto" w:sz="4" w:space="0"/>
              <w:left w:val="single" w:color="auto" w:sz="4" w:space="0"/>
              <w:bottom w:val="single" w:color="auto" w:sz="4" w:space="0"/>
              <w:right w:val="single" w:color="auto" w:sz="4" w:space="0"/>
            </w:tcBorders>
            <w:vAlign w:val="center"/>
          </w:tcPr>
          <w:p>
            <w:pPr>
              <w:pStyle w:val="62"/>
              <w:numPr>
                <w:ilvl w:val="0"/>
                <w:numId w:val="5"/>
              </w:numPr>
              <w:spacing w:line="360" w:lineRule="exact"/>
              <w:rPr>
                <w:rFonts w:hint="eastAsia" w:ascii="宋体" w:hAnsi="宋体" w:cs="仿宋_GB2312"/>
                <w:kern w:val="2"/>
                <w:lang w:val="en-US" w:eastAsia="zh-CN"/>
              </w:rPr>
            </w:pPr>
            <w:r>
              <w:rPr>
                <w:rFonts w:hint="eastAsia" w:ascii="宋体" w:hAnsi="宋体" w:cs="仿宋_GB2312"/>
                <w:kern w:val="2"/>
              </w:rPr>
              <w:t>售后服务及后续跟踪保障措施编制内容详尽、全面</w:t>
            </w:r>
            <w:r>
              <w:rPr>
                <w:rFonts w:hint="eastAsia" w:ascii="宋体" w:hAnsi="宋体" w:cs="仿宋_GB2312"/>
                <w:kern w:val="2"/>
                <w:lang w:val="en-US" w:eastAsia="zh-CN"/>
              </w:rPr>
              <w:t>得3分；不详细全面得1分；未提供不得分；</w:t>
            </w:r>
          </w:p>
          <w:p>
            <w:pPr>
              <w:pStyle w:val="62"/>
              <w:numPr>
                <w:ilvl w:val="0"/>
                <w:numId w:val="5"/>
              </w:numPr>
              <w:spacing w:line="360" w:lineRule="exact"/>
              <w:rPr>
                <w:rFonts w:hint="default" w:ascii="宋体" w:hAnsi="宋体" w:cs="仿宋_GB2312" w:eastAsiaTheme="minorEastAsia"/>
                <w:kern w:val="2"/>
                <w:lang w:val="en-US" w:eastAsia="zh-CN"/>
              </w:rPr>
            </w:pPr>
            <w:r>
              <w:rPr>
                <w:rFonts w:hint="eastAsia" w:ascii="宋体" w:hAnsi="宋体" w:cs="仿宋_GB2312"/>
                <w:kern w:val="2"/>
              </w:rPr>
              <w:t>服务体系科学合理，服务质量保证措施针对性</w:t>
            </w:r>
            <w:r>
              <w:rPr>
                <w:rFonts w:hint="eastAsia" w:ascii="宋体" w:hAnsi="宋体" w:cs="仿宋_GB2312"/>
                <w:kern w:val="2"/>
                <w:lang w:eastAsia="zh-CN"/>
              </w:rPr>
              <w:t>、</w:t>
            </w:r>
            <w:r>
              <w:rPr>
                <w:rFonts w:hint="eastAsia" w:ascii="宋体" w:hAnsi="宋体" w:cs="仿宋_GB2312"/>
                <w:kern w:val="2"/>
              </w:rPr>
              <w:t>可操作性</w:t>
            </w:r>
            <w:r>
              <w:rPr>
                <w:rFonts w:hint="eastAsia" w:ascii="宋体" w:hAnsi="宋体" w:cs="仿宋_GB2312"/>
                <w:kern w:val="2"/>
                <w:lang w:val="en-US" w:eastAsia="zh-CN"/>
              </w:rPr>
              <w:t>较强</w:t>
            </w:r>
            <w:r>
              <w:rPr>
                <w:rFonts w:hint="eastAsia" w:ascii="宋体" w:hAnsi="宋体" w:cs="仿宋_GB2312"/>
                <w:kern w:val="2"/>
              </w:rPr>
              <w:t>得</w:t>
            </w:r>
            <w:r>
              <w:rPr>
                <w:rFonts w:hint="eastAsia" w:ascii="宋体" w:hAnsi="宋体" w:cs="仿宋_GB2312"/>
                <w:kern w:val="2"/>
                <w:lang w:val="en-US" w:eastAsia="zh-CN"/>
              </w:rPr>
              <w:t>3</w:t>
            </w:r>
            <w:r>
              <w:rPr>
                <w:rFonts w:hint="eastAsia" w:ascii="宋体" w:hAnsi="宋体" w:cs="仿宋_GB2312"/>
                <w:kern w:val="2"/>
              </w:rPr>
              <w:t>分；服务体系</w:t>
            </w:r>
            <w:r>
              <w:rPr>
                <w:rFonts w:hint="eastAsia" w:ascii="宋体" w:hAnsi="宋体" w:cs="仿宋_GB2312"/>
                <w:kern w:val="2"/>
                <w:lang w:val="en-US" w:eastAsia="zh-CN"/>
              </w:rPr>
              <w:t>不合理、质量保证措施较差得1分；未提供不得分；</w:t>
            </w:r>
          </w:p>
        </w:tc>
      </w:tr>
    </w:tbl>
    <w:p>
      <w:pPr>
        <w:pStyle w:val="3"/>
        <w:keepNext w:val="0"/>
        <w:keepLines w:val="0"/>
        <w:spacing w:line="360" w:lineRule="auto"/>
        <w:jc w:val="both"/>
        <w:rPr>
          <w:rFonts w:ascii="宋体" w:hAnsi="宋体"/>
          <w:sz w:val="24"/>
          <w:szCs w:val="24"/>
        </w:rPr>
      </w:pPr>
      <w:r>
        <w:rPr>
          <w:rFonts w:ascii="宋体" w:hAnsi="宋体"/>
          <w:sz w:val="24"/>
          <w:szCs w:val="24"/>
        </w:rPr>
        <w:br w:type="page"/>
      </w:r>
    </w:p>
    <w:p>
      <w:pPr>
        <w:pStyle w:val="3"/>
        <w:keepNext w:val="0"/>
        <w:keepLines w:val="0"/>
        <w:spacing w:line="360" w:lineRule="auto"/>
        <w:ind w:firstLine="2891" w:firstLineChars="1200"/>
        <w:jc w:val="both"/>
        <w:rPr>
          <w:rFonts w:ascii="宋体" w:hAnsi="宋体"/>
          <w:color w:val="000000"/>
          <w:sz w:val="24"/>
          <w:szCs w:val="24"/>
        </w:rPr>
      </w:pPr>
      <w:bookmarkStart w:id="22" w:name="_Toc497408597"/>
      <w:bookmarkStart w:id="23" w:name="_Toc497290561"/>
      <w:r>
        <w:rPr>
          <w:rFonts w:hint="eastAsia" w:ascii="宋体" w:hAnsi="宋体"/>
          <w:color w:val="000000"/>
          <w:sz w:val="24"/>
          <w:szCs w:val="24"/>
        </w:rPr>
        <w:t>第七章 响应文件格式与要求</w:t>
      </w:r>
      <w:bookmarkEnd w:id="22"/>
      <w:bookmarkEnd w:id="23"/>
    </w:p>
    <w:p>
      <w:pPr>
        <w:spacing w:line="360" w:lineRule="auto"/>
        <w:rPr>
          <w:sz w:val="24"/>
          <w:szCs w:val="24"/>
          <w:lang w:val="zh-CN"/>
        </w:rPr>
      </w:pPr>
    </w:p>
    <w:p>
      <w:pPr>
        <w:widowControl/>
        <w:jc w:val="left"/>
      </w:pPr>
      <w:r>
        <w:rPr>
          <w:rFonts w:ascii="宋体" w:hAnsi="宋体" w:cs="宋体"/>
          <w:kern w:val="0"/>
          <w:sz w:val="24"/>
          <w:szCs w:val="24"/>
          <w:lang w:bidi="ar"/>
        </w:rPr>
        <w:t>供应商提供响应文件应当按照以下格式及要求进行编制，具体要求见所附各格式及说明。</w:t>
      </w:r>
    </w:p>
    <w:p>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格式一：</w:t>
      </w:r>
    </w:p>
    <w:p>
      <w:pPr>
        <w:spacing w:line="360" w:lineRule="auto"/>
        <w:ind w:firstLine="3603" w:firstLineChars="1001"/>
        <w:rPr>
          <w:rFonts w:ascii="宋体" w:hAnsi="宋体" w:cs="楷体_GB2312"/>
          <w:sz w:val="36"/>
          <w:szCs w:val="36"/>
        </w:rPr>
      </w:pPr>
      <w:r>
        <w:rPr>
          <w:rFonts w:hint="eastAsia" w:ascii="宋体" w:hAnsi="宋体" w:cs="楷体_GB2312"/>
          <w:sz w:val="36"/>
          <w:szCs w:val="36"/>
        </w:rPr>
        <w:t>响应文件封面</w:t>
      </w:r>
    </w:p>
    <w:p>
      <w:pPr>
        <w:spacing w:line="360" w:lineRule="auto"/>
        <w:ind w:firstLine="3603" w:firstLineChars="1001"/>
        <w:rPr>
          <w:rFonts w:ascii="宋体" w:hAnsi="宋体" w:cs="楷体_GB2312"/>
          <w:sz w:val="36"/>
          <w:szCs w:val="36"/>
        </w:rPr>
      </w:pPr>
    </w:p>
    <w:p>
      <w:pPr>
        <w:spacing w:line="360" w:lineRule="auto"/>
        <w:ind w:firstLine="3137" w:firstLineChars="601"/>
        <w:rPr>
          <w:rFonts w:ascii="宋体" w:hAnsi="宋体"/>
          <w:b/>
          <w:bCs/>
          <w:kern w:val="0"/>
          <w:sz w:val="52"/>
          <w:szCs w:val="52"/>
        </w:rPr>
      </w:pPr>
      <w:r>
        <w:rPr>
          <w:rFonts w:hint="eastAsia" w:ascii="宋体" w:hAnsi="宋体" w:cs="宋体"/>
          <w:b/>
          <w:bCs/>
          <w:kern w:val="0"/>
          <w:sz w:val="52"/>
          <w:szCs w:val="52"/>
        </w:rPr>
        <w:t>（项目名称）</w:t>
      </w:r>
    </w:p>
    <w:p>
      <w:pPr>
        <w:spacing w:line="360" w:lineRule="auto"/>
        <w:ind w:firstLine="3659" w:firstLineChars="701"/>
        <w:rPr>
          <w:rFonts w:ascii="宋体" w:hAnsi="宋体"/>
          <w:b/>
          <w:bCs/>
          <w:kern w:val="0"/>
          <w:sz w:val="52"/>
          <w:szCs w:val="52"/>
        </w:rPr>
      </w:pPr>
      <w:r>
        <w:rPr>
          <w:rFonts w:hint="eastAsia" w:ascii="宋体" w:hAnsi="宋体" w:cs="宋体"/>
          <w:b/>
          <w:bCs/>
          <w:kern w:val="0"/>
          <w:sz w:val="52"/>
          <w:szCs w:val="52"/>
        </w:rPr>
        <w:t>响应文件</w:t>
      </w:r>
    </w:p>
    <w:p>
      <w:pPr>
        <w:spacing w:line="360" w:lineRule="auto"/>
        <w:ind w:firstLine="3600" w:firstLineChars="1000"/>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pPr>
        <w:spacing w:line="360" w:lineRule="auto"/>
        <w:ind w:firstLine="484" w:firstLineChars="201"/>
        <w:jc w:val="center"/>
        <w:rPr>
          <w:rFonts w:ascii="楷体_GB2312" w:hAnsi="宋体" w:eastAsia="楷体_GB2312"/>
          <w:b/>
          <w:bCs/>
          <w:kern w:val="0"/>
          <w:sz w:val="24"/>
          <w:szCs w:val="24"/>
        </w:rPr>
      </w:pPr>
    </w:p>
    <w:p>
      <w:pPr>
        <w:spacing w:line="360" w:lineRule="auto"/>
        <w:ind w:firstLine="482" w:firstLineChars="201"/>
        <w:jc w:val="left"/>
        <w:rPr>
          <w:rFonts w:ascii="宋体" w:hAnsi="宋体" w:cs="宋体"/>
          <w:sz w:val="24"/>
          <w:szCs w:val="24"/>
        </w:rPr>
      </w:pPr>
    </w:p>
    <w:p>
      <w:pPr>
        <w:spacing w:line="360" w:lineRule="auto"/>
        <w:ind w:firstLine="482" w:firstLineChars="201"/>
        <w:rPr>
          <w:rFonts w:ascii="宋体" w:hAnsi="宋体" w:cs="宋体"/>
          <w:sz w:val="24"/>
          <w:szCs w:val="24"/>
        </w:rPr>
      </w:pPr>
      <w:r>
        <w:rPr>
          <w:rFonts w:hint="eastAsia" w:ascii="宋体" w:hAnsi="宋体" w:cs="宋体"/>
          <w:sz w:val="24"/>
          <w:szCs w:val="24"/>
        </w:rPr>
        <w:t>项目编号：</w:t>
      </w:r>
    </w:p>
    <w:p>
      <w:pPr>
        <w:spacing w:line="360" w:lineRule="auto"/>
        <w:ind w:firstLine="482" w:firstLineChars="201"/>
        <w:rPr>
          <w:rFonts w:ascii="宋体" w:hAnsi="宋体" w:cs="宋体"/>
          <w:sz w:val="24"/>
          <w:szCs w:val="24"/>
        </w:rPr>
      </w:pPr>
      <w:r>
        <w:rPr>
          <w:rFonts w:hint="eastAsia" w:ascii="宋体" w:hAnsi="宋体" w:cs="宋体"/>
          <w:sz w:val="24"/>
          <w:szCs w:val="24"/>
        </w:rPr>
        <w:t>包</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 xml:space="preserve">    </w:t>
      </w:r>
      <w:r>
        <w:rPr>
          <w:rFonts w:hint="eastAsia" w:ascii="宋体" w:hAnsi="宋体" w:cs="宋体"/>
          <w:sz w:val="24"/>
          <w:szCs w:val="24"/>
        </w:rPr>
        <w:t>包（若项目分包时使用）</w:t>
      </w:r>
    </w:p>
    <w:p>
      <w:pPr>
        <w:spacing w:line="360" w:lineRule="auto"/>
        <w:ind w:firstLine="482" w:firstLineChars="201"/>
        <w:jc w:val="center"/>
        <w:rPr>
          <w:rFonts w:ascii="宋体" w:hAnsi="宋体" w:cs="宋体"/>
          <w:sz w:val="24"/>
          <w:szCs w:val="24"/>
        </w:rPr>
      </w:pPr>
    </w:p>
    <w:p>
      <w:pPr>
        <w:spacing w:line="360" w:lineRule="auto"/>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（供应商名称）</w:t>
      </w:r>
    </w:p>
    <w:p>
      <w:pPr>
        <w:spacing w:line="360" w:lineRule="auto"/>
        <w:ind w:firstLine="482" w:firstLineChars="201"/>
        <w:jc w:val="center"/>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bookmarkStart w:id="24" w:name="_Toc482026546"/>
    </w:p>
    <w:bookmarkEnd w:id="24"/>
    <w:p>
      <w:pPr>
        <w:spacing w:line="360" w:lineRule="auto"/>
        <w:rPr>
          <w:rFonts w:ascii="宋体" w:hAnsi="宋体" w:cs="宋体"/>
          <w:sz w:val="24"/>
          <w:szCs w:val="24"/>
        </w:rPr>
      </w:pPr>
      <w:bookmarkStart w:id="25" w:name="_Toc482196940"/>
      <w:r>
        <w:rPr>
          <w:rFonts w:ascii="宋体" w:hAnsi="宋体" w:cs="宋体"/>
          <w:sz w:val="24"/>
          <w:szCs w:val="24"/>
        </w:rPr>
        <w:br w:type="page"/>
      </w:r>
    </w:p>
    <w:bookmarkEnd w:id="25"/>
    <w:p>
      <w:pPr>
        <w:spacing w:line="360" w:lineRule="auto"/>
        <w:rPr>
          <w:rFonts w:ascii="宋体" w:hAnsi="宋体" w:cs="宋体"/>
          <w:sz w:val="24"/>
          <w:szCs w:val="24"/>
        </w:rPr>
      </w:pPr>
      <w:r>
        <w:rPr>
          <w:rFonts w:hint="eastAsia" w:ascii="宋体" w:hAnsi="宋体" w:cs="楷体_GB2312"/>
          <w:sz w:val="24"/>
          <w:szCs w:val="24"/>
        </w:rPr>
        <w:t xml:space="preserve">格式二：      </w:t>
      </w:r>
      <w:r>
        <w:rPr>
          <w:rFonts w:hint="eastAsia" w:ascii="宋体" w:hAnsi="宋体" w:cs="宋体"/>
          <w:sz w:val="24"/>
          <w:szCs w:val="24"/>
        </w:rPr>
        <w:t xml:space="preserve">           </w:t>
      </w:r>
    </w:p>
    <w:p>
      <w:pPr>
        <w:spacing w:line="360" w:lineRule="auto"/>
        <w:jc w:val="center"/>
        <w:rPr>
          <w:rFonts w:ascii="宋体" w:hAnsi="宋体" w:cs="宋体"/>
          <w:sz w:val="24"/>
          <w:szCs w:val="24"/>
        </w:rPr>
      </w:pPr>
      <w:r>
        <w:rPr>
          <w:rFonts w:hint="eastAsia" w:ascii="宋体" w:hAnsi="宋体" w:cs="宋体"/>
          <w:sz w:val="24"/>
          <w:szCs w:val="24"/>
        </w:rPr>
        <w:t>响应文件目录</w:t>
      </w:r>
    </w:p>
    <w:p>
      <w:pPr>
        <w:spacing w:line="360" w:lineRule="auto"/>
        <w:rPr>
          <w:rFonts w:ascii="宋体" w:hAnsi="宋体" w:cs="宋体"/>
          <w:sz w:val="24"/>
          <w:szCs w:val="24"/>
        </w:rPr>
      </w:pPr>
      <w:r>
        <w:rPr>
          <w:rFonts w:hint="eastAsia" w:ascii="宋体" w:hAnsi="宋体" w:cs="宋体"/>
          <w:sz w:val="24"/>
          <w:szCs w:val="24"/>
        </w:rPr>
        <w:t xml:space="preserve">一. </w:t>
      </w:r>
      <w:r>
        <w:rPr>
          <w:rFonts w:hint="eastAsia" w:ascii="宋体" w:hAnsi="宋体"/>
          <w:bCs/>
          <w:sz w:val="24"/>
          <w:szCs w:val="24"/>
          <w:lang w:eastAsia="zh-CN"/>
        </w:rPr>
        <w:t>政府采购诚信</w:t>
      </w:r>
      <w:r>
        <w:rPr>
          <w:rFonts w:hint="eastAsia" w:ascii="宋体" w:hAnsi="宋体"/>
          <w:bCs/>
          <w:sz w:val="24"/>
          <w:szCs w:val="24"/>
        </w:rPr>
        <w:t>投标承诺书</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二. 开标一览表……………………………………………………………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三. 法定代表人身份证明……………………………………………………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四.</w:t>
      </w:r>
      <w:r>
        <w:rPr>
          <w:rFonts w:asciiTheme="minorEastAsia" w:hAnsiTheme="minorEastAsia" w:eastAsiaTheme="minorEastAsia"/>
          <w:sz w:val="24"/>
          <w:szCs w:val="24"/>
        </w:rPr>
        <w:t>授权委托人身份证明</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五.</w:t>
      </w:r>
      <w:r>
        <w:rPr>
          <w:rFonts w:asciiTheme="minorEastAsia" w:hAnsiTheme="minorEastAsia" w:eastAsiaTheme="minorEastAsia"/>
          <w:sz w:val="24"/>
          <w:szCs w:val="24"/>
        </w:rPr>
        <w:t>授权委托书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Theme="minorEastAsia" w:hAnsiTheme="minorEastAsia" w:eastAsiaTheme="minorEastAsia"/>
          <w:bCs/>
          <w:sz w:val="24"/>
          <w:szCs w:val="24"/>
        </w:rPr>
      </w:pPr>
      <w:r>
        <w:rPr>
          <w:rFonts w:hint="eastAsia" w:ascii="宋体" w:hAnsi="宋体"/>
          <w:color w:val="000000"/>
          <w:sz w:val="24"/>
          <w:szCs w:val="24"/>
        </w:rPr>
        <w:t>六.</w:t>
      </w:r>
      <w:r>
        <w:rPr>
          <w:rFonts w:asciiTheme="minorEastAsia" w:hAnsiTheme="minorEastAsia" w:eastAsiaTheme="minorEastAsia"/>
          <w:bCs/>
          <w:sz w:val="24"/>
          <w:szCs w:val="24"/>
        </w:rPr>
        <w:t>投标保证金</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w:t>
      </w:r>
    </w:p>
    <w:p>
      <w:pPr>
        <w:spacing w:line="360" w:lineRule="auto"/>
        <w:rPr>
          <w:rFonts w:ascii="宋体" w:hAnsi="宋体"/>
          <w:sz w:val="24"/>
          <w:szCs w:val="24"/>
        </w:rPr>
      </w:pPr>
      <w:r>
        <w:rPr>
          <w:rFonts w:hint="eastAsia" w:ascii="宋体" w:hAnsi="宋体"/>
          <w:color w:val="000000"/>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w:t>
      </w:r>
    </w:p>
    <w:p>
      <w:pPr>
        <w:spacing w:line="360" w:lineRule="auto"/>
        <w:rPr>
          <w:rFonts w:ascii="宋体" w:hAnsi="宋体" w:cs="宋体"/>
          <w:sz w:val="24"/>
          <w:szCs w:val="24"/>
        </w:rPr>
      </w:pPr>
      <w:r>
        <w:rPr>
          <w:rFonts w:hint="eastAsia" w:ascii="宋体" w:hAnsi="宋体" w:cs="宋体"/>
          <w:sz w:val="24"/>
          <w:szCs w:val="24"/>
        </w:rPr>
        <w:t>八. 投标货物分项报价明细表………………………………………</w:t>
      </w:r>
      <w:r>
        <w:rPr>
          <w:rFonts w:ascii="宋体" w:hAnsi="宋体" w:cs="宋体"/>
          <w:sz w:val="24"/>
          <w:szCs w:val="24"/>
        </w:rPr>
        <w:t>…</w:t>
      </w:r>
      <w:r>
        <w:rPr>
          <w:rFonts w:hint="eastAsia"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九. 投标货物情况介绍表</w:t>
      </w:r>
      <w:r>
        <w:rPr>
          <w:rFonts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十. 技术规格响应表………………………………………………</w:t>
      </w:r>
      <w:r>
        <w:rPr>
          <w:rFonts w:ascii="宋体" w:hAnsi="宋体" w:cs="宋体"/>
          <w:sz w:val="24"/>
          <w:szCs w:val="24"/>
        </w:rPr>
        <w:t>……</w:t>
      </w:r>
      <w:r>
        <w:rPr>
          <w:rFonts w:hint="eastAsia"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spacing w:line="360" w:lineRule="auto"/>
        <w:rPr>
          <w:rFonts w:ascii="宋体" w:hAnsi="宋体" w:cs="宋体"/>
          <w:sz w:val="24"/>
          <w:szCs w:val="24"/>
        </w:rPr>
      </w:pPr>
      <w:r>
        <w:rPr>
          <w:rFonts w:hint="eastAsia" w:ascii="宋体" w:hAnsi="宋体" w:cs="宋体"/>
          <w:sz w:val="24"/>
          <w:szCs w:val="24"/>
        </w:rPr>
        <w:t>十一. 售后服务承诺及方案  …………………………………………</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十二. 商务规格响应表…………………………………………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十三. 供应商业绩情况表…………………</w:t>
      </w:r>
      <w:r>
        <w:rPr>
          <w:rFonts w:ascii="宋体" w:hAnsi="宋体" w:cs="宋体"/>
          <w:sz w:val="24"/>
          <w:szCs w:val="24"/>
        </w:rPr>
        <w:t>……………………………</w:t>
      </w:r>
      <w:r>
        <w:rPr>
          <w:rFonts w:hint="eastAsia" w:ascii="宋体" w:hAnsi="宋体" w:cs="宋体"/>
          <w:sz w:val="24"/>
          <w:szCs w:val="24"/>
        </w:rPr>
        <w:t>…</w:t>
      </w:r>
      <w:r>
        <w:rPr>
          <w:rFonts w:ascii="宋体" w:hAnsi="宋体"/>
          <w:color w:val="000000"/>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十四. 供应商基本情况表……………………………………………</w:t>
      </w:r>
      <w:r>
        <w:rPr>
          <w:rFonts w:ascii="宋体" w:hAnsi="宋体" w:cs="宋体"/>
          <w:sz w:val="24"/>
          <w:szCs w:val="24"/>
        </w:rPr>
        <w:t>………</w:t>
      </w:r>
      <w:r>
        <w:rPr>
          <w:rFonts w:hint="eastAsia" w:ascii="宋体" w:hAnsi="宋体" w:cs="宋体"/>
          <w:sz w:val="24"/>
          <w:szCs w:val="24"/>
        </w:rPr>
        <w:t xml:space="preserve"> （ ）</w:t>
      </w:r>
    </w:p>
    <w:p>
      <w:pPr>
        <w:spacing w:line="360" w:lineRule="auto"/>
        <w:rPr>
          <w:rFonts w:ascii="宋体" w:hAnsi="宋体" w:cs="宋体"/>
          <w:sz w:val="24"/>
          <w:szCs w:val="24"/>
        </w:rPr>
      </w:pPr>
      <w:r>
        <w:rPr>
          <w:rFonts w:hint="eastAsia" w:ascii="宋体" w:hAnsi="宋体" w:cs="宋体"/>
          <w:sz w:val="24"/>
          <w:szCs w:val="24"/>
        </w:rPr>
        <w:t xml:space="preserve">十五. </w:t>
      </w:r>
      <w:r>
        <w:rPr>
          <w:rFonts w:hint="eastAsia" w:ascii="宋体" w:hAnsi="宋体"/>
          <w:sz w:val="24"/>
          <w:szCs w:val="24"/>
        </w:rPr>
        <w:t>商业信誉报告</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 xml:space="preserve">  （ ）</w:t>
      </w:r>
    </w:p>
    <w:p>
      <w:pPr>
        <w:autoSpaceDE w:val="0"/>
        <w:autoSpaceDN w:val="0"/>
        <w:spacing w:line="360" w:lineRule="auto"/>
        <w:rPr>
          <w:rFonts w:ascii="宋体" w:hAnsi="宋体" w:cs="宋体"/>
          <w:sz w:val="24"/>
          <w:szCs w:val="24"/>
        </w:rPr>
      </w:pPr>
      <w:r>
        <w:rPr>
          <w:rFonts w:hint="eastAsia" w:ascii="宋体" w:hAnsi="宋体" w:cs="宋体"/>
          <w:sz w:val="24"/>
          <w:szCs w:val="24"/>
        </w:rPr>
        <w:t>十六. 缴纳增值税、营业税或企业所得税的凭据</w:t>
      </w:r>
      <w:r>
        <w:rPr>
          <w:rFonts w:ascii="宋体" w:hAnsi="宋体" w:cs="宋体"/>
          <w:sz w:val="24"/>
          <w:szCs w:val="24"/>
        </w:rPr>
        <w:t>………………………</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autoSpaceDE w:val="0"/>
        <w:autoSpaceDN w:val="0"/>
        <w:spacing w:line="360" w:lineRule="auto"/>
        <w:rPr>
          <w:rFonts w:ascii="宋体" w:hAnsi="宋体" w:cs="宋体"/>
          <w:sz w:val="24"/>
          <w:szCs w:val="24"/>
        </w:rPr>
      </w:pPr>
      <w:r>
        <w:rPr>
          <w:rFonts w:hint="eastAsia" w:ascii="宋体" w:hAnsi="宋体" w:cs="宋体"/>
          <w:sz w:val="24"/>
          <w:szCs w:val="24"/>
        </w:rPr>
        <w:t>十七. 缴纳社会保险的凭据………………………………………………</w:t>
      </w:r>
      <w:r>
        <w:rPr>
          <w:rFonts w:ascii="宋体" w:hAnsi="宋体"/>
          <w:color w:val="000000"/>
          <w:sz w:val="24"/>
          <w:szCs w:val="24"/>
        </w:rPr>
        <w:t>…</w:t>
      </w:r>
      <w:r>
        <w:rPr>
          <w:rFonts w:hint="eastAsia" w:ascii="宋体" w:hAnsi="宋体"/>
          <w:color w:val="000000"/>
          <w:sz w:val="24"/>
          <w:szCs w:val="24"/>
        </w:rPr>
        <w:t xml:space="preserve"> </w:t>
      </w:r>
      <w:r>
        <w:rPr>
          <w:rFonts w:hint="eastAsia" w:ascii="宋体" w:hAnsi="宋体" w:cs="宋体"/>
          <w:sz w:val="24"/>
          <w:szCs w:val="24"/>
        </w:rPr>
        <w:t>（ ）</w:t>
      </w:r>
    </w:p>
    <w:p>
      <w:pPr>
        <w:autoSpaceDE w:val="0"/>
        <w:autoSpaceDN w:val="0"/>
        <w:spacing w:line="360" w:lineRule="auto"/>
        <w:jc w:val="left"/>
        <w:rPr>
          <w:rFonts w:ascii="宋体" w:hAnsi="宋体" w:cs="宋体"/>
          <w:sz w:val="24"/>
          <w:szCs w:val="24"/>
        </w:rPr>
      </w:pPr>
      <w:r>
        <w:rPr>
          <w:rFonts w:hint="eastAsia" w:ascii="宋体" w:hAnsi="宋体" w:cs="宋体"/>
          <w:sz w:val="24"/>
          <w:szCs w:val="24"/>
        </w:rPr>
        <w:t>十八.参加政府采购前三年内在经营活动中无重大违法记录书面声明</w:t>
      </w:r>
      <w:r>
        <w:rPr>
          <w:rFonts w:ascii="宋体" w:hAnsi="宋体" w:cs="宋体"/>
          <w:sz w:val="24"/>
          <w:szCs w:val="24"/>
        </w:rPr>
        <w:t>…</w:t>
      </w:r>
      <w:r>
        <w:rPr>
          <w:rFonts w:ascii="宋体" w:hAnsi="宋体"/>
          <w:color w:val="000000"/>
          <w:sz w:val="24"/>
          <w:szCs w:val="24"/>
        </w:rPr>
        <w:t>…</w:t>
      </w:r>
      <w:r>
        <w:rPr>
          <w:rFonts w:hint="eastAsia" w:ascii="宋体" w:hAnsi="宋体" w:cs="宋体"/>
          <w:sz w:val="24"/>
          <w:szCs w:val="24"/>
        </w:rPr>
        <w:t>（ ）</w:t>
      </w:r>
    </w:p>
    <w:p>
      <w:pPr>
        <w:spacing w:line="360" w:lineRule="auto"/>
        <w:rPr>
          <w:rFonts w:ascii="宋体" w:hAnsi="宋体"/>
          <w:bCs/>
          <w:sz w:val="24"/>
          <w:szCs w:val="24"/>
        </w:rPr>
      </w:pPr>
      <w:r>
        <w:rPr>
          <w:rFonts w:hint="eastAsia" w:ascii="宋体" w:hAnsi="宋体" w:cs="宋体"/>
          <w:sz w:val="24"/>
          <w:szCs w:val="24"/>
        </w:rPr>
        <w:t>十九.</w:t>
      </w:r>
      <w:r>
        <w:rPr>
          <w:rFonts w:hint="eastAsia" w:ascii="宋体" w:hAnsi="宋体"/>
          <w:color w:val="000000"/>
          <w:sz w:val="24"/>
          <w:szCs w:val="24"/>
        </w:rPr>
        <w:t>政府采购政策情况表</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二十.中小企业声明函</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二十一.残疾人福利性单位声明函</w:t>
      </w:r>
      <w:r>
        <w:rPr>
          <w:rFonts w:ascii="宋体" w:hAnsi="宋体"/>
          <w:color w:val="000000"/>
          <w:sz w:val="24"/>
          <w:szCs w:val="24"/>
        </w:rPr>
        <w:t>………………………………………………</w:t>
      </w:r>
      <w:r>
        <w:rPr>
          <w:rFonts w:hint="eastAsia" w:ascii="宋体" w:hAnsi="宋体"/>
          <w:color w:val="000000"/>
          <w:sz w:val="24"/>
          <w:szCs w:val="24"/>
        </w:rPr>
        <w:t>（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二十二.</w:t>
      </w:r>
      <w:r>
        <w:rPr>
          <w:rFonts w:hint="eastAsia" w:ascii="宋体" w:hAnsi="宋体" w:cs="宋体"/>
          <w:sz w:val="24"/>
          <w:szCs w:val="24"/>
        </w:rPr>
        <w:t>各类证明材料……………</w:t>
      </w:r>
      <w:r>
        <w:rPr>
          <w:rFonts w:ascii="宋体" w:hAnsi="宋体"/>
          <w:color w:val="000000"/>
          <w:sz w:val="24"/>
          <w:szCs w:val="24"/>
        </w:rPr>
        <w:t>…………………………………………</w:t>
      </w:r>
      <w:r>
        <w:rPr>
          <w:rFonts w:hint="eastAsia" w:ascii="宋体" w:hAnsi="宋体"/>
          <w:color w:val="000000"/>
          <w:sz w:val="24"/>
          <w:szCs w:val="24"/>
        </w:rPr>
        <w:t>（ ）</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keepNext w:val="0"/>
        <w:keepLines w:val="0"/>
        <w:pageBreakBefore w:val="0"/>
        <w:widowControl w:val="0"/>
        <w:kinsoku/>
        <w:wordWrap/>
        <w:overflowPunct/>
        <w:topLinePunct w:val="0"/>
        <w:bidi w:val="0"/>
        <w:spacing w:line="400" w:lineRule="exact"/>
        <w:jc w:val="center"/>
        <w:textAlignment w:val="auto"/>
        <w:rPr>
          <w:rFonts w:hint="eastAsia" w:ascii="宋体" w:hAnsi="宋体"/>
          <w:bCs/>
          <w:sz w:val="24"/>
          <w:szCs w:val="24"/>
          <w:lang w:eastAsia="zh-CN"/>
        </w:rPr>
      </w:pPr>
    </w:p>
    <w:p>
      <w:pPr>
        <w:keepNext w:val="0"/>
        <w:keepLines w:val="0"/>
        <w:pageBreakBefore w:val="0"/>
        <w:widowControl w:val="0"/>
        <w:kinsoku/>
        <w:wordWrap/>
        <w:overflowPunct/>
        <w:topLinePunct w:val="0"/>
        <w:bidi w:val="0"/>
        <w:spacing w:line="400" w:lineRule="exact"/>
        <w:jc w:val="center"/>
        <w:textAlignment w:val="auto"/>
        <w:rPr>
          <w:rFonts w:ascii="宋体" w:hAnsi="宋体"/>
          <w:bCs/>
          <w:sz w:val="24"/>
          <w:szCs w:val="24"/>
        </w:rPr>
      </w:pPr>
      <w:r>
        <w:rPr>
          <w:rFonts w:hint="eastAsia" w:ascii="宋体" w:hAnsi="宋体"/>
          <w:bCs/>
          <w:sz w:val="24"/>
          <w:szCs w:val="24"/>
          <w:lang w:eastAsia="zh-CN"/>
        </w:rPr>
        <w:t>一、政府采购诚信</w:t>
      </w:r>
      <w:r>
        <w:rPr>
          <w:rFonts w:hint="eastAsia" w:ascii="宋体" w:hAnsi="宋体"/>
          <w:bCs/>
          <w:sz w:val="24"/>
          <w:szCs w:val="24"/>
        </w:rPr>
        <w:t>投标承诺书</w:t>
      </w:r>
    </w:p>
    <w:p>
      <w:pPr>
        <w:keepNext w:val="0"/>
        <w:keepLines w:val="0"/>
        <w:pageBreakBefore w:val="0"/>
        <w:widowControl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lang w:eastAsia="zh-CN"/>
        </w:rPr>
        <w:t>鄂托克前旗财政局、</w:t>
      </w:r>
      <w:r>
        <w:rPr>
          <w:rFonts w:hint="eastAsia" w:ascii="宋体" w:hAnsi="宋体"/>
          <w:sz w:val="24"/>
          <w:szCs w:val="24"/>
          <w:lang w:val="en-US" w:eastAsia="zh-CN"/>
        </w:rPr>
        <w:t xml:space="preserve"> </w:t>
      </w:r>
      <w:r>
        <w:rPr>
          <w:rFonts w:hint="eastAsia" w:ascii="宋体" w:hAnsi="宋体"/>
          <w:sz w:val="24"/>
          <w:szCs w:val="24"/>
          <w:u w:val="single"/>
        </w:rPr>
        <w:t>（采购人名称）</w:t>
      </w:r>
      <w:r>
        <w:rPr>
          <w:rFonts w:hint="eastAsia" w:ascii="宋体" w:hAnsi="宋体"/>
          <w:sz w:val="24"/>
          <w:szCs w:val="24"/>
          <w:u w:val="single"/>
          <w:lang w:val="en-US" w:eastAsia="zh-CN"/>
        </w:rPr>
        <w:t xml:space="preserve"> 、</w:t>
      </w:r>
      <w:r>
        <w:rPr>
          <w:rFonts w:hint="eastAsia" w:ascii="宋体" w:hAnsi="宋体"/>
          <w:sz w:val="24"/>
          <w:szCs w:val="24"/>
          <w:lang w:eastAsia="zh-CN"/>
        </w:rPr>
        <w:t>鄂尔多斯市鄂托克前旗公共资源交易中心</w:t>
      </w:r>
      <w:r>
        <w:rPr>
          <w:rFonts w:hint="eastAsia" w:ascii="宋体" w:hAnsi="宋体"/>
          <w:sz w:val="24"/>
          <w:szCs w:val="24"/>
        </w:rPr>
        <w:t xml:space="preserve">： </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磋商</w:t>
      </w:r>
      <w:r>
        <w:rPr>
          <w:rFonts w:hint="eastAsia" w:ascii="宋体" w:hAnsi="宋体"/>
          <w:sz w:val="24"/>
          <w:szCs w:val="24"/>
        </w:rPr>
        <w:t>文件要求，经我方</w:t>
      </w:r>
      <w:r>
        <w:rPr>
          <w:rFonts w:hint="eastAsia" w:ascii="宋体" w:hAnsi="宋体"/>
          <w:color w:val="000000"/>
          <w:sz w:val="24"/>
          <w:szCs w:val="24"/>
          <w:u w:val="single"/>
        </w:rPr>
        <w:t xml:space="preserve">  （</w:t>
      </w:r>
      <w:r>
        <w:rPr>
          <w:rFonts w:hint="eastAsia" w:ascii="宋体" w:hAnsi="宋体"/>
          <w:color w:val="auto"/>
          <w:sz w:val="24"/>
          <w:szCs w:val="24"/>
          <w:u w:val="single"/>
        </w:rPr>
        <w:t>供应商</w:t>
      </w:r>
      <w:r>
        <w:rPr>
          <w:rFonts w:hint="eastAsia" w:ascii="宋体" w:hAnsi="宋体"/>
          <w:color w:val="000000"/>
          <w:sz w:val="24"/>
          <w:szCs w:val="24"/>
          <w:u w:val="single"/>
        </w:rPr>
        <w:t xml:space="preserve">名称）  </w:t>
      </w:r>
      <w:r>
        <w:rPr>
          <w:rFonts w:hint="eastAsia" w:ascii="宋体" w:hAnsi="宋体"/>
          <w:sz w:val="24"/>
          <w:szCs w:val="24"/>
        </w:rPr>
        <w:t>认真研究投标须知、合同条款、技术规范、资质要求和其它有关要求后，我方愿按上述合同条款、技术规范、资质要求进行投标。我方完全接受本次</w:t>
      </w:r>
      <w:r>
        <w:rPr>
          <w:rFonts w:hint="eastAsia" w:ascii="宋体" w:hAnsi="宋体"/>
          <w:sz w:val="24"/>
          <w:szCs w:val="24"/>
          <w:lang w:eastAsia="zh-CN"/>
        </w:rPr>
        <w:t>磋商</w:t>
      </w:r>
      <w:r>
        <w:rPr>
          <w:rFonts w:hint="eastAsia" w:ascii="宋体" w:hAnsi="宋体"/>
          <w:sz w:val="24"/>
          <w:szCs w:val="24"/>
        </w:rPr>
        <w:t>文件规定的所有要求，并承诺在中标后执行</w:t>
      </w:r>
      <w:r>
        <w:rPr>
          <w:rFonts w:hint="eastAsia" w:ascii="宋体" w:hAnsi="宋体"/>
          <w:sz w:val="24"/>
          <w:szCs w:val="24"/>
          <w:lang w:eastAsia="zh-CN"/>
        </w:rPr>
        <w:t>磋商</w:t>
      </w:r>
      <w:r>
        <w:rPr>
          <w:rFonts w:hint="eastAsia" w:ascii="宋体" w:hAnsi="宋体"/>
          <w:sz w:val="24"/>
          <w:szCs w:val="24"/>
        </w:rPr>
        <w:t>文件、响应文件和合同的全部要求，并履行我方的全部义务。我方的最终报价为总承包价，保证不以任何理由增加报价。如有缺项、漏项部分，均由我方无条件负责补齐。</w:t>
      </w:r>
    </w:p>
    <w:p>
      <w:pPr>
        <w:keepNext w:val="0"/>
        <w:keepLines w:val="0"/>
        <w:pageBreakBefore w:val="0"/>
        <w:widowControl w:val="0"/>
        <w:kinsoku/>
        <w:wordWrap/>
        <w:overflowPunct/>
        <w:topLinePunct w:val="0"/>
        <w:bidi w:val="0"/>
        <w:spacing w:line="400" w:lineRule="exact"/>
        <w:ind w:firstLine="57"/>
        <w:textAlignment w:val="auto"/>
        <w:rPr>
          <w:rFonts w:ascii="宋体" w:hAnsi="宋体"/>
          <w:sz w:val="24"/>
          <w:szCs w:val="24"/>
        </w:rPr>
      </w:pPr>
      <w:r>
        <w:rPr>
          <w:rFonts w:hint="eastAsia" w:ascii="宋体" w:hAnsi="宋体"/>
          <w:sz w:val="24"/>
          <w:szCs w:val="24"/>
        </w:rPr>
        <w:t xml:space="preserve">    2. 我方同意所递交的响应文件在“投标须知”规定的投标有效期内有效，在此期间内我方的投标如能中标，我方将受此约束。</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3. 我方郑重声明：所提供的响应文件内容全部真实有效。如经查实承诺的内容事项存在虚假，我公司愿意接受提供虚假材料谋取中标追究法律责任。</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可能另外要求的与其投标有关的任何数据或资料。除非另外达成协议并生效，否则，中标通知书和本响应文件将构成约束双方合同的组成部分。</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w:t>
      </w:r>
      <w:r>
        <w:rPr>
          <w:rFonts w:hint="eastAsia" w:ascii="宋体" w:hAnsi="宋体"/>
          <w:kern w:val="0"/>
          <w:sz w:val="24"/>
          <w:szCs w:val="24"/>
          <w:lang w:eastAsia="zh-CN"/>
        </w:rPr>
        <w:t>记入诚信档案、媒体通报，</w:t>
      </w:r>
      <w:r>
        <w:rPr>
          <w:rFonts w:hint="eastAsia" w:ascii="宋体" w:hAnsi="宋体"/>
          <w:kern w:val="0"/>
          <w:sz w:val="24"/>
          <w:szCs w:val="24"/>
          <w:lang w:val="en-US" w:eastAsia="zh-CN"/>
        </w:rPr>
        <w:t>2年内不参加地区政府采购活动，并</w:t>
      </w:r>
      <w:r>
        <w:rPr>
          <w:rFonts w:hint="eastAsia" w:ascii="宋体" w:hAnsi="宋体"/>
          <w:kern w:val="0"/>
          <w:sz w:val="24"/>
          <w:szCs w:val="24"/>
        </w:rPr>
        <w:t>接受有关监督部门处罚等后果：</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（1）中标后，无正当理由放弃中标资格；</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（2）中标后，无正当理由不与招标人签订合同；</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（3）在签订合同时，向招标人提出附加条件；</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（4）不按照</w:t>
      </w:r>
      <w:r>
        <w:rPr>
          <w:rFonts w:hint="eastAsia" w:ascii="宋体" w:hAnsi="宋体"/>
          <w:kern w:val="0"/>
          <w:sz w:val="24"/>
          <w:szCs w:val="24"/>
          <w:lang w:eastAsia="zh-CN"/>
        </w:rPr>
        <w:t>磋商</w:t>
      </w:r>
      <w:r>
        <w:rPr>
          <w:rFonts w:hint="eastAsia" w:ascii="宋体" w:hAnsi="宋体"/>
          <w:kern w:val="0"/>
          <w:sz w:val="24"/>
          <w:szCs w:val="24"/>
        </w:rPr>
        <w:t>文件要求提交履约保证金；</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（5）要求修改、补充和撤销响应文件的实质性内容；</w:t>
      </w:r>
    </w:p>
    <w:p>
      <w:pPr>
        <w:keepNext w:val="0"/>
        <w:keepLines w:val="0"/>
        <w:pageBreakBefore w:val="0"/>
        <w:widowControl w:val="0"/>
        <w:kinsoku/>
        <w:wordWrap/>
        <w:overflowPunct/>
        <w:topLinePunct w:val="0"/>
        <w:bidi w:val="0"/>
        <w:spacing w:line="400" w:lineRule="exact"/>
        <w:ind w:firstLine="528" w:firstLineChars="220"/>
        <w:textAlignment w:val="auto"/>
      </w:pPr>
      <w:r>
        <w:rPr>
          <w:rFonts w:hint="eastAsia" w:ascii="宋体" w:hAnsi="宋体"/>
          <w:kern w:val="0"/>
          <w:sz w:val="24"/>
          <w:szCs w:val="24"/>
        </w:rPr>
        <w:t>（6）要求更改</w:t>
      </w:r>
      <w:r>
        <w:rPr>
          <w:rFonts w:hint="eastAsia" w:ascii="宋体" w:hAnsi="宋体"/>
          <w:kern w:val="0"/>
          <w:sz w:val="24"/>
          <w:szCs w:val="24"/>
          <w:lang w:eastAsia="zh-CN"/>
        </w:rPr>
        <w:t>磋商</w:t>
      </w:r>
      <w:r>
        <w:rPr>
          <w:rFonts w:hint="eastAsia" w:ascii="宋体" w:hAnsi="宋体"/>
          <w:kern w:val="0"/>
          <w:sz w:val="24"/>
          <w:szCs w:val="24"/>
        </w:rPr>
        <w:t>文件和中标结果公告的实质性内容；</w:t>
      </w:r>
    </w:p>
    <w:p>
      <w:pPr>
        <w:keepNext w:val="0"/>
        <w:keepLines w:val="0"/>
        <w:pageBreakBefore w:val="0"/>
        <w:widowControl w:val="0"/>
        <w:kinsoku/>
        <w:wordWrap/>
        <w:overflowPunct/>
        <w:topLinePunct w:val="0"/>
        <w:bidi w:val="0"/>
        <w:spacing w:line="400" w:lineRule="exact"/>
        <w:ind w:firstLine="528" w:firstLineChars="220"/>
        <w:textAlignment w:val="auto"/>
        <w:rPr>
          <w:rFonts w:hint="eastAsia" w:ascii="宋体" w:hAnsi="宋体" w:eastAsia="宋体"/>
          <w:kern w:val="0"/>
          <w:sz w:val="24"/>
          <w:szCs w:val="24"/>
          <w:lang w:eastAsia="zh-CN"/>
        </w:rPr>
      </w:pPr>
      <w:r>
        <w:rPr>
          <w:rFonts w:hint="eastAsia" w:ascii="宋体" w:hAnsi="宋体"/>
          <w:kern w:val="0"/>
          <w:sz w:val="24"/>
          <w:szCs w:val="24"/>
        </w:rPr>
        <w:t>（7）</w:t>
      </w:r>
      <w:r>
        <w:rPr>
          <w:rFonts w:hint="eastAsia" w:ascii="宋体" w:hAnsi="宋体"/>
          <w:kern w:val="0"/>
          <w:sz w:val="24"/>
          <w:szCs w:val="24"/>
          <w:lang w:eastAsia="zh-CN"/>
        </w:rPr>
        <w:t>响应文件中签字、盖章不是真实有效的；</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8）</w:t>
      </w:r>
      <w:r>
        <w:rPr>
          <w:rFonts w:hint="eastAsia" w:ascii="宋体" w:hAnsi="宋体"/>
          <w:kern w:val="0"/>
          <w:sz w:val="24"/>
          <w:szCs w:val="24"/>
        </w:rPr>
        <w:t>法律法规和</w:t>
      </w:r>
      <w:r>
        <w:rPr>
          <w:rFonts w:hint="eastAsia" w:ascii="宋体" w:hAnsi="宋体"/>
          <w:kern w:val="0"/>
          <w:sz w:val="24"/>
          <w:szCs w:val="24"/>
          <w:lang w:eastAsia="zh-CN"/>
        </w:rPr>
        <w:t>磋商</w:t>
      </w:r>
      <w:r>
        <w:rPr>
          <w:rFonts w:hint="eastAsia" w:ascii="宋体" w:hAnsi="宋体"/>
          <w:kern w:val="0"/>
          <w:sz w:val="24"/>
          <w:szCs w:val="24"/>
        </w:rPr>
        <w:t>文件规定的其他情形。</w:t>
      </w:r>
    </w:p>
    <w:p>
      <w:pPr>
        <w:keepNext w:val="0"/>
        <w:keepLines w:val="0"/>
        <w:pageBreakBefore w:val="0"/>
        <w:widowControl w:val="0"/>
        <w:kinsoku/>
        <w:wordWrap/>
        <w:overflowPunct/>
        <w:topLinePunct w:val="0"/>
        <w:autoSpaceDE w:val="0"/>
        <w:autoSpaceDN w:val="0"/>
        <w:bidi w:val="0"/>
        <w:adjustRightInd w:val="0"/>
        <w:spacing w:line="400" w:lineRule="exact"/>
        <w:ind w:right="246" w:firstLine="480" w:firstLineChars="200"/>
        <w:textAlignment w:val="auto"/>
        <w:rPr>
          <w:rFonts w:ascii="宋体" w:hAnsi="宋体"/>
          <w:sz w:val="24"/>
          <w:szCs w:val="24"/>
        </w:rPr>
      </w:pPr>
      <w:r>
        <w:rPr>
          <w:rFonts w:hint="eastAsia" w:ascii="宋体" w:hAnsi="宋体"/>
          <w:kern w:val="0"/>
          <w:sz w:val="24"/>
          <w:szCs w:val="24"/>
        </w:rPr>
        <w:t xml:space="preserve">详细地址：                        </w:t>
      </w:r>
      <w:r>
        <w:rPr>
          <w:rFonts w:hint="eastAsia" w:ascii="宋体" w:hAnsi="宋体"/>
          <w:kern w:val="0"/>
          <w:sz w:val="24"/>
          <w:szCs w:val="24"/>
          <w:lang w:val="en-US" w:eastAsia="zh-CN"/>
        </w:rPr>
        <w:t xml:space="preserve">    </w:t>
      </w:r>
      <w:r>
        <w:rPr>
          <w:rFonts w:hint="eastAsia" w:ascii="宋体" w:hAnsi="宋体"/>
          <w:sz w:val="24"/>
          <w:szCs w:val="24"/>
        </w:rPr>
        <w:t>邮政编码：</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ascii="宋体" w:hAnsi="宋体"/>
          <w:sz w:val="24"/>
          <w:szCs w:val="24"/>
        </w:rPr>
      </w:pPr>
      <w:r>
        <w:rPr>
          <w:rFonts w:hint="eastAsia" w:ascii="宋体" w:hAnsi="宋体"/>
          <w:kern w:val="0"/>
          <w:sz w:val="24"/>
          <w:szCs w:val="24"/>
        </w:rPr>
        <w:t xml:space="preserve">电    话：                       </w:t>
      </w:r>
    </w:p>
    <w:p>
      <w:pPr>
        <w:keepNext w:val="0"/>
        <w:keepLines w:val="0"/>
        <w:pageBreakBefore w:val="0"/>
        <w:widowControl w:val="0"/>
        <w:kinsoku/>
        <w:wordWrap/>
        <w:overflowPunct/>
        <w:topLinePunct w:val="0"/>
        <w:bidi w:val="0"/>
        <w:spacing w:line="400" w:lineRule="exact"/>
        <w:textAlignment w:val="auto"/>
        <w:rPr>
          <w:rFonts w:hint="eastAsia" w:ascii="宋体" w:hAnsi="宋体"/>
          <w:sz w:val="24"/>
          <w:szCs w:val="24"/>
          <w:lang w:eastAsia="zh-CN"/>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供应商名称</w:t>
      </w:r>
      <w:r>
        <w:rPr>
          <w:rFonts w:hint="eastAsia" w:ascii="宋体" w:hAnsi="宋体"/>
          <w:sz w:val="24"/>
          <w:szCs w:val="24"/>
        </w:rPr>
        <w:t>（加盖公章）</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法定代表人（签字）：</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sz w:val="24"/>
          <w:szCs w:val="24"/>
          <w:lang w:eastAsia="zh-CN"/>
        </w:rPr>
      </w:pPr>
    </w:p>
    <w:p>
      <w:pPr>
        <w:keepNext w:val="0"/>
        <w:keepLines w:val="0"/>
        <w:pageBreakBefore w:val="0"/>
        <w:widowControl w:val="0"/>
        <w:kinsoku/>
        <w:wordWrap/>
        <w:overflowPunct/>
        <w:topLinePunct w:val="0"/>
        <w:bidi w:val="0"/>
        <w:spacing w:line="400" w:lineRule="exact"/>
        <w:ind w:firstLine="4800" w:firstLineChars="2000"/>
        <w:textAlignment w:val="auto"/>
      </w:pPr>
      <w:r>
        <w:rPr>
          <w:rFonts w:hint="eastAsia" w:ascii="宋体" w:hAnsi="宋体"/>
          <w:sz w:val="24"/>
          <w:szCs w:val="24"/>
        </w:rPr>
        <w:t>年 月 日</w:t>
      </w:r>
    </w:p>
    <w:p>
      <w:pPr>
        <w:adjustRightInd w:val="0"/>
        <w:snapToGrid w:val="0"/>
        <w:spacing w:line="360" w:lineRule="auto"/>
        <w:ind w:firstLine="720" w:firstLineChars="300"/>
        <w:rPr>
          <w:rFonts w:ascii="宋体" w:hAnsi="宋体"/>
          <w:sz w:val="24"/>
          <w:szCs w:val="24"/>
        </w:rPr>
      </w:pPr>
      <w:r>
        <w:rPr>
          <w:rFonts w:ascii="宋体" w:hAnsi="宋体"/>
          <w:color w:val="000000"/>
          <w:sz w:val="24"/>
          <w:szCs w:val="24"/>
        </w:rPr>
        <w:br w:type="page"/>
      </w:r>
    </w:p>
    <w:p>
      <w:pPr>
        <w:adjustRightInd w:val="0"/>
        <w:snapToGrid w:val="0"/>
        <w:spacing w:line="360" w:lineRule="auto"/>
        <w:jc w:val="center"/>
        <w:rPr>
          <w:rFonts w:ascii="宋体" w:hAnsi="宋体"/>
          <w:sz w:val="24"/>
          <w:szCs w:val="24"/>
        </w:rPr>
      </w:pPr>
      <w:r>
        <w:rPr>
          <w:rFonts w:hint="eastAsia" w:ascii="宋体" w:hAnsi="宋体"/>
          <w:sz w:val="24"/>
          <w:szCs w:val="24"/>
        </w:rPr>
        <w:t>二、开标一览表</w:t>
      </w:r>
    </w:p>
    <w:p>
      <w:pPr>
        <w:pStyle w:val="16"/>
        <w:spacing w:line="360" w:lineRule="auto"/>
        <w:ind w:left="57" w:right="57" w:firstLine="57"/>
        <w:rPr>
          <w:rFonts w:hAnsi="宋体"/>
          <w:bCs/>
          <w:sz w:val="24"/>
          <w:szCs w:val="24"/>
        </w:rPr>
      </w:pPr>
    </w:p>
    <w:p>
      <w:pPr>
        <w:pStyle w:val="16"/>
        <w:spacing w:line="360" w:lineRule="auto"/>
        <w:ind w:left="57" w:right="57" w:firstLine="57"/>
        <w:rPr>
          <w:rFonts w:hint="eastAsia" w:hAnsi="宋体" w:eastAsia="宋体"/>
          <w:sz w:val="24"/>
          <w:szCs w:val="24"/>
          <w:lang w:eastAsia="zh-CN"/>
        </w:rPr>
      </w:pPr>
      <w:r>
        <w:rPr>
          <w:rFonts w:hint="eastAsia" w:hAnsi="宋体"/>
          <w:sz w:val="24"/>
          <w:szCs w:val="24"/>
        </w:rPr>
        <w:t>供应商名称（加盖公章）</w:t>
      </w:r>
      <w:r>
        <w:rPr>
          <w:rFonts w:hint="eastAsia" w:hAnsi="宋体"/>
          <w:sz w:val="24"/>
          <w:szCs w:val="24"/>
          <w:lang w:eastAsia="zh-CN"/>
        </w:rPr>
        <w:t>：</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keepNext w:val="0"/>
              <w:keepLines w:val="0"/>
              <w:suppressLineNumbers w:val="0"/>
              <w:spacing w:before="0" w:beforeAutospacing="0" w:after="0" w:afterAutospacing="0" w:line="360" w:lineRule="auto"/>
              <w:ind w:left="0" w:right="0" w:firstLine="240" w:firstLineChars="100"/>
              <w:jc w:val="center"/>
              <w:rPr>
                <w:rFonts w:ascii="宋体" w:hAnsi="宋体"/>
                <w:sz w:val="24"/>
                <w:szCs w:val="24"/>
              </w:rPr>
            </w:pPr>
            <w:r>
              <w:rPr>
                <w:rFonts w:hint="eastAsia" w:ascii="宋体" w:hAnsi="宋体"/>
                <w:sz w:val="24"/>
                <w:szCs w:val="24"/>
              </w:rPr>
              <w:t>投标总报价（元）</w:t>
            </w:r>
          </w:p>
        </w:tc>
        <w:tc>
          <w:tcPr>
            <w:tcW w:w="1997"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交付使用时间</w:t>
            </w:r>
          </w:p>
        </w:tc>
        <w:tc>
          <w:tcPr>
            <w:tcW w:w="1997"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售后服务网点</w:t>
            </w:r>
          </w:p>
        </w:tc>
        <w:tc>
          <w:tcPr>
            <w:tcW w:w="1877"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keepNext w:val="0"/>
              <w:keepLines w:val="0"/>
              <w:suppressLineNumbers w:val="0"/>
              <w:spacing w:before="0" w:beforeAutospacing="0" w:after="0" w:afterAutospacing="0" w:line="360" w:lineRule="auto"/>
              <w:ind w:left="0" w:right="0"/>
              <w:jc w:val="left"/>
              <w:rPr>
                <w:rFonts w:ascii="宋体" w:hAnsi="宋体"/>
                <w:sz w:val="24"/>
                <w:szCs w:val="24"/>
              </w:rPr>
            </w:pPr>
            <w:r>
              <w:rPr>
                <w:rFonts w:hint="eastAsia" w:ascii="宋体" w:hAnsi="宋体"/>
                <w:sz w:val="24"/>
                <w:szCs w:val="24"/>
              </w:rPr>
              <w:t>大写：</w:t>
            </w:r>
          </w:p>
        </w:tc>
        <w:tc>
          <w:tcPr>
            <w:tcW w:w="1997" w:type="dxa"/>
            <w:vMerge w:val="restart"/>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997" w:type="dxa"/>
            <w:vMerge w:val="restart"/>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877" w:type="dxa"/>
            <w:vMerge w:val="restart"/>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keepNext w:val="0"/>
              <w:keepLines w:val="0"/>
              <w:suppressLineNumbers w:val="0"/>
              <w:spacing w:before="0" w:beforeAutospacing="0" w:after="0" w:afterAutospacing="0" w:line="360" w:lineRule="auto"/>
              <w:ind w:left="0" w:right="0"/>
              <w:jc w:val="left"/>
              <w:rPr>
                <w:rFonts w:ascii="宋体" w:hAnsi="宋体"/>
                <w:sz w:val="24"/>
                <w:szCs w:val="24"/>
              </w:rPr>
            </w:pPr>
            <w:r>
              <w:rPr>
                <w:rFonts w:hint="eastAsia" w:ascii="宋体" w:hAnsi="宋体"/>
                <w:sz w:val="24"/>
                <w:szCs w:val="24"/>
              </w:rPr>
              <w:t>小写：</w:t>
            </w:r>
          </w:p>
        </w:tc>
        <w:tc>
          <w:tcPr>
            <w:tcW w:w="1997" w:type="dxa"/>
            <w:vMerge w:val="continue"/>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997" w:type="dxa"/>
            <w:vMerge w:val="continue"/>
            <w:vAlign w:val="center"/>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c>
          <w:tcPr>
            <w:tcW w:w="1877" w:type="dxa"/>
            <w:vMerge w:val="continue"/>
          </w:tcPr>
          <w:p>
            <w:pPr>
              <w:keepNext w:val="0"/>
              <w:keepLines w:val="0"/>
              <w:suppressLineNumbers w:val="0"/>
              <w:spacing w:before="0" w:beforeAutospacing="0" w:after="0" w:afterAutospacing="0"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2．价格应按照“供应商须知”的要求报价。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》中所填写内容与响应文件中内容不一致的，以开标一览表为准。</w:t>
      </w:r>
    </w:p>
    <w:p>
      <w:pPr>
        <w:adjustRightInd w:val="0"/>
        <w:snapToGrid w:val="0"/>
        <w:spacing w:line="360" w:lineRule="auto"/>
        <w:ind w:firstLine="723" w:firstLineChars="300"/>
        <w:rPr>
          <w:rFonts w:ascii="宋体" w:hAnsi="宋体" w:cs="Courier New"/>
          <w:b/>
          <w:bCs/>
          <w:kern w:val="0"/>
          <w:sz w:val="24"/>
          <w:szCs w:val="24"/>
        </w:rPr>
      </w:pPr>
      <w:r>
        <w:rPr>
          <w:rFonts w:hint="eastAsia" w:ascii="宋体" w:hAnsi="宋体" w:cs="Courier New"/>
          <w:b/>
          <w:bCs/>
          <w:kern w:val="0"/>
          <w:sz w:val="24"/>
          <w:szCs w:val="24"/>
        </w:rPr>
        <w:t>5.此表除保留在</w:t>
      </w:r>
      <w:r>
        <w:rPr>
          <w:rFonts w:hint="eastAsia" w:ascii="宋体" w:hAnsi="宋体" w:cs="Courier New"/>
          <w:b/>
          <w:bCs/>
          <w:kern w:val="0"/>
          <w:sz w:val="24"/>
          <w:szCs w:val="24"/>
          <w:lang w:eastAsia="zh-CN"/>
        </w:rPr>
        <w:t>响应文件</w:t>
      </w:r>
      <w:r>
        <w:rPr>
          <w:rFonts w:hint="eastAsia" w:ascii="宋体" w:hAnsi="宋体" w:cs="Courier New"/>
          <w:b/>
          <w:bCs/>
          <w:kern w:val="0"/>
          <w:sz w:val="24"/>
          <w:szCs w:val="24"/>
        </w:rPr>
        <w:t>中外，还要将另一份完全相同的本表密封装在一个信封中，单独递交，作为唱标之用。</w:t>
      </w:r>
    </w:p>
    <w:p>
      <w:pPr>
        <w:spacing w:line="360" w:lineRule="auto"/>
        <w:ind w:right="240"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color w:val="00B0F0"/>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autoSpaceDE w:val="0"/>
        <w:autoSpaceDN w:val="0"/>
        <w:spacing w:line="360" w:lineRule="auto"/>
        <w:jc w:val="center"/>
        <w:rPr>
          <w:rFonts w:ascii="宋体" w:hAnsi="宋体"/>
          <w:sz w:val="24"/>
          <w:szCs w:val="24"/>
        </w:rPr>
        <w:sectPr>
          <w:footerReference r:id="rId5" w:type="first"/>
          <w:footerReference r:id="rId4" w:type="default"/>
          <w:pgSz w:w="11906" w:h="16838"/>
          <w:pgMar w:top="737" w:right="1247" w:bottom="737" w:left="1247" w:header="851" w:footer="992" w:gutter="0"/>
          <w:pgNumType w:fmt="decimal" w:start="1"/>
          <w:cols w:space="720" w:num="1"/>
          <w:docGrid w:linePitch="312" w:charSpace="0"/>
        </w:sectPr>
      </w:pPr>
      <w:r>
        <w:rPr>
          <w:rFonts w:hint="eastAsia" w:ascii="宋体" w:hAnsi="宋体"/>
          <w:sz w:val="24"/>
          <w:szCs w:val="24"/>
        </w:rPr>
        <w:t xml:space="preserve">                                              年    月     日</w:t>
      </w:r>
    </w:p>
    <w:p>
      <w:pPr>
        <w:spacing w:line="360" w:lineRule="auto"/>
        <w:rPr>
          <w:rFonts w:asciiTheme="minorEastAsia" w:hAnsiTheme="minorEastAsia" w:eastAsiaTheme="minorEastAsia"/>
          <w:b/>
          <w:sz w:val="24"/>
          <w:szCs w:val="24"/>
        </w:rPr>
      </w:pPr>
      <w:bookmarkStart w:id="26" w:name="_Toc482026549"/>
      <w:bookmarkStart w:id="27" w:name="_Toc496792707"/>
      <w:bookmarkStart w:id="28" w:name="_Toc496792931"/>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（供应商名称）的法定代表人。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宋体" w:hAnsi="宋体"/>
                <w:sz w:val="24"/>
                <w:szCs w:val="24"/>
              </w:rPr>
              <w:t>法定代表人身份证扫描件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正面</w:t>
            </w:r>
          </w:p>
        </w:tc>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宋体" w:hAnsi="宋体"/>
                <w:sz w:val="24"/>
                <w:szCs w:val="24"/>
              </w:rPr>
              <w:t>法定代表人身份证扫描件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正面</w:t>
            </w:r>
          </w:p>
        </w:tc>
        <w:tc>
          <w:tcPr>
            <w:tcW w:w="4814" w:type="dxa"/>
          </w:tcPr>
          <w:p>
            <w:pPr>
              <w:keepNext w:val="0"/>
              <w:keepLines w:val="0"/>
              <w:suppressLineNumbers w:val="0"/>
              <w:spacing w:before="0" w:beforeAutospacing="0" w:after="0" w:afterAutospacing="0"/>
              <w:ind w:left="0" w:right="0"/>
              <w:jc w:val="center"/>
              <w:rPr>
                <w:rFonts w:ascii="宋体" w:hAnsi="宋体"/>
                <w:sz w:val="24"/>
                <w:szCs w:val="24"/>
              </w:rPr>
            </w:pPr>
          </w:p>
          <w:p>
            <w:pPr>
              <w:keepNext w:val="0"/>
              <w:keepLines w:val="0"/>
              <w:suppressLineNumbers w:val="0"/>
              <w:spacing w:before="0" w:beforeAutospacing="0" w:after="0" w:afterAutospacing="0"/>
              <w:ind w:left="0" w:right="0"/>
              <w:rPr>
                <w:rFonts w:ascii="宋体" w:hAnsi="宋体"/>
                <w:sz w:val="24"/>
                <w:szCs w:val="24"/>
              </w:rPr>
            </w:pPr>
          </w:p>
          <w:p>
            <w:pPr>
              <w:keepNext w:val="0"/>
              <w:keepLines w:val="0"/>
              <w:suppressLineNumbers w:val="0"/>
              <w:spacing w:before="0" w:beforeAutospacing="0" w:after="0" w:afterAutospacing="0"/>
              <w:ind w:left="0" w:right="0"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交、撤回、修改招标项目响应文件、签订合同和处理有关事宜，其法律后果由我方承担。委托期限：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6"/>
        <w:spacing w:line="360" w:lineRule="auto"/>
        <w:ind w:right="5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lang w:val="en-US" w:eastAsia="zh-CN"/>
        </w:rPr>
        <w:t xml:space="preserve">  </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日</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六、</w:t>
      </w:r>
      <w:r>
        <w:rPr>
          <w:rFonts w:asciiTheme="minorEastAsia" w:hAnsiTheme="minorEastAsia" w:eastAsiaTheme="minorEastAsia"/>
          <w:bCs/>
          <w:sz w:val="24"/>
          <w:szCs w:val="24"/>
        </w:rPr>
        <w:t>投标保证金</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t>供应商应在此提供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汇款凭证的复印件。</w:t>
      </w: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七、</w:t>
      </w: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_________________办公自动化（三次）</w:t>
      </w:r>
      <w:r>
        <w:rPr>
          <w:rFonts w:asciiTheme="minorEastAsia" w:hAnsiTheme="minorEastAsia" w:eastAsiaTheme="minorEastAsia"/>
          <w:sz w:val="24"/>
          <w:szCs w:val="24"/>
        </w:rPr>
        <w:t xml:space="preserve">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2. 联合体各成员授权牵头人代表联合体参加投标活动，签署文件，提交和接收相关的资料、 信息及指示，进行合同</w:t>
      </w:r>
      <w:r>
        <w:rPr>
          <w:rFonts w:hint="eastAsia" w:asciiTheme="minorEastAsia" w:hAnsiTheme="minorEastAsia" w:eastAsiaTheme="minorEastAsia"/>
          <w:sz w:val="24"/>
          <w:szCs w:val="24"/>
          <w:lang w:eastAsia="zh-CN"/>
        </w:rPr>
        <w:t>磋商</w:t>
      </w:r>
      <w:r>
        <w:rPr>
          <w:rFonts w:asciiTheme="minorEastAsia" w:hAnsiTheme="minorEastAsia" w:eastAsiaTheme="minorEastAsia"/>
          <w:sz w:val="24"/>
          <w:szCs w:val="24"/>
        </w:rPr>
        <w:t xml:space="preserve">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3. 联合体牵头人在本项目中签署的一切文件和处理的一切事宜，联合体各成员均予以承认。 联合体各成员将严格按照</w:t>
      </w:r>
      <w:r>
        <w:rPr>
          <w:rFonts w:hint="eastAsia" w:asciiTheme="minorEastAsia" w:hAnsiTheme="minorEastAsia" w:eastAsiaTheme="minorEastAsia"/>
          <w:sz w:val="24"/>
          <w:szCs w:val="24"/>
          <w:lang w:eastAsia="zh-CN"/>
        </w:rPr>
        <w:t>磋商</w:t>
      </w:r>
      <w:r>
        <w:rPr>
          <w:rFonts w:asciiTheme="minorEastAsia" w:hAnsiTheme="minorEastAsia" w:eastAsiaTheme="minorEastAsia"/>
          <w:sz w:val="24"/>
          <w:szCs w:val="24"/>
        </w:rPr>
        <w:t xml:space="preserve">文件、响应文件和合同的要求全面履行义务，并向招标人承担连带责任。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rPr>
          <w:rFonts w:ascii="宋体" w:hAnsi="宋体" w:cs="楷体_GB2312"/>
          <w:sz w:val="24"/>
          <w:szCs w:val="24"/>
        </w:rPr>
      </w:pPr>
      <w:r>
        <w:rPr>
          <w:rFonts w:ascii="宋体" w:hAnsi="宋体" w:cs="楷体_GB2312"/>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pStyle w:val="2"/>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1.如接受联合体投标项目，供应商需按要求填写联合体协议书。</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2.不接受联合体投标项目，只需提供空表。</w:t>
      </w:r>
    </w:p>
    <w:bookmarkEnd w:id="26"/>
    <w:bookmarkEnd w:id="27"/>
    <w:bookmarkEnd w:id="28"/>
    <w:p>
      <w:pPr>
        <w:adjustRightInd w:val="0"/>
        <w:snapToGrid w:val="0"/>
        <w:spacing w:line="360" w:lineRule="auto"/>
        <w:ind w:firstLine="3000" w:firstLineChars="1250"/>
        <w:jc w:val="left"/>
        <w:rPr>
          <w:rFonts w:ascii="宋体" w:hAnsi="宋体" w:cs="Courier New"/>
          <w:color w:val="000000"/>
          <w:kern w:val="0"/>
          <w:sz w:val="24"/>
          <w:szCs w:val="24"/>
        </w:rPr>
      </w:pPr>
      <w:r>
        <w:rPr>
          <w:rFonts w:hint="eastAsia" w:ascii="宋体" w:hAnsi="宋体"/>
          <w:sz w:val="24"/>
          <w:szCs w:val="24"/>
        </w:rPr>
        <w:t xml:space="preserve">八、 </w:t>
      </w:r>
      <w:bookmarkStart w:id="29" w:name="_Toc482026550"/>
      <w:r>
        <w:rPr>
          <w:rFonts w:hint="eastAsia" w:ascii="宋体" w:hAnsi="宋体" w:cs="Courier New"/>
          <w:color w:val="000000"/>
          <w:kern w:val="0"/>
          <w:sz w:val="24"/>
          <w:szCs w:val="24"/>
        </w:rPr>
        <w:t>投标货物分项报价明细表</w:t>
      </w:r>
    </w:p>
    <w:p>
      <w:pPr>
        <w:adjustRightInd w:val="0"/>
        <w:snapToGrid w:val="0"/>
        <w:spacing w:line="360" w:lineRule="auto"/>
        <w:ind w:firstLine="3000" w:firstLineChars="1250"/>
        <w:jc w:val="left"/>
        <w:rPr>
          <w:rFonts w:hAnsi="宋体"/>
          <w:bCs/>
          <w:color w:val="000000"/>
          <w:sz w:val="24"/>
          <w:szCs w:val="24"/>
        </w:rPr>
      </w:pP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1161"/>
        <w:gridCol w:w="918"/>
        <w:gridCol w:w="1585"/>
        <w:gridCol w:w="1256"/>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序号</w:t>
            </w:r>
          </w:p>
        </w:tc>
        <w:tc>
          <w:tcPr>
            <w:tcW w:w="141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货物名称</w:t>
            </w:r>
          </w:p>
        </w:tc>
        <w:tc>
          <w:tcPr>
            <w:tcW w:w="1161"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品牌</w:t>
            </w:r>
          </w:p>
        </w:tc>
        <w:tc>
          <w:tcPr>
            <w:tcW w:w="918"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型号</w:t>
            </w: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数量及单位</w:t>
            </w: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单价（元）</w:t>
            </w: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总价（元）</w:t>
            </w:r>
          </w:p>
        </w:tc>
        <w:tc>
          <w:tcPr>
            <w:tcW w:w="1327"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1</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2</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3</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4</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r>
              <w:rPr>
                <w:rFonts w:hint="eastAsia" w:ascii="宋体" w:hAnsi="宋体" w:cs="Courier New"/>
                <w:color w:val="000000"/>
                <w:kern w:val="0"/>
                <w:sz w:val="24"/>
                <w:szCs w:val="24"/>
              </w:rPr>
              <w:t>…</w:t>
            </w:r>
          </w:p>
        </w:tc>
        <w:tc>
          <w:tcPr>
            <w:tcW w:w="141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s="Courier New"/>
                <w:color w:val="000000"/>
                <w:kern w:val="0"/>
                <w:sz w:val="24"/>
                <w:szCs w:val="24"/>
              </w:rPr>
            </w:pPr>
          </w:p>
        </w:tc>
        <w:tc>
          <w:tcPr>
            <w:tcW w:w="1161"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918"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585"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256"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r>
              <w:rPr>
                <w:rFonts w:hint="eastAsia" w:ascii="宋体" w:hAnsi="宋体" w:cs="Courier New"/>
                <w:color w:val="000000"/>
                <w:kern w:val="0"/>
                <w:sz w:val="24"/>
                <w:szCs w:val="24"/>
              </w:rPr>
              <w:t>合计</w:t>
            </w:r>
          </w:p>
        </w:tc>
        <w:tc>
          <w:tcPr>
            <w:tcW w:w="1400"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c>
          <w:tcPr>
            <w:tcW w:w="1327"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s="Courier New"/>
                <w:color w:val="000000"/>
                <w:kern w:val="0"/>
                <w:sz w:val="24"/>
                <w:szCs w:val="24"/>
              </w:rPr>
            </w:pPr>
          </w:p>
        </w:tc>
      </w:tr>
    </w:tbl>
    <w:p>
      <w:pPr>
        <w:adjustRightInd w:val="0"/>
        <w:snapToGrid w:val="0"/>
        <w:spacing w:line="360" w:lineRule="auto"/>
        <w:rPr>
          <w:rFonts w:ascii="宋体" w:hAnsi="宋体" w:cs="Courier New"/>
          <w:color w:val="000000"/>
          <w:kern w:val="0"/>
          <w:sz w:val="24"/>
          <w:szCs w:val="24"/>
        </w:rPr>
      </w:pPr>
      <w:r>
        <w:rPr>
          <w:rFonts w:hint="eastAsia" w:ascii="宋体" w:hAnsi="宋体" w:cs="Courier New"/>
          <w:color w:val="000000"/>
          <w:kern w:val="0"/>
          <w:sz w:val="24"/>
          <w:szCs w:val="24"/>
        </w:rPr>
        <w:t>说明：</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2．此表将随中标结果公告一并公示，请供应商认真填写。</w:t>
      </w:r>
    </w:p>
    <w:p>
      <w:pPr>
        <w:adjustRightInd w:val="0"/>
        <w:snapToGrid w:val="0"/>
        <w:spacing w:line="360" w:lineRule="auto"/>
        <w:ind w:firstLine="480" w:firstLineChars="200"/>
        <w:rPr>
          <w:rFonts w:ascii="宋体" w:hAnsi="宋体"/>
          <w:color w:val="000000"/>
          <w:sz w:val="24"/>
          <w:szCs w:val="24"/>
        </w:rPr>
      </w:pPr>
    </w:p>
    <w:p>
      <w:pPr>
        <w:rPr>
          <w:sz w:val="24"/>
          <w:szCs w:val="24"/>
          <w:lang w:val="zh-CN"/>
        </w:rPr>
      </w:pPr>
      <w:r>
        <w:rPr>
          <w:sz w:val="24"/>
          <w:szCs w:val="24"/>
          <w:lang w:val="zh-CN"/>
        </w:rPr>
        <w:br w:type="page"/>
      </w:r>
    </w:p>
    <w:p>
      <w:pPr>
        <w:rPr>
          <w:b/>
          <w:sz w:val="24"/>
          <w:szCs w:val="24"/>
          <w:lang w:val="zh-CN"/>
        </w:rPr>
      </w:pPr>
    </w:p>
    <w:p>
      <w:pPr>
        <w:rPr>
          <w:sz w:val="24"/>
          <w:szCs w:val="24"/>
          <w:lang w:val="zh-CN"/>
        </w:rPr>
      </w:pPr>
    </w:p>
    <w:p>
      <w:pPr>
        <w:numPr>
          <w:ilvl w:val="0"/>
          <w:numId w:val="6"/>
        </w:numPr>
        <w:jc w:val="center"/>
        <w:rPr>
          <w:rFonts w:ascii="宋体" w:hAnsi="宋体"/>
          <w:color w:val="000000"/>
          <w:sz w:val="24"/>
          <w:szCs w:val="24"/>
        </w:rPr>
      </w:pPr>
      <w:r>
        <w:rPr>
          <w:rFonts w:hint="eastAsia" w:ascii="宋体" w:hAnsi="宋体"/>
          <w:color w:val="000000"/>
          <w:sz w:val="24"/>
          <w:szCs w:val="24"/>
        </w:rPr>
        <w:t>投标货物情况介绍表</w:t>
      </w:r>
    </w:p>
    <w:p>
      <w:pPr>
        <w:pStyle w:val="2"/>
      </w:pP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序号</w:t>
            </w:r>
          </w:p>
        </w:tc>
        <w:tc>
          <w:tcPr>
            <w:tcW w:w="165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货物名称</w:t>
            </w:r>
          </w:p>
        </w:tc>
        <w:tc>
          <w:tcPr>
            <w:tcW w:w="988"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品牌</w:t>
            </w:r>
          </w:p>
        </w:tc>
        <w:tc>
          <w:tcPr>
            <w:tcW w:w="1071"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型号</w:t>
            </w: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生产厂家</w:t>
            </w: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生产产地</w:t>
            </w:r>
          </w:p>
        </w:tc>
        <w:tc>
          <w:tcPr>
            <w:tcW w:w="1552"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1</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2</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3</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4</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r>
              <w:rPr>
                <w:rFonts w:hint="eastAsia" w:ascii="宋体" w:hAnsi="宋体"/>
                <w:color w:val="000000"/>
                <w:sz w:val="24"/>
                <w:szCs w:val="24"/>
              </w:rPr>
              <w:t>…</w:t>
            </w:r>
          </w:p>
        </w:tc>
        <w:tc>
          <w:tcPr>
            <w:tcW w:w="1651" w:type="dxa"/>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ascii="宋体" w:hAnsi="宋体"/>
                <w:color w:val="000000"/>
                <w:sz w:val="24"/>
                <w:szCs w:val="24"/>
              </w:rPr>
            </w:pPr>
          </w:p>
        </w:tc>
        <w:tc>
          <w:tcPr>
            <w:tcW w:w="988" w:type="dxa"/>
            <w:tcBorders>
              <w:righ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071"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2060"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c>
          <w:tcPr>
            <w:tcW w:w="1552" w:type="dxa"/>
            <w:tcBorders>
              <w:left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ascii="宋体" w:hAnsi="宋体"/>
                <w:color w:val="000000"/>
                <w:sz w:val="24"/>
                <w:szCs w:val="24"/>
              </w:rPr>
            </w:pPr>
          </w:p>
        </w:tc>
      </w:tr>
    </w:tbl>
    <w:p>
      <w:pPr>
        <w:spacing w:line="360" w:lineRule="auto"/>
        <w:rPr>
          <w:rFonts w:ascii="宋体" w:hAnsi="宋体"/>
          <w:color w:val="000000"/>
          <w:sz w:val="24"/>
          <w:szCs w:val="24"/>
        </w:rPr>
      </w:pPr>
      <w:r>
        <w:rPr>
          <w:rFonts w:hint="eastAsia" w:ascii="宋体" w:hAnsi="宋体"/>
          <w:color w:val="000000"/>
          <w:sz w:val="24"/>
          <w:szCs w:val="24"/>
        </w:rPr>
        <w:t>说明：</w:t>
      </w:r>
    </w:p>
    <w:p>
      <w:pPr>
        <w:spacing w:line="360" w:lineRule="auto"/>
        <w:rPr>
          <w:rFonts w:ascii="宋体" w:hAnsi="宋体"/>
          <w:color w:val="000000"/>
          <w:sz w:val="24"/>
          <w:szCs w:val="24"/>
        </w:rPr>
      </w:pPr>
      <w:r>
        <w:rPr>
          <w:rFonts w:hint="eastAsia" w:ascii="宋体" w:hAnsi="宋体"/>
          <w:color w:val="000000"/>
          <w:sz w:val="24"/>
          <w:szCs w:val="24"/>
        </w:rPr>
        <w:t xml:space="preserve">    1.供应商需按采购文件要求内容如实填写此表。</w:t>
      </w:r>
      <w:r>
        <w:rPr>
          <w:rFonts w:ascii="宋体" w:hAnsi="宋体"/>
          <w:color w:val="000000"/>
          <w:sz w:val="24"/>
          <w:szCs w:val="24"/>
        </w:rPr>
        <w:br w:type="page"/>
      </w:r>
    </w:p>
    <w:p>
      <w:pPr>
        <w:pStyle w:val="4"/>
        <w:keepNext w:val="0"/>
        <w:keepLines w:val="0"/>
        <w:spacing w:line="360" w:lineRule="auto"/>
        <w:jc w:val="left"/>
        <w:rPr>
          <w:rFonts w:ascii="宋体" w:hAnsi="宋体" w:eastAsia="宋体"/>
          <w:b w:val="0"/>
          <w:color w:val="000000"/>
          <w:sz w:val="24"/>
          <w:szCs w:val="24"/>
        </w:rPr>
      </w:pPr>
    </w:p>
    <w:bookmarkEnd w:id="29"/>
    <w:p>
      <w:pPr>
        <w:spacing w:line="360" w:lineRule="auto"/>
        <w:jc w:val="center"/>
        <w:rPr>
          <w:rFonts w:ascii="宋体" w:hAnsi="宋体"/>
          <w:sz w:val="24"/>
          <w:szCs w:val="24"/>
        </w:rPr>
      </w:pPr>
      <w:bookmarkStart w:id="30" w:name="_Toc482026551"/>
      <w:r>
        <w:rPr>
          <w:rFonts w:hint="eastAsia" w:ascii="宋体" w:hAnsi="宋体"/>
          <w:sz w:val="24"/>
          <w:szCs w:val="24"/>
        </w:rPr>
        <w:t>十、技术规格响应表</w:t>
      </w:r>
    </w:p>
    <w:p>
      <w:pPr>
        <w:spacing w:line="360" w:lineRule="auto"/>
        <w:rPr>
          <w:rFonts w:ascii="宋体" w:hAnsi="宋体"/>
          <w:b/>
          <w:sz w:val="24"/>
          <w:szCs w:val="24"/>
        </w:rPr>
      </w:pPr>
      <w:r>
        <w:rPr>
          <w:rFonts w:hint="eastAsia" w:ascii="宋体" w:hAnsi="宋体" w:cs="宋体"/>
          <w:kern w:val="0"/>
          <w:sz w:val="24"/>
          <w:szCs w:val="24"/>
        </w:rPr>
        <w:t>1.货物名称：</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32"/>
        <w:gridCol w:w="1732"/>
        <w:gridCol w:w="1732"/>
        <w:gridCol w:w="229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3"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编号</w:t>
            </w:r>
          </w:p>
        </w:tc>
        <w:tc>
          <w:tcPr>
            <w:tcW w:w="1732"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lang w:eastAsia="zh-CN"/>
              </w:rPr>
              <w:t>磋商</w:t>
            </w:r>
            <w:r>
              <w:rPr>
                <w:rFonts w:hint="eastAsia" w:ascii="宋体" w:hAnsi="宋体"/>
                <w:sz w:val="24"/>
                <w:szCs w:val="24"/>
              </w:rPr>
              <w:t>文件要求技术参数、性能指标</w:t>
            </w:r>
          </w:p>
        </w:tc>
        <w:tc>
          <w:tcPr>
            <w:tcW w:w="1732"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供应商提供技术参数、性能指标</w:t>
            </w:r>
          </w:p>
        </w:tc>
        <w:tc>
          <w:tcPr>
            <w:tcW w:w="1732"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响应</w:t>
            </w:r>
          </w:p>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程度</w:t>
            </w:r>
          </w:p>
        </w:tc>
        <w:tc>
          <w:tcPr>
            <w:tcW w:w="2294"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佐证材料名称并标明页码</w:t>
            </w:r>
          </w:p>
        </w:tc>
        <w:tc>
          <w:tcPr>
            <w:tcW w:w="1155"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3"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1</w:t>
            </w: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2294" w:type="dxa"/>
            <w:vAlign w:val="center"/>
          </w:tcPr>
          <w:p>
            <w:pPr>
              <w:keepNext w:val="0"/>
              <w:keepLines w:val="0"/>
              <w:suppressLineNumbers w:val="0"/>
              <w:spacing w:before="0" w:beforeAutospacing="0" w:after="0" w:afterAutospacing="0" w:line="360" w:lineRule="auto"/>
              <w:ind w:left="2201" w:leftChars="786" w:right="0"/>
              <w:rPr>
                <w:rFonts w:ascii="宋体" w:hAnsi="宋体"/>
                <w:sz w:val="24"/>
                <w:szCs w:val="24"/>
              </w:rPr>
            </w:pPr>
          </w:p>
        </w:tc>
        <w:tc>
          <w:tcPr>
            <w:tcW w:w="1155" w:type="dxa"/>
          </w:tcPr>
          <w:p>
            <w:pPr>
              <w:keepNext w:val="0"/>
              <w:keepLines w:val="0"/>
              <w:suppressLineNumbers w:val="0"/>
              <w:spacing w:before="0" w:beforeAutospacing="0" w:after="0" w:afterAutospacing="0" w:line="360" w:lineRule="auto"/>
              <w:ind w:left="2201" w:leftChars="786" w:right="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3" w:type="dxa"/>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2</w:t>
            </w: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732"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2294" w:type="dxa"/>
            <w:vAlign w:val="center"/>
          </w:tcPr>
          <w:p>
            <w:pPr>
              <w:keepNext w:val="0"/>
              <w:keepLines w:val="0"/>
              <w:suppressLineNumbers w:val="0"/>
              <w:spacing w:before="0" w:beforeAutospacing="0" w:after="0" w:afterAutospacing="0" w:line="360" w:lineRule="auto"/>
              <w:ind w:left="0" w:right="0"/>
              <w:rPr>
                <w:rFonts w:ascii="宋体" w:hAnsi="宋体"/>
                <w:sz w:val="24"/>
                <w:szCs w:val="24"/>
              </w:rPr>
            </w:pPr>
          </w:p>
        </w:tc>
        <w:tc>
          <w:tcPr>
            <w:tcW w:w="1155" w:type="dxa"/>
          </w:tcPr>
          <w:p>
            <w:pPr>
              <w:keepNext w:val="0"/>
              <w:keepLines w:val="0"/>
              <w:suppressLineNumbers w:val="0"/>
              <w:spacing w:before="0" w:beforeAutospacing="0" w:after="0" w:afterAutospacing="0" w:line="360" w:lineRule="auto"/>
              <w:ind w:left="0" w:right="0"/>
              <w:rPr>
                <w:rFonts w:ascii="宋体" w:hAnsi="宋体"/>
                <w:sz w:val="24"/>
                <w:szCs w:val="24"/>
              </w:rPr>
            </w:pPr>
          </w:p>
        </w:tc>
      </w:tr>
    </w:tbl>
    <w:p>
      <w:pPr>
        <w:spacing w:line="360" w:lineRule="auto"/>
        <w:ind w:right="57"/>
        <w:rPr>
          <w:rFonts w:ascii="宋体" w:hAnsi="宋体"/>
          <w:sz w:val="24"/>
          <w:szCs w:val="24"/>
        </w:rPr>
      </w:pPr>
      <w:r>
        <w:rPr>
          <w:rFonts w:hint="eastAsia" w:ascii="宋体" w:hAnsi="宋体"/>
          <w:b/>
          <w:bCs/>
          <w:sz w:val="24"/>
          <w:szCs w:val="24"/>
        </w:rPr>
        <w:t>说明</w:t>
      </w:r>
      <w:r>
        <w:rPr>
          <w:rFonts w:hint="eastAsia" w:ascii="宋体" w:hAnsi="宋体"/>
          <w:b/>
          <w:sz w:val="24"/>
          <w:szCs w:val="24"/>
        </w:rPr>
        <w:t>：</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1. 供应商应按照本</w:t>
      </w:r>
      <w:r>
        <w:rPr>
          <w:rFonts w:hint="eastAsia" w:ascii="宋体" w:hAnsi="宋体" w:cs="宋体"/>
          <w:color w:val="auto"/>
          <w:sz w:val="24"/>
          <w:szCs w:val="24"/>
          <w:lang w:eastAsia="zh-CN"/>
        </w:rPr>
        <w:t>磋商</w:t>
      </w:r>
      <w:r>
        <w:rPr>
          <w:rFonts w:hint="eastAsia" w:ascii="宋体" w:hAnsi="宋体" w:cs="宋体"/>
          <w:color w:val="auto"/>
          <w:sz w:val="24"/>
          <w:szCs w:val="24"/>
        </w:rPr>
        <w:t>文件第四章“货物需求一览表”中确定的技术参数与性能要求，将投标产品的技术参数和性能指标逐一列出，以证明投标产品对</w:t>
      </w:r>
      <w:r>
        <w:rPr>
          <w:rFonts w:hint="eastAsia" w:ascii="宋体" w:hAnsi="宋体" w:cs="宋体"/>
          <w:color w:val="auto"/>
          <w:sz w:val="24"/>
          <w:szCs w:val="24"/>
          <w:lang w:eastAsia="zh-CN"/>
        </w:rPr>
        <w:t>磋商</w:t>
      </w:r>
      <w:r>
        <w:rPr>
          <w:rFonts w:hint="eastAsia" w:ascii="宋体" w:hAnsi="宋体" w:cs="宋体"/>
          <w:color w:val="auto"/>
          <w:sz w:val="24"/>
          <w:szCs w:val="24"/>
        </w:rPr>
        <w:t>文件要求的技术参数和性能指标做出实质性响应。</w:t>
      </w:r>
    </w:p>
    <w:p>
      <w:pPr>
        <w:spacing w:line="360" w:lineRule="auto"/>
        <w:ind w:right="57" w:firstLine="360" w:firstLineChars="150"/>
        <w:rPr>
          <w:rFonts w:ascii="宋体" w:hAnsi="宋体" w:cs="宋体"/>
          <w:color w:val="auto"/>
          <w:sz w:val="24"/>
          <w:szCs w:val="24"/>
        </w:rPr>
      </w:pPr>
      <w:r>
        <w:rPr>
          <w:rFonts w:hint="eastAsia" w:ascii="宋体" w:hAnsi="宋体" w:cs="宋体"/>
          <w:color w:val="auto"/>
          <w:kern w:val="0"/>
          <w:sz w:val="24"/>
          <w:szCs w:val="24"/>
        </w:rPr>
        <w:t>响应文件中设备的性能指标应达到或优于</w:t>
      </w:r>
      <w:r>
        <w:rPr>
          <w:rFonts w:hint="eastAsia" w:ascii="宋体" w:hAnsi="宋体" w:cs="宋体"/>
          <w:color w:val="auto"/>
          <w:kern w:val="0"/>
          <w:sz w:val="24"/>
          <w:szCs w:val="24"/>
          <w:lang w:eastAsia="zh-CN"/>
        </w:rPr>
        <w:t>磋商</w:t>
      </w:r>
      <w:r>
        <w:rPr>
          <w:rFonts w:hint="eastAsia" w:ascii="宋体" w:hAnsi="宋体" w:cs="宋体"/>
          <w:color w:val="auto"/>
          <w:kern w:val="0"/>
          <w:sz w:val="24"/>
          <w:szCs w:val="24"/>
        </w:rPr>
        <w:t>文件中所列技术指标。</w:t>
      </w:r>
      <w:r>
        <w:rPr>
          <w:rFonts w:hint="eastAsia" w:ascii="宋体" w:hAnsi="宋体" w:cs="宋体"/>
          <w:color w:val="auto"/>
          <w:kern w:val="0"/>
          <w:sz w:val="24"/>
          <w:szCs w:val="24"/>
          <w:lang w:eastAsia="zh-CN"/>
        </w:rPr>
        <w:t>磋商</w:t>
      </w:r>
      <w:r>
        <w:rPr>
          <w:rFonts w:hint="eastAsia" w:ascii="宋体" w:hAnsi="宋体" w:cs="宋体"/>
          <w:color w:val="auto"/>
          <w:kern w:val="0"/>
          <w:sz w:val="24"/>
          <w:szCs w:val="24"/>
        </w:rPr>
        <w:t>文件中所列技术指标仅列出了最低限度，供应商在提供的技术参数、性能指标中必须列出具体数值或内容。对</w:t>
      </w:r>
      <w:r>
        <w:rPr>
          <w:rFonts w:hint="eastAsia" w:ascii="宋体" w:hAnsi="宋体" w:cs="宋体"/>
          <w:color w:val="auto"/>
          <w:kern w:val="0"/>
          <w:sz w:val="24"/>
          <w:szCs w:val="24"/>
          <w:lang w:eastAsia="zh-CN"/>
        </w:rPr>
        <w:t>磋商</w:t>
      </w:r>
      <w:r>
        <w:rPr>
          <w:rFonts w:hint="eastAsia" w:ascii="宋体" w:hAnsi="宋体" w:cs="宋体"/>
          <w:color w:val="auto"/>
          <w:kern w:val="0"/>
          <w:sz w:val="24"/>
          <w:szCs w:val="24"/>
        </w:rPr>
        <w:t>文件原文复制或只注明符合、满足等无具体内容的表述，将视为不符合</w:t>
      </w:r>
      <w:r>
        <w:rPr>
          <w:rFonts w:hint="eastAsia" w:ascii="宋体" w:hAnsi="宋体" w:cs="宋体"/>
          <w:color w:val="auto"/>
          <w:kern w:val="0"/>
          <w:sz w:val="24"/>
          <w:szCs w:val="24"/>
          <w:lang w:eastAsia="zh-CN"/>
        </w:rPr>
        <w:t>磋商</w:t>
      </w:r>
      <w:r>
        <w:rPr>
          <w:rFonts w:hint="eastAsia" w:ascii="宋体" w:hAnsi="宋体" w:cs="宋体"/>
          <w:color w:val="auto"/>
          <w:kern w:val="0"/>
          <w:sz w:val="24"/>
          <w:szCs w:val="24"/>
        </w:rPr>
        <w:t>文件要求。</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3.“响应程度”处可填写满足、响应或正偏离、负偏离。</w:t>
      </w:r>
    </w:p>
    <w:p>
      <w:pPr>
        <w:spacing w:line="360" w:lineRule="auto"/>
        <w:ind w:right="57" w:firstLine="360" w:firstLineChars="150"/>
        <w:rPr>
          <w:rFonts w:ascii="宋体" w:hAnsi="宋体"/>
          <w:color w:val="auto"/>
          <w:sz w:val="24"/>
          <w:szCs w:val="24"/>
        </w:rPr>
      </w:pPr>
      <w:r>
        <w:rPr>
          <w:rFonts w:hint="eastAsia" w:ascii="宋体" w:hAnsi="宋体" w:cs="宋体"/>
          <w:color w:val="auto"/>
          <w:sz w:val="24"/>
          <w:szCs w:val="24"/>
        </w:rPr>
        <w:t>4.“备注”处可填写偏离情况的具体说明。</w:t>
      </w:r>
    </w:p>
    <w:p>
      <w:pPr>
        <w:pStyle w:val="4"/>
        <w:keepNext w:val="0"/>
        <w:keepLines w:val="0"/>
        <w:spacing w:line="360" w:lineRule="auto"/>
        <w:rPr>
          <w:rFonts w:ascii="宋体" w:hAnsi="宋体" w:eastAsia="宋体"/>
          <w:b w:val="0"/>
          <w:color w:val="000000"/>
          <w:sz w:val="24"/>
          <w:szCs w:val="24"/>
        </w:rPr>
      </w:pPr>
      <w:r>
        <w:rPr>
          <w:rFonts w:ascii="宋体" w:hAnsi="宋体" w:eastAsia="宋体"/>
          <w:b w:val="0"/>
          <w:color w:val="000000"/>
          <w:sz w:val="24"/>
          <w:szCs w:val="24"/>
        </w:rPr>
        <w:br w:type="page"/>
      </w:r>
    </w:p>
    <w:bookmarkEnd w:id="30"/>
    <w:p>
      <w:pPr>
        <w:adjustRightInd w:val="0"/>
        <w:snapToGrid w:val="0"/>
        <w:spacing w:line="360" w:lineRule="auto"/>
        <w:jc w:val="center"/>
        <w:rPr>
          <w:rFonts w:ascii="宋体" w:hAnsi="宋体"/>
          <w:b/>
          <w:color w:val="000000"/>
          <w:sz w:val="24"/>
          <w:szCs w:val="24"/>
        </w:rPr>
      </w:pPr>
      <w:r>
        <w:rPr>
          <w:rFonts w:hint="eastAsia" w:ascii="宋体" w:hAnsi="宋体"/>
          <w:b/>
          <w:color w:val="000000"/>
          <w:sz w:val="24"/>
          <w:szCs w:val="24"/>
        </w:rPr>
        <w:t>十一、 售后服务承诺及方案</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一．售后服务承诺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1.在</w:t>
      </w:r>
      <w:r>
        <w:rPr>
          <w:rFonts w:hint="eastAsia" w:ascii="宋体" w:hAnsi="宋体"/>
          <w:color w:val="000000"/>
          <w:sz w:val="24"/>
          <w:szCs w:val="24"/>
          <w:u w:val="single"/>
        </w:rPr>
        <w:t xml:space="preserve">   </w:t>
      </w:r>
      <w:r>
        <w:rPr>
          <w:rFonts w:hint="eastAsia" w:ascii="宋体" w:hAnsi="宋体"/>
          <w:color w:val="000000"/>
          <w:sz w:val="24"/>
          <w:szCs w:val="24"/>
        </w:rPr>
        <w:t>年的质保期内，供应商对所投产品在使用过程中出现的故障和零配件磨损问题，免费提供维修和更换服务。</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2.质保期过后</w:t>
      </w:r>
      <w:r>
        <w:rPr>
          <w:rFonts w:hint="eastAsia" w:ascii="宋体" w:hAnsi="宋体"/>
          <w:color w:val="000000"/>
          <w:sz w:val="24"/>
          <w:szCs w:val="24"/>
          <w:u w:val="single"/>
        </w:rPr>
        <w:t xml:space="preserve">   </w:t>
      </w:r>
      <w:r>
        <w:rPr>
          <w:rFonts w:hint="eastAsia" w:ascii="宋体" w:hAnsi="宋体"/>
          <w:color w:val="000000"/>
          <w:sz w:val="24"/>
          <w:szCs w:val="24"/>
        </w:rPr>
        <w:t>年内，供应商将继续为</w:t>
      </w:r>
      <w:r>
        <w:rPr>
          <w:rFonts w:hint="eastAsia" w:ascii="宋体" w:hAnsi="宋体"/>
          <w:color w:val="000000"/>
          <w:sz w:val="24"/>
          <w:szCs w:val="24"/>
          <w:u w:val="single"/>
        </w:rPr>
        <w:t xml:space="preserve"> （货物名称） </w:t>
      </w:r>
      <w:r>
        <w:rPr>
          <w:rFonts w:hint="eastAsia" w:ascii="宋体" w:hAnsi="宋体"/>
          <w:color w:val="000000"/>
          <w:sz w:val="24"/>
          <w:szCs w:val="24"/>
        </w:rPr>
        <w:t>提供免费维修服务，在此期间不收取维护费，如需更换零配件，只收取零配件的成本费。</w:t>
      </w:r>
    </w:p>
    <w:p>
      <w:pPr>
        <w:pStyle w:val="14"/>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3.质保期过后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年内，供应商将继续为</w:t>
      </w:r>
      <w:r>
        <w:rPr>
          <w:rFonts w:hint="eastAsia" w:ascii="宋体" w:hAnsi="宋体" w:eastAsia="宋体"/>
          <w:color w:val="000000"/>
          <w:sz w:val="24"/>
          <w:szCs w:val="24"/>
          <w:u w:val="single"/>
        </w:rPr>
        <w:t xml:space="preserve"> （货物名称） </w:t>
      </w:r>
      <w:r>
        <w:rPr>
          <w:rFonts w:hint="eastAsia" w:ascii="宋体" w:hAnsi="宋体" w:eastAsia="宋体"/>
          <w:color w:val="000000"/>
          <w:sz w:val="24"/>
          <w:szCs w:val="24"/>
        </w:rPr>
        <w:t>提供维修服务，除收取交通费.住宿费和所更换部件的成本费外，不再收取任何维修费用。</w:t>
      </w:r>
    </w:p>
    <w:p>
      <w:pPr>
        <w:pStyle w:val="14"/>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4．供应商在接到用户维修通知后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小时内响应，</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个工作日内排除故障（节假日照常服务）。</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5．在设备的设计使用寿命期内，供应商必须保证零部件的正常供应，对所有部件终身维修服务，对设备定期维护保养，确保设备正常使用。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6.免费安装调试、人员培训、技术支持。</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7.定期进行用户回访，及时处理用户意见。</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二．技术培训</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1.免费培训内容：</w:t>
      </w:r>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2.培训日期及地点：</w:t>
      </w:r>
    </w:p>
    <w:p>
      <w:pPr>
        <w:adjustRightInd w:val="0"/>
        <w:spacing w:line="360" w:lineRule="auto"/>
        <w:ind w:firstLine="480" w:firstLineChars="200"/>
        <w:rPr>
          <w:rFonts w:ascii="宋体"/>
          <w:bCs/>
          <w:sz w:val="24"/>
          <w:szCs w:val="24"/>
        </w:rPr>
      </w:pPr>
      <w:r>
        <w:rPr>
          <w:rFonts w:hint="eastAsia" w:ascii="宋体" w:hAnsi="宋体" w:cs="宋体"/>
          <w:bCs/>
          <w:sz w:val="24"/>
          <w:szCs w:val="24"/>
        </w:rPr>
        <w:t>三．售后服务机构和服务体系</w:t>
      </w:r>
    </w:p>
    <w:p>
      <w:pPr>
        <w:spacing w:line="360" w:lineRule="auto"/>
        <w:ind w:firstLine="480" w:firstLineChars="200"/>
        <w:rPr>
          <w:rFonts w:ascii="宋体"/>
          <w:sz w:val="24"/>
          <w:szCs w:val="24"/>
        </w:rPr>
      </w:pPr>
      <w:bookmarkStart w:id="31" w:name="_Toc266431151"/>
      <w:r>
        <w:rPr>
          <w:rFonts w:ascii="宋体" w:hAnsi="宋体" w:cs="宋体"/>
          <w:sz w:val="24"/>
          <w:szCs w:val="24"/>
        </w:rPr>
        <w:t>1.</w:t>
      </w:r>
      <w:r>
        <w:rPr>
          <w:rFonts w:hint="eastAsia" w:ascii="宋体" w:hAnsi="宋体" w:cs="宋体"/>
          <w:sz w:val="24"/>
          <w:szCs w:val="24"/>
        </w:rPr>
        <w:t>生产厂家售后服务机构、联系人、联系电话</w:t>
      </w:r>
      <w:bookmarkEnd w:id="31"/>
      <w:r>
        <w:rPr>
          <w:rFonts w:hint="eastAsia" w:ascii="宋体" w:hAnsi="宋体" w:cs="宋体"/>
          <w:sz w:val="24"/>
          <w:szCs w:val="24"/>
        </w:rPr>
        <w:t>。</w:t>
      </w:r>
    </w:p>
    <w:p>
      <w:pPr>
        <w:pStyle w:val="16"/>
        <w:spacing w:line="360" w:lineRule="auto"/>
        <w:ind w:firstLine="480" w:firstLineChars="200"/>
        <w:rPr>
          <w:sz w:val="24"/>
          <w:szCs w:val="24"/>
        </w:rPr>
      </w:pPr>
      <w:bookmarkStart w:id="32" w:name="_Toc266431152"/>
      <w:r>
        <w:rPr>
          <w:sz w:val="24"/>
          <w:szCs w:val="24"/>
        </w:rPr>
        <w:t>2.</w:t>
      </w:r>
      <w:r>
        <w:rPr>
          <w:rFonts w:hint="eastAsia"/>
          <w:sz w:val="24"/>
          <w:szCs w:val="24"/>
        </w:rPr>
        <w:t>本地化售后服务网点分布、机构名称、联系人、联系电话。</w:t>
      </w:r>
      <w:bookmarkEnd w:id="32"/>
    </w:p>
    <w:p>
      <w:pPr>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四．售后方案（自拟）</w:t>
      </w:r>
    </w:p>
    <w:p>
      <w:pPr>
        <w:spacing w:line="360" w:lineRule="auto"/>
        <w:ind w:firstLine="482" w:firstLineChars="200"/>
        <w:rPr>
          <w:rFonts w:ascii="宋体" w:hAnsi="宋体"/>
          <w:sz w:val="24"/>
          <w:szCs w:val="24"/>
          <w:lang w:val="zh-CN"/>
        </w:rPr>
      </w:pPr>
      <w:r>
        <w:rPr>
          <w:rFonts w:hint="eastAsia" w:ascii="宋体" w:hAnsi="宋体"/>
          <w:b/>
          <w:sz w:val="24"/>
          <w:szCs w:val="24"/>
          <w:lang w:val="zh-CN"/>
        </w:rPr>
        <w:t>注</w:t>
      </w:r>
      <w:r>
        <w:rPr>
          <w:rFonts w:hint="eastAsia" w:ascii="宋体" w:hAnsi="宋体"/>
          <w:sz w:val="24"/>
          <w:szCs w:val="24"/>
          <w:lang w:val="zh-CN"/>
        </w:rPr>
        <w:t>：供应商提供售后服务承诺及方案不少于以上内容。</w:t>
      </w:r>
      <w:bookmarkStart w:id="33" w:name="_Toc482026552"/>
    </w:p>
    <w:p>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bookmarkEnd w:id="33"/>
    <w:p>
      <w:pPr>
        <w:numPr>
          <w:ilvl w:val="0"/>
          <w:numId w:val="7"/>
        </w:numPr>
        <w:spacing w:line="360" w:lineRule="auto"/>
        <w:jc w:val="center"/>
        <w:rPr>
          <w:rFonts w:ascii="宋体" w:hAnsi="宋体"/>
          <w:sz w:val="24"/>
          <w:szCs w:val="24"/>
          <w:lang w:val="zh-CN"/>
        </w:rPr>
      </w:pPr>
      <w:r>
        <w:rPr>
          <w:rFonts w:hint="eastAsia" w:ascii="宋体" w:hAnsi="宋体"/>
          <w:sz w:val="24"/>
          <w:szCs w:val="24"/>
          <w:lang w:val="zh-CN"/>
        </w:rPr>
        <w:t>商务规格响应表</w:t>
      </w:r>
    </w:p>
    <w:p>
      <w:pPr>
        <w:pStyle w:val="2"/>
      </w:pPr>
    </w:p>
    <w:tbl>
      <w:tblPr>
        <w:tblStyle w:val="25"/>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lang w:eastAsia="zh-CN"/>
              </w:rPr>
              <w:t>磋商</w:t>
            </w:r>
            <w:r>
              <w:rPr>
                <w:rFonts w:hint="eastAsia" w:ascii="宋体" w:hAnsi="宋体"/>
                <w:sz w:val="24"/>
                <w:szCs w:val="24"/>
              </w:rPr>
              <w:t>文件商务</w:t>
            </w:r>
          </w:p>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供应商响应的</w:t>
            </w:r>
          </w:p>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ind w:left="0" w:right="0"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suppressLineNumbers w:val="0"/>
              <w:spacing w:before="0" w:beforeAutospacing="0" w:after="0" w:afterAutospacing="0"/>
              <w:ind w:left="0" w:right="0"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r>
              <w:rPr>
                <w:rFonts w:hint="eastAsia" w:ascii="宋体" w:hAnsi="宋体"/>
                <w:sz w:val="24"/>
                <w:szCs w:val="24"/>
              </w:rPr>
              <w:t>6</w:t>
            </w:r>
          </w:p>
        </w:tc>
        <w:tc>
          <w:tcPr>
            <w:tcW w:w="220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其他</w:t>
            </w:r>
          </w:p>
        </w:tc>
        <w:tc>
          <w:tcPr>
            <w:tcW w:w="220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47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c>
          <w:tcPr>
            <w:tcW w:w="180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ascii="宋体" w:hAnsi="宋体"/>
                <w:sz w:val="24"/>
                <w:szCs w:val="24"/>
              </w:rPr>
            </w:pPr>
          </w:p>
        </w:tc>
      </w:tr>
    </w:tbl>
    <w:p>
      <w:pPr>
        <w:spacing w:line="360" w:lineRule="auto"/>
        <w:ind w:right="57" w:firstLine="361" w:firstLineChars="150"/>
        <w:rPr>
          <w:rFonts w:ascii="宋体" w:hAnsi="宋体"/>
          <w:sz w:val="24"/>
          <w:szCs w:val="24"/>
        </w:rPr>
      </w:pPr>
      <w:r>
        <w:rPr>
          <w:rFonts w:hint="eastAsia" w:ascii="宋体" w:hAnsi="宋体"/>
          <w:b/>
          <w:sz w:val="24"/>
          <w:szCs w:val="24"/>
        </w:rPr>
        <w:t>说明：</w:t>
      </w:r>
      <w:r>
        <w:rPr>
          <w:rFonts w:hint="eastAsia" w:ascii="宋体" w:hAnsi="宋体" w:cs="宋体"/>
          <w:sz w:val="24"/>
          <w:szCs w:val="24"/>
        </w:rPr>
        <w:t>“响应程度”处可填写满足、响应或正偏离、负偏离。</w:t>
      </w:r>
    </w:p>
    <w:p>
      <w:pPr>
        <w:spacing w:line="360" w:lineRule="auto"/>
        <w:jc w:val="center"/>
        <w:rPr>
          <w:rFonts w:ascii="宋体" w:hAnsi="宋体"/>
          <w:sz w:val="24"/>
          <w:szCs w:val="24"/>
        </w:rPr>
      </w:pPr>
      <w:bookmarkStart w:id="34" w:name="_Toc482026553"/>
    </w:p>
    <w:p>
      <w:pPr>
        <w:pStyle w:val="4"/>
        <w:keepNext w:val="0"/>
        <w:keepLines w:val="0"/>
        <w:spacing w:line="360" w:lineRule="auto"/>
        <w:rPr>
          <w:rFonts w:ascii="宋体" w:hAnsi="宋体" w:eastAsia="宋体"/>
          <w:b w:val="0"/>
          <w:sz w:val="24"/>
          <w:szCs w:val="24"/>
          <w:lang w:val="en-US"/>
        </w:rPr>
      </w:pPr>
      <w:r>
        <w:rPr>
          <w:rFonts w:ascii="宋体" w:hAnsi="宋体" w:eastAsia="宋体"/>
          <w:b w:val="0"/>
          <w:sz w:val="24"/>
          <w:szCs w:val="24"/>
          <w:lang w:val="en-US"/>
        </w:rPr>
        <w:br w:type="page"/>
      </w:r>
    </w:p>
    <w:bookmarkEnd w:id="34"/>
    <w:p>
      <w:pPr>
        <w:widowControl/>
        <w:spacing w:line="360" w:lineRule="auto"/>
        <w:jc w:val="left"/>
        <w:rPr>
          <w:rFonts w:asciiTheme="minorEastAsia" w:hAnsiTheme="minorEastAsia" w:eastAsiaTheme="minorEastAsia"/>
          <w:sz w:val="24"/>
          <w:szCs w:val="24"/>
        </w:rPr>
      </w:pPr>
    </w:p>
    <w:p>
      <w:pPr>
        <w:spacing w:line="360" w:lineRule="auto"/>
        <w:jc w:val="center"/>
        <w:rPr>
          <w:rFonts w:ascii="宋体" w:hAnsi="宋体"/>
          <w:b/>
          <w:sz w:val="24"/>
          <w:szCs w:val="24"/>
        </w:rPr>
      </w:pPr>
      <w:bookmarkStart w:id="35" w:name="_Toc482026554"/>
      <w:r>
        <w:rPr>
          <w:rFonts w:hint="eastAsia" w:ascii="宋体" w:hAnsi="宋体"/>
          <w:sz w:val="24"/>
          <w:szCs w:val="24"/>
        </w:rPr>
        <w:t>十三、供应商业绩情况表</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ascii="宋体" w:hAnsi="宋体"/>
                <w:kern w:val="0"/>
                <w:sz w:val="24"/>
                <w:szCs w:val="24"/>
                <w:lang w:val="zh-CN"/>
              </w:rPr>
            </w:pPr>
          </w:p>
        </w:tc>
      </w:tr>
    </w:tbl>
    <w:p>
      <w:pPr>
        <w:widowControl/>
        <w:spacing w:line="360" w:lineRule="auto"/>
        <w:jc w:val="left"/>
        <w:rPr>
          <w:rFonts w:ascii="宋体" w:hAnsi="宋体"/>
          <w:b/>
          <w:color w:val="000000"/>
          <w:sz w:val="24"/>
          <w:szCs w:val="24"/>
        </w:rPr>
      </w:pPr>
      <w:r>
        <w:rPr>
          <w:rFonts w:hint="eastAsia" w:asciiTheme="minorEastAsia" w:hAnsiTheme="minorEastAsia" w:eastAsiaTheme="minorEastAsia"/>
          <w:sz w:val="24"/>
          <w:szCs w:val="24"/>
        </w:rPr>
        <w:t>注：供应商根据上述业绩情况后附销售或服务</w:t>
      </w:r>
      <w:r>
        <w:rPr>
          <w:rFonts w:asciiTheme="minorEastAsia" w:hAnsiTheme="minorEastAsia" w:eastAsiaTheme="minorEastAsia"/>
          <w:sz w:val="24"/>
          <w:szCs w:val="24"/>
        </w:rPr>
        <w:t>合同</w:t>
      </w:r>
      <w:r>
        <w:rPr>
          <w:rFonts w:hint="eastAsia" w:asciiTheme="minorEastAsia" w:hAnsiTheme="minorEastAsia" w:eastAsiaTheme="minorEastAsia"/>
          <w:sz w:val="24"/>
          <w:szCs w:val="24"/>
        </w:rPr>
        <w:t>复印件。</w:t>
      </w:r>
      <w:r>
        <w:rPr>
          <w:rFonts w:ascii="宋体" w:hAnsi="宋体"/>
          <w:color w:val="000000"/>
          <w:sz w:val="24"/>
          <w:szCs w:val="24"/>
        </w:rPr>
        <w:br w:type="page"/>
      </w:r>
    </w:p>
    <w:bookmarkEnd w:id="35"/>
    <w:p>
      <w:pPr>
        <w:widowControl/>
        <w:spacing w:line="360" w:lineRule="auto"/>
        <w:jc w:val="left"/>
        <w:rPr>
          <w:rFonts w:asciiTheme="minorEastAsia" w:hAnsiTheme="minorEastAsia" w:eastAsiaTheme="minorEastAsia"/>
          <w:sz w:val="24"/>
          <w:szCs w:val="24"/>
        </w:rPr>
      </w:pPr>
    </w:p>
    <w:p>
      <w:pPr>
        <w:spacing w:line="360" w:lineRule="auto"/>
        <w:jc w:val="center"/>
        <w:rPr>
          <w:rFonts w:ascii="宋体" w:hAnsi="宋体"/>
          <w:sz w:val="24"/>
          <w:szCs w:val="24"/>
          <w:lang w:val="zh-CN"/>
        </w:rPr>
      </w:pPr>
      <w:r>
        <w:rPr>
          <w:rFonts w:hint="eastAsia" w:ascii="宋体" w:hAnsi="宋体"/>
          <w:sz w:val="24"/>
          <w:szCs w:val="24"/>
          <w:lang w:val="zh-CN"/>
        </w:rPr>
        <w:t>十四、供应商基本情况表</w:t>
      </w:r>
    </w:p>
    <w:tbl>
      <w:tblPr>
        <w:tblStyle w:val="25"/>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供应商名称</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firstLine="360" w:firstLineChars="150"/>
              <w:rPr>
                <w:rFonts w:ascii="宋体" w:hAnsi="宋体"/>
                <w:sz w:val="24"/>
                <w:szCs w:val="24"/>
                <w:lang w:val="zh-CN"/>
              </w:rPr>
            </w:pPr>
            <w:r>
              <w:rPr>
                <w:rFonts w:hint="eastAsia" w:ascii="宋体" w:hAnsi="宋体"/>
                <w:sz w:val="24"/>
                <w:szCs w:val="24"/>
                <w:lang w:val="zh-CN"/>
              </w:rPr>
              <w:t>所有制性质</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员工总数</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联系人</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r>
              <w:rPr>
                <w:rFonts w:hint="eastAsia" w:ascii="宋体" w:hAnsi="宋体"/>
                <w:sz w:val="24"/>
                <w:szCs w:val="24"/>
                <w:lang w:val="zh-CN"/>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4"/>
                <w:lang w:val="zh-CN"/>
              </w:rPr>
            </w:pPr>
            <w:r>
              <w:rPr>
                <w:rFonts w:hint="eastAsia" w:ascii="宋体" w:hAnsi="宋体"/>
                <w:sz w:val="24"/>
                <w:szCs w:val="24"/>
                <w:lang w:val="zh-CN"/>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4"/>
                <w:lang w:val="zh-CN"/>
              </w:rPr>
            </w:pPr>
            <w:r>
              <w:rPr>
                <w:rFonts w:hint="eastAsia" w:ascii="宋体" w:hAnsi="宋体"/>
                <w:sz w:val="24"/>
                <w:szCs w:val="24"/>
                <w:lang w:val="zh-CN"/>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4"/>
                <w:lang w:val="zh-CN"/>
              </w:rPr>
            </w:pPr>
            <w:r>
              <w:rPr>
                <w:rFonts w:hint="eastAsia" w:ascii="宋体" w:hAnsi="宋体"/>
                <w:sz w:val="24"/>
                <w:szCs w:val="24"/>
                <w:lang w:val="zh-CN"/>
              </w:rPr>
              <w:t>注：投标单位须在该表后附法人或其他组织的营业执照副本、自然人的身份证明及招标公告中供应商资质要求的其他资质证明等。</w:t>
            </w:r>
          </w:p>
        </w:tc>
      </w:tr>
    </w:tbl>
    <w:p>
      <w:pPr>
        <w:spacing w:line="360" w:lineRule="auto"/>
        <w:rPr>
          <w:rFonts w:ascii="宋体" w:hAnsi="宋体"/>
          <w:sz w:val="24"/>
          <w:szCs w:val="24"/>
          <w:lang w:val="zh-CN"/>
        </w:rPr>
      </w:pPr>
      <w:r>
        <w:rPr>
          <w:rFonts w:hint="eastAsia" w:ascii="宋体" w:hAnsi="宋体"/>
          <w:sz w:val="24"/>
          <w:szCs w:val="24"/>
          <w:lang w:val="zh-CN"/>
        </w:rPr>
        <w:t>说明：</w:t>
      </w:r>
    </w:p>
    <w:p>
      <w:pPr>
        <w:spacing w:line="360" w:lineRule="auto"/>
        <w:ind w:firstLine="480" w:firstLineChars="200"/>
        <w:rPr>
          <w:rFonts w:ascii="宋体" w:hAnsi="宋体"/>
          <w:sz w:val="24"/>
          <w:szCs w:val="24"/>
          <w:lang w:val="zh-CN"/>
        </w:rPr>
      </w:pPr>
      <w:r>
        <w:rPr>
          <w:rFonts w:hint="eastAsia" w:ascii="宋体" w:hAnsi="宋体"/>
          <w:sz w:val="24"/>
          <w:szCs w:val="24"/>
          <w:lang w:val="zh-CN"/>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ind w:firstLine="480" w:firstLineChars="200"/>
        <w:jc w:val="left"/>
        <w:rPr>
          <w:rFonts w:ascii="宋体" w:hAnsi="宋体"/>
          <w:sz w:val="24"/>
          <w:szCs w:val="24"/>
          <w:lang w:val="zh-CN"/>
        </w:rPr>
      </w:pPr>
      <w:bookmarkStart w:id="36" w:name="_Toc482026555"/>
      <w:r>
        <w:rPr>
          <w:rFonts w:ascii="宋体" w:hAnsi="宋体"/>
          <w:sz w:val="24"/>
          <w:szCs w:val="24"/>
          <w:lang w:val="zh-CN"/>
        </w:rPr>
        <w:br w:type="page"/>
      </w:r>
    </w:p>
    <w:bookmarkEnd w:id="36"/>
    <w:p>
      <w:pPr>
        <w:spacing w:line="360" w:lineRule="auto"/>
        <w:rPr>
          <w:rFonts w:ascii="宋体" w:hAnsi="宋体"/>
          <w:b/>
          <w:color w:val="000000"/>
          <w:sz w:val="24"/>
          <w:szCs w:val="24"/>
        </w:rPr>
      </w:pPr>
      <w:bookmarkStart w:id="37" w:name="_Toc496792941"/>
      <w:bookmarkStart w:id="38" w:name="_Toc482026558"/>
      <w:bookmarkStart w:id="39" w:name="_Toc496792717"/>
      <w:r>
        <w:rPr>
          <w:rFonts w:hint="eastAsia" w:ascii="宋体" w:hAnsi="宋体"/>
          <w:b/>
          <w:color w:val="000000"/>
          <w:sz w:val="24"/>
          <w:szCs w:val="24"/>
        </w:rPr>
        <w:t xml:space="preserve">          </w:t>
      </w:r>
    </w:p>
    <w:p>
      <w:pPr>
        <w:spacing w:line="360" w:lineRule="auto"/>
        <w:jc w:val="center"/>
        <w:rPr>
          <w:rFonts w:ascii="宋体" w:hAnsi="宋体"/>
          <w:sz w:val="24"/>
          <w:szCs w:val="24"/>
        </w:rPr>
      </w:pPr>
      <w:r>
        <w:rPr>
          <w:rFonts w:hint="eastAsia" w:ascii="宋体" w:hAnsi="宋体"/>
          <w:sz w:val="24"/>
          <w:szCs w:val="24"/>
        </w:rPr>
        <w:t>十五、商业信誉报告</w:t>
      </w:r>
    </w:p>
    <w:p>
      <w:pPr>
        <w:spacing w:line="360" w:lineRule="auto"/>
        <w:rPr>
          <w:rFonts w:ascii="宋体" w:hAnsi="宋体"/>
          <w:sz w:val="24"/>
          <w:szCs w:val="24"/>
        </w:rPr>
      </w:pPr>
    </w:p>
    <w:p>
      <w:pPr>
        <w:autoSpaceDE w:val="0"/>
        <w:autoSpaceDN w:val="0"/>
        <w:spacing w:line="360" w:lineRule="auto"/>
        <w:ind w:firstLine="570"/>
        <w:jc w:val="left"/>
        <w:rPr>
          <w:rFonts w:ascii="宋体" w:hAnsi="宋体"/>
          <w:color w:val="000000"/>
          <w:sz w:val="24"/>
          <w:szCs w:val="24"/>
        </w:rPr>
      </w:pPr>
      <w:bookmarkStart w:id="40" w:name="_Toc482026556"/>
      <w:bookmarkStart w:id="41" w:name="_Toc438655702"/>
      <w:bookmarkStart w:id="42" w:name="_Toc438714732"/>
      <w:r>
        <w:rPr>
          <w:rFonts w:hint="eastAsia" w:ascii="宋体" w:hAnsi="宋体"/>
          <w:color w:val="000000"/>
          <w:sz w:val="24"/>
          <w:szCs w:val="24"/>
        </w:rPr>
        <w:t>按照本</w:t>
      </w:r>
      <w:r>
        <w:rPr>
          <w:rFonts w:hint="eastAsia" w:ascii="宋体" w:hAnsi="宋体"/>
          <w:color w:val="000000"/>
          <w:sz w:val="24"/>
          <w:szCs w:val="24"/>
          <w:lang w:eastAsia="zh-CN"/>
        </w:rPr>
        <w:t>磋商文件</w:t>
      </w:r>
      <w:r>
        <w:rPr>
          <w:rFonts w:hint="eastAsia" w:ascii="宋体" w:hAnsi="宋体"/>
          <w:color w:val="000000"/>
          <w:sz w:val="24"/>
          <w:szCs w:val="24"/>
        </w:rPr>
        <w:t>第六章资格性审查的要求，提供供应商的具有良好的商业信誉的佐证材料</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说明：</w:t>
      </w:r>
    </w:p>
    <w:p>
      <w:pPr>
        <w:rPr>
          <w:rFonts w:ascii="宋体" w:hAnsi="宋体"/>
          <w:sz w:val="24"/>
          <w:szCs w:val="24"/>
        </w:rPr>
      </w:pPr>
      <w:r>
        <w:rPr>
          <w:rFonts w:hint="eastAsia" w:ascii="宋体" w:hAnsi="宋体"/>
          <w:sz w:val="24"/>
          <w:szCs w:val="24"/>
        </w:rPr>
        <w:t>1.供应商需提供由“征信中心网”（https://ipcrs.pbccrc.org.cn/）查询的信用报告。</w:t>
      </w:r>
    </w:p>
    <w:p>
      <w:pPr>
        <w:rPr>
          <w:rFonts w:ascii="宋体" w:hAnsi="宋体"/>
          <w:b/>
          <w:color w:val="000000"/>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r>
        <w:rPr>
          <w:rFonts w:ascii="宋体" w:hAnsi="宋体"/>
          <w:b/>
          <w:color w:val="000000"/>
          <w:sz w:val="24"/>
          <w:szCs w:val="24"/>
        </w:rPr>
        <w:br w:type="page"/>
      </w:r>
      <w:bookmarkEnd w:id="40"/>
      <w:bookmarkEnd w:id="41"/>
      <w:bookmarkEnd w:id="42"/>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十六、缴纳增值税、营业税或企业所得税的凭据</w:t>
      </w:r>
    </w:p>
    <w:p>
      <w:pPr>
        <w:autoSpaceDE w:val="0"/>
        <w:autoSpaceDN w:val="0"/>
        <w:spacing w:line="360" w:lineRule="auto"/>
        <w:jc w:val="center"/>
        <w:rPr>
          <w:rFonts w:ascii="宋体" w:hAnsi="宋体"/>
          <w:b/>
          <w:color w:val="000000"/>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w:t>
      </w:r>
      <w:r>
        <w:rPr>
          <w:rFonts w:hint="eastAsia" w:ascii="宋体" w:hAnsi="宋体"/>
          <w:color w:val="000000"/>
          <w:sz w:val="24"/>
          <w:szCs w:val="24"/>
          <w:lang w:eastAsia="zh-CN"/>
        </w:rPr>
        <w:t>磋商文件</w:t>
      </w:r>
      <w:r>
        <w:rPr>
          <w:rFonts w:hint="eastAsia" w:ascii="宋体" w:hAnsi="宋体"/>
          <w:color w:val="000000"/>
          <w:sz w:val="24"/>
          <w:szCs w:val="24"/>
        </w:rPr>
        <w:t>第六章资格性审查的要求，提供供应商的缴纳增值税或营业税或企业所得税的凭据。（至少提供任意一项税种的凭据）</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依法免税的供应商，应提供相应文件证明其依法免税。</w:t>
      </w:r>
    </w:p>
    <w:p>
      <w:pPr>
        <w:autoSpaceDE w:val="0"/>
        <w:autoSpaceDN w:val="0"/>
        <w:spacing w:line="360" w:lineRule="auto"/>
        <w:rPr>
          <w:rFonts w:ascii="宋体" w:hAnsi="宋体"/>
          <w:b/>
          <w:color w:val="000000"/>
          <w:sz w:val="24"/>
          <w:szCs w:val="24"/>
        </w:rPr>
      </w:pPr>
      <w:bookmarkStart w:id="43" w:name="_Toc438714733"/>
      <w:bookmarkStart w:id="44" w:name="_Toc482026557"/>
      <w:bookmarkStart w:id="45" w:name="_Toc438655703"/>
      <w:r>
        <w:rPr>
          <w:rFonts w:ascii="宋体" w:hAnsi="宋体"/>
          <w:b/>
          <w:color w:val="000000"/>
          <w:sz w:val="24"/>
          <w:szCs w:val="24"/>
        </w:rPr>
        <w:br w:type="page"/>
      </w:r>
      <w:bookmarkEnd w:id="43"/>
      <w:bookmarkEnd w:id="44"/>
      <w:bookmarkEnd w:id="45"/>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十七、缴纳社会保险的凭据</w:t>
      </w:r>
    </w:p>
    <w:p>
      <w:pPr>
        <w:autoSpaceDE w:val="0"/>
        <w:autoSpaceDN w:val="0"/>
        <w:spacing w:line="360" w:lineRule="auto"/>
        <w:rPr>
          <w:rFonts w:ascii="宋体" w:hAnsi="宋体"/>
          <w:b/>
          <w:color w:val="000000"/>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w:t>
      </w:r>
      <w:r>
        <w:rPr>
          <w:rFonts w:hint="eastAsia" w:ascii="宋体" w:hAnsi="宋体"/>
          <w:color w:val="000000"/>
          <w:sz w:val="24"/>
          <w:szCs w:val="24"/>
          <w:lang w:eastAsia="zh-CN"/>
        </w:rPr>
        <w:t>磋商文件</w:t>
      </w:r>
      <w:r>
        <w:rPr>
          <w:rFonts w:hint="eastAsia" w:ascii="宋体" w:hAnsi="宋体"/>
          <w:color w:val="000000"/>
          <w:sz w:val="24"/>
          <w:szCs w:val="24"/>
        </w:rPr>
        <w:t>第六章资格性审查的要求，提供供应商的</w:t>
      </w:r>
      <w:r>
        <w:rPr>
          <w:rFonts w:hint="eastAsia" w:ascii="宋体" w:hAnsi="宋体"/>
          <w:sz w:val="24"/>
          <w:szCs w:val="24"/>
        </w:rPr>
        <w:t>缴纳社会保险的凭据（专用收据或社保缴纳清单）。</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依法不需要缴纳社会保障资金的供应商，应提供相应文件证明其依法不需要缴纳社会保障资金。</w:t>
      </w:r>
    </w:p>
    <w:p>
      <w:pPr>
        <w:ind w:firstLine="480" w:firstLineChars="200"/>
        <w:rPr>
          <w:sz w:val="24"/>
          <w:szCs w:val="24"/>
        </w:rPr>
      </w:pPr>
      <w:r>
        <w:rPr>
          <w:sz w:val="24"/>
          <w:szCs w:val="24"/>
        </w:rPr>
        <w:br w:type="page"/>
      </w:r>
    </w:p>
    <w:bookmarkEnd w:id="37"/>
    <w:bookmarkEnd w:id="38"/>
    <w:bookmarkEnd w:id="39"/>
    <w:p>
      <w:pPr>
        <w:widowControl/>
        <w:spacing w:line="360" w:lineRule="auto"/>
        <w:jc w:val="left"/>
        <w:rPr>
          <w:rFonts w:asciiTheme="minorEastAsia" w:hAnsiTheme="minorEastAsia" w:eastAsiaTheme="minorEastAsia"/>
          <w:sz w:val="24"/>
          <w:szCs w:val="24"/>
        </w:rPr>
      </w:pPr>
    </w:p>
    <w:p>
      <w:pPr>
        <w:spacing w:line="360" w:lineRule="auto"/>
        <w:ind w:firstLine="480" w:firstLineChars="200"/>
        <w:jc w:val="center"/>
        <w:rPr>
          <w:rFonts w:ascii="宋体" w:hAnsi="宋体"/>
          <w:sz w:val="24"/>
          <w:szCs w:val="24"/>
        </w:rPr>
      </w:pP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十八、参加政府采购前三年内在经营活动中无</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重大违法记录书面声明</w:t>
      </w: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u w:val="single"/>
        </w:rPr>
        <w:t xml:space="preserve">（采购单位）     </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在参加此次政府采购活动前3年内，本公司在经营活动中无重大违法记录，并在企业工商注册所在地或项目所在地信用管理中心出具的《信用信息查询结果》、“中国政府采购网”网站（www.ccgp.gov.cn）上均无任何违法违规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供应商名称（公章）：</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pStyle w:val="4"/>
        <w:keepNext w:val="0"/>
        <w:keepLines w:val="0"/>
        <w:spacing w:line="360" w:lineRule="auto"/>
        <w:rPr>
          <w:rFonts w:ascii="宋体" w:hAnsi="宋体" w:eastAsia="宋体"/>
          <w:b w:val="0"/>
          <w:bCs w:val="0"/>
          <w:color w:val="000000"/>
          <w:kern w:val="2"/>
          <w:sz w:val="24"/>
          <w:szCs w:val="24"/>
          <w:lang w:val="en-US"/>
        </w:rPr>
      </w:pPr>
      <w:bookmarkStart w:id="46" w:name="_Toc482026559"/>
    </w:p>
    <w:p>
      <w:pPr>
        <w:autoSpaceDE w:val="0"/>
        <w:autoSpaceDN w:val="0"/>
        <w:spacing w:line="360" w:lineRule="auto"/>
        <w:rPr>
          <w:rFonts w:ascii="宋体" w:hAnsi="宋体"/>
          <w:bCs/>
          <w:color w:val="000000"/>
          <w:kern w:val="0"/>
          <w:sz w:val="24"/>
          <w:szCs w:val="24"/>
          <w:lang w:val="zh-CN"/>
        </w:rPr>
      </w:pPr>
      <w:r>
        <w:rPr>
          <w:rFonts w:hint="eastAsia" w:ascii="宋体" w:hAnsi="宋体"/>
          <w:color w:val="000000"/>
          <w:sz w:val="24"/>
          <w:szCs w:val="24"/>
        </w:rPr>
        <w:t>说明：供应商应提供《信用信息查询结果》和“中国政府采购网”查询截图。</w:t>
      </w:r>
      <w:r>
        <w:rPr>
          <w:rFonts w:hint="eastAsia" w:ascii="宋体" w:hAnsi="宋体" w:cs="宋体"/>
          <w:bCs/>
          <w:kern w:val="36"/>
          <w:sz w:val="24"/>
          <w:szCs w:val="24"/>
        </w:rPr>
        <w:t>如有不提供或提供失效的、弄虚作假的，评标委员会有权否决其投标资格。</w:t>
      </w:r>
    </w:p>
    <w:p>
      <w:pPr>
        <w:pStyle w:val="4"/>
        <w:keepNext w:val="0"/>
        <w:keepLines w:val="0"/>
        <w:spacing w:line="360" w:lineRule="auto"/>
        <w:rPr>
          <w:rFonts w:ascii="宋体" w:hAnsi="宋体" w:eastAsia="宋体"/>
          <w:b w:val="0"/>
          <w:bCs w:val="0"/>
          <w:color w:val="000000"/>
          <w:kern w:val="2"/>
          <w:sz w:val="24"/>
          <w:szCs w:val="24"/>
          <w:lang w:val="en-US"/>
        </w:rPr>
      </w:pPr>
      <w:r>
        <w:rPr>
          <w:rFonts w:ascii="宋体" w:hAnsi="宋体" w:eastAsia="宋体"/>
          <w:b w:val="0"/>
          <w:bCs w:val="0"/>
          <w:color w:val="000000"/>
          <w:kern w:val="2"/>
          <w:sz w:val="24"/>
          <w:szCs w:val="24"/>
          <w:lang w:val="en-US"/>
        </w:rPr>
        <w:br w:type="page"/>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sz w:val="44"/>
          <w:szCs w:val="44"/>
        </w:rPr>
      </w:pPr>
      <w:bookmarkStart w:id="47" w:name="_Toc496792942"/>
      <w:bookmarkStart w:id="48" w:name="_Toc496792718"/>
      <w:r>
        <w:rPr>
          <w:rFonts w:hint="eastAsia" w:ascii="宋体" w:hAnsi="宋体"/>
          <w:b/>
          <w:bCs/>
          <w:color w:val="000000"/>
          <w:sz w:val="30"/>
          <w:szCs w:val="30"/>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仿宋_GB2312" w:hAnsi="华文中宋" w:eastAsia="仿宋_GB2312"/>
          <w:szCs w:val="21"/>
        </w:rPr>
      </w:pPr>
      <w:r>
        <w:rPr>
          <w:rFonts w:hint="eastAsia" w:ascii="宋体" w:hAnsi="宋体" w:cs="Arial"/>
          <w:sz w:val="24"/>
        </w:rPr>
        <w:t xml:space="preserve">                                                                                                       </w:t>
      </w:r>
      <w:r>
        <w:rPr>
          <w:rFonts w:hint="eastAsia" w:ascii="宋体" w:hAnsi="宋体" w:cs="Arial"/>
          <w:szCs w:val="21"/>
        </w:rPr>
        <w:t xml:space="preserve">编号：           </w:t>
      </w:r>
    </w:p>
    <w:tbl>
      <w:tblPr>
        <w:tblStyle w:val="25"/>
        <w:tblW w:w="10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申请企业</w:t>
            </w:r>
          </w:p>
        </w:tc>
        <w:tc>
          <w:tcPr>
            <w:tcW w:w="8424" w:type="dxa"/>
            <w:gridSpan w:val="5"/>
            <w:tcBorders>
              <w:top w:val="single" w:color="auto" w:sz="8" w:space="0"/>
              <w:bottom w:val="single" w:color="auto" w:sz="8" w:space="0"/>
            </w:tcBorders>
            <w:vAlign w:val="center"/>
          </w:tcPr>
          <w:p>
            <w:pPr>
              <w:keepNext w:val="0"/>
              <w:keepLines w:val="0"/>
              <w:suppressLineNumbers w:val="0"/>
              <w:spacing w:before="0" w:beforeAutospacing="0" w:after="0" w:afterAutospacing="0" w:line="360" w:lineRule="auto"/>
              <w:ind w:left="0" w:right="0" w:firstLine="360" w:firstLineChars="15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查询企业</w:t>
            </w: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sz w:val="24"/>
                <w:szCs w:val="22"/>
              </w:rPr>
            </w:pPr>
            <w:r>
              <w:rPr>
                <w:rFonts w:hint="eastAsia" w:ascii="宋体" w:hAnsi="宋体"/>
                <w:sz w:val="24"/>
                <w:szCs w:val="22"/>
              </w:rPr>
              <w:t>所查询企业</w:t>
            </w:r>
          </w:p>
          <w:p>
            <w:pPr>
              <w:keepNext w:val="0"/>
              <w:keepLines w:val="0"/>
              <w:suppressLineNumbers w:val="0"/>
              <w:spacing w:before="0" w:beforeAutospacing="0" w:after="0" w:afterAutospacing="0" w:line="400" w:lineRule="exact"/>
              <w:ind w:left="0" w:right="0"/>
              <w:jc w:val="left"/>
              <w:rPr>
                <w:rFonts w:ascii="宋体" w:hAnsi="宋体"/>
                <w:sz w:val="24"/>
                <w:szCs w:val="22"/>
              </w:rPr>
            </w:pPr>
            <w:r>
              <w:rPr>
                <w:rFonts w:hint="eastAsia" w:ascii="宋体" w:hAnsi="宋体"/>
                <w:sz w:val="24"/>
                <w:szCs w:val="22"/>
              </w:rPr>
              <w:t>全称</w:t>
            </w:r>
          </w:p>
        </w:tc>
        <w:tc>
          <w:tcPr>
            <w:tcW w:w="8424" w:type="dxa"/>
            <w:gridSpan w:val="5"/>
            <w:tcBorders>
              <w:top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5" w:type="dxa"/>
            <w:vMerge w:val="continue"/>
            <w:vAlign w:val="center"/>
          </w:tcPr>
          <w:p>
            <w:pPr>
              <w:keepNext w:val="0"/>
              <w:keepLines w:val="0"/>
              <w:suppressLineNumbers w:val="0"/>
              <w:spacing w:before="0" w:beforeAutospacing="0" w:after="0" w:afterAutospacing="0" w:line="360" w:lineRule="auto"/>
              <w:ind w:left="0" w:right="0"/>
              <w:jc w:val="left"/>
              <w:rPr>
                <w:szCs w:val="22"/>
              </w:rPr>
            </w:pP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400" w:lineRule="exact"/>
              <w:ind w:left="0" w:right="0"/>
              <w:jc w:val="left"/>
              <w:rPr>
                <w:rFonts w:ascii="宋体" w:hAnsi="宋体"/>
                <w:sz w:val="24"/>
                <w:szCs w:val="22"/>
              </w:rPr>
            </w:pPr>
            <w:r>
              <w:rPr>
                <w:rFonts w:hint="eastAsia" w:ascii="宋体" w:hAnsi="宋体"/>
                <w:sz w:val="24"/>
                <w:szCs w:val="22"/>
              </w:rPr>
              <w:t>企业统一社会信用代码</w:t>
            </w:r>
          </w:p>
        </w:tc>
        <w:tc>
          <w:tcPr>
            <w:tcW w:w="8424" w:type="dxa"/>
            <w:gridSpan w:val="5"/>
            <w:tcBorders>
              <w:bottom w:val="single" w:color="auto" w:sz="4"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05" w:type="dxa"/>
            <w:vMerge w:val="continue"/>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法人姓名</w:t>
            </w:r>
          </w:p>
        </w:tc>
        <w:tc>
          <w:tcPr>
            <w:tcW w:w="8424" w:type="dxa"/>
            <w:gridSpan w:val="5"/>
            <w:tcBorders>
              <w:top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szCs w:val="22"/>
              </w:rPr>
            </w:pPr>
          </w:p>
        </w:tc>
        <w:tc>
          <w:tcPr>
            <w:tcW w:w="1698" w:type="dxa"/>
            <w:tcBorders>
              <w:top w:val="single" w:color="auto" w:sz="8" w:space="0"/>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身份证号码</w:t>
            </w:r>
          </w:p>
        </w:tc>
        <w:tc>
          <w:tcPr>
            <w:tcW w:w="8424" w:type="dxa"/>
            <w:gridSpan w:val="5"/>
            <w:tcBorders>
              <w:bottom w:val="single" w:color="auto" w:sz="4" w:space="0"/>
            </w:tcBorders>
            <w:vAlign w:val="center"/>
          </w:tcPr>
          <w:tbl>
            <w:tblPr>
              <w:tblStyle w:val="25"/>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c>
                <w:tcPr>
                  <w:tcW w:w="360" w:type="dxa"/>
                </w:tcPr>
                <w:p>
                  <w:pPr>
                    <w:keepNext w:val="0"/>
                    <w:keepLines w:val="0"/>
                    <w:suppressLineNumbers w:val="0"/>
                    <w:spacing w:before="0" w:beforeAutospacing="0" w:after="0" w:afterAutospacing="0" w:line="360" w:lineRule="auto"/>
                    <w:ind w:left="0" w:right="0"/>
                    <w:rPr>
                      <w:rFonts w:ascii="宋体" w:hAnsi="宋体"/>
                      <w:sz w:val="18"/>
                      <w:szCs w:val="18"/>
                    </w:rPr>
                  </w:pPr>
                </w:p>
              </w:tc>
            </w:tr>
          </w:tbl>
          <w:p>
            <w:pPr>
              <w:keepNext w:val="0"/>
              <w:keepLines w:val="0"/>
              <w:suppressLineNumbers w:val="0"/>
              <w:spacing w:before="0" w:beforeAutospacing="0" w:after="0" w:afterAutospacing="0" w:line="360" w:lineRule="auto"/>
              <w:ind w:left="0" w:right="0"/>
              <w:jc w:val="center"/>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b/>
                <w:bCs/>
                <w:sz w:val="24"/>
                <w:szCs w:val="22"/>
              </w:rPr>
            </w:pPr>
            <w:r>
              <w:rPr>
                <w:rFonts w:hint="eastAsia" w:ascii="宋体" w:hAnsi="宋体"/>
                <w:sz w:val="24"/>
                <w:szCs w:val="22"/>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2"/>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center"/>
              <w:rPr>
                <w:rFonts w:ascii="宋体" w:hAnsi="宋体"/>
                <w:sz w:val="24"/>
                <w:szCs w:val="22"/>
              </w:rPr>
            </w:pPr>
            <w:r>
              <w:rPr>
                <w:rFonts w:hint="eastAsia" w:ascii="宋体" w:hAnsi="宋体"/>
                <w:sz w:val="24"/>
                <w:szCs w:val="22"/>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bCs/>
                <w:sz w:val="24"/>
                <w:szCs w:val="22"/>
              </w:rPr>
            </w:pPr>
            <w:r>
              <w:rPr>
                <w:rFonts w:hint="eastAsia" w:ascii="宋体" w:hAnsi="宋体" w:cs="宋体"/>
                <w:kern w:val="0"/>
                <w:sz w:val="24"/>
                <w:szCs w:val="22"/>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jc w:val="left"/>
              <w:rPr>
                <w:rFonts w:ascii="宋体" w:hAnsi="宋体" w:cs="宋体"/>
                <w:kern w:val="0"/>
                <w:sz w:val="24"/>
                <w:szCs w:val="22"/>
              </w:rPr>
            </w:pPr>
            <w:r>
              <w:rPr>
                <w:rFonts w:hint="eastAsia" w:ascii="宋体" w:hAnsi="宋体" w:cs="宋体"/>
                <w:kern w:val="0"/>
                <w:sz w:val="24"/>
                <w:szCs w:val="22"/>
              </w:rPr>
              <w:t>□办理</w:t>
            </w:r>
            <w:r>
              <w:rPr>
                <w:rFonts w:hint="eastAsia" w:ascii="宋体" w:hAnsi="宋体" w:cs="宋体"/>
                <w:kern w:val="0"/>
                <w:sz w:val="24"/>
                <w:szCs w:val="22"/>
                <w:u w:val="single"/>
              </w:rPr>
              <w:t xml:space="preserve">                                                     </w:t>
            </w:r>
            <w:r>
              <w:rPr>
                <w:rFonts w:hint="eastAsia" w:ascii="宋体" w:hAnsi="宋体" w:cs="宋体"/>
                <w:kern w:val="0"/>
                <w:sz w:val="24"/>
                <w:szCs w:val="22"/>
              </w:rPr>
              <w:t>相关业务。</w:t>
            </w:r>
          </w:p>
          <w:p>
            <w:pPr>
              <w:keepNext w:val="0"/>
              <w:keepLines w:val="0"/>
              <w:suppressLineNumbers w:val="0"/>
              <w:spacing w:before="0" w:beforeAutospacing="0" w:after="0" w:afterAutospacing="0" w:line="360" w:lineRule="auto"/>
              <w:ind w:left="0" w:right="0"/>
              <w:jc w:val="left"/>
              <w:rPr>
                <w:rFonts w:ascii="宋体" w:hAnsi="宋体"/>
                <w:bCs/>
                <w:sz w:val="24"/>
                <w:szCs w:val="22"/>
              </w:rPr>
            </w:pPr>
            <w:r>
              <w:rPr>
                <w:rFonts w:hint="eastAsia" w:ascii="宋体" w:hAnsi="宋体" w:cs="宋体"/>
                <w:kern w:val="0"/>
                <w:sz w:val="24"/>
                <w:szCs w:val="22"/>
              </w:rPr>
              <w:t>□</w:t>
            </w:r>
            <w:r>
              <w:rPr>
                <w:rFonts w:hint="eastAsia" w:ascii="宋体" w:hAnsi="宋体"/>
                <w:sz w:val="24"/>
                <w:szCs w:val="22"/>
              </w:rPr>
              <w:t>其他</w:t>
            </w:r>
            <w:r>
              <w:rPr>
                <w:rFonts w:hint="eastAsia" w:ascii="宋体" w:hAnsi="宋体" w:cs="宋体"/>
                <w:kern w:val="0"/>
                <w:sz w:val="24"/>
                <w:szCs w:val="22"/>
                <w:u w:val="single"/>
              </w:rPr>
              <w:t xml:space="preserve">                                             　　　 </w:t>
            </w:r>
            <w:r>
              <w:rPr>
                <w:rFonts w:hint="eastAsia" w:ascii="宋体" w:hAnsi="宋体" w:cs="宋体"/>
                <w:kern w:val="0"/>
                <w:sz w:val="24"/>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5570" w:firstLineChars="2321"/>
              <w:rPr>
                <w:rFonts w:ascii="宋体" w:hAnsi="宋体"/>
                <w:sz w:val="24"/>
                <w:szCs w:val="22"/>
              </w:rPr>
            </w:pPr>
          </w:p>
          <w:p>
            <w:pPr>
              <w:keepNext w:val="0"/>
              <w:keepLines w:val="0"/>
              <w:suppressLineNumbers w:val="0"/>
              <w:spacing w:before="0" w:beforeAutospacing="0" w:after="0" w:afterAutospacing="0" w:line="360" w:lineRule="auto"/>
              <w:ind w:left="0" w:right="0"/>
              <w:jc w:val="right"/>
              <w:rPr>
                <w:rFonts w:ascii="宋体" w:hAnsi="宋体"/>
                <w:bCs/>
                <w:sz w:val="24"/>
                <w:szCs w:val="22"/>
              </w:rPr>
            </w:pPr>
            <w:r>
              <w:rPr>
                <w:rFonts w:hint="eastAsia" w:ascii="宋体" w:hAnsi="宋体"/>
                <w:sz w:val="24"/>
                <w:szCs w:val="22"/>
              </w:rPr>
              <w:t>申请人签名：</w:t>
            </w:r>
            <w:r>
              <w:rPr>
                <w:rFonts w:hint="eastAsia" w:ascii="宋体" w:hAnsi="宋体"/>
                <w:bCs/>
                <w:sz w:val="24"/>
                <w:szCs w:val="22"/>
              </w:rPr>
              <w:t xml:space="preserve">                       年      月    日</w:t>
            </w:r>
          </w:p>
          <w:p>
            <w:pPr>
              <w:keepNext w:val="0"/>
              <w:keepLines w:val="0"/>
              <w:suppressLineNumbers w:val="0"/>
              <w:spacing w:before="0" w:beforeAutospacing="0" w:after="0" w:afterAutospacing="0" w:line="360" w:lineRule="auto"/>
              <w:ind w:left="0" w:right="0"/>
              <w:jc w:val="right"/>
              <w:rPr>
                <w:rFonts w:ascii="宋体" w:hAnsi="宋体"/>
                <w:bCs/>
                <w:sz w:val="24"/>
                <w:szCs w:val="22"/>
              </w:rPr>
            </w:pPr>
          </w:p>
          <w:p>
            <w:pPr>
              <w:keepNext w:val="0"/>
              <w:keepLines w:val="0"/>
              <w:suppressLineNumbers w:val="0"/>
              <w:spacing w:before="0" w:beforeAutospacing="0" w:after="0" w:afterAutospacing="0" w:line="360" w:lineRule="auto"/>
              <w:ind w:left="0" w:right="0" w:firstLine="4560" w:firstLineChars="1900"/>
              <w:rPr>
                <w:rFonts w:ascii="宋体" w:hAnsi="宋体" w:cs="宋体"/>
                <w:kern w:val="0"/>
                <w:sz w:val="24"/>
                <w:szCs w:val="22"/>
              </w:rPr>
            </w:pPr>
            <w:r>
              <w:rPr>
                <w:rFonts w:hint="eastAsia" w:ascii="宋体" w:hAnsi="宋体"/>
                <w:bCs/>
                <w:sz w:val="24"/>
                <w:szCs w:val="22"/>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480" w:firstLineChars="200"/>
              <w:rPr>
                <w:rFonts w:ascii="宋体" w:hAnsi="宋体" w:cs="宋体"/>
                <w:kern w:val="0"/>
                <w:sz w:val="24"/>
                <w:szCs w:val="22"/>
              </w:rPr>
            </w:pPr>
            <w:r>
              <w:rPr>
                <w:rFonts w:hint="eastAsia" w:ascii="宋体" w:hAnsi="宋体" w:cs="宋体"/>
                <w:kern w:val="0"/>
                <w:sz w:val="24"/>
                <w:szCs w:val="22"/>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firstLine="480" w:firstLineChars="200"/>
              <w:rPr>
                <w:rFonts w:ascii="宋体" w:hAnsi="宋体" w:cs="宋体"/>
                <w:kern w:val="0"/>
                <w:sz w:val="24"/>
                <w:szCs w:val="22"/>
              </w:rPr>
            </w:pPr>
          </w:p>
        </w:tc>
        <w:tc>
          <w:tcPr>
            <w:tcW w:w="1513"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cs="宋体"/>
                <w:kern w:val="0"/>
                <w:sz w:val="24"/>
                <w:szCs w:val="22"/>
              </w:rPr>
            </w:pPr>
            <w:r>
              <w:rPr>
                <w:rFonts w:hint="eastAsia" w:ascii="宋体" w:hAnsi="宋体" w:cs="宋体"/>
                <w:kern w:val="0"/>
                <w:sz w:val="24"/>
                <w:szCs w:val="22"/>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360" w:lineRule="auto"/>
              <w:ind w:left="0" w:right="0"/>
              <w:rPr>
                <w:rFonts w:ascii="宋体" w:hAnsi="宋体" w:cs="宋体"/>
                <w:kern w:val="0"/>
                <w:sz w:val="24"/>
                <w:szCs w:val="22"/>
              </w:rPr>
            </w:pPr>
            <w:r>
              <w:rPr>
                <w:rFonts w:hint="eastAsia" w:ascii="宋体" w:hAnsi="宋体" w:cs="宋体"/>
                <w:kern w:val="0"/>
                <w:sz w:val="24"/>
                <w:szCs w:val="22"/>
              </w:rPr>
              <w:t xml:space="preserve"> </w:t>
            </w:r>
          </w:p>
          <w:p>
            <w:pPr>
              <w:keepNext w:val="0"/>
              <w:keepLines w:val="0"/>
              <w:suppressLineNumbers w:val="0"/>
              <w:spacing w:before="0" w:beforeAutospacing="0" w:after="0" w:afterAutospacing="0" w:line="360" w:lineRule="auto"/>
              <w:ind w:left="0" w:right="0"/>
              <w:rPr>
                <w:rFonts w:ascii="宋体" w:hAnsi="宋体" w:cs="宋体"/>
                <w:kern w:val="0"/>
                <w:sz w:val="24"/>
                <w:szCs w:val="22"/>
              </w:rPr>
            </w:pPr>
            <w:r>
              <w:rPr>
                <w:rFonts w:hint="eastAsia" w:ascii="宋体" w:hAnsi="宋体" w:cs="宋体"/>
                <w:kern w:val="0"/>
                <w:sz w:val="24"/>
                <w:szCs w:val="22"/>
              </w:rPr>
              <w:t>签名：</w:t>
            </w:r>
          </w:p>
        </w:tc>
      </w:tr>
    </w:tbl>
    <w:p>
      <w:pPr>
        <w:spacing w:line="0" w:lineRule="atLeast"/>
        <w:rPr>
          <w:rFonts w:ascii="宋体" w:hAnsi="宋体"/>
          <w:szCs w:val="21"/>
        </w:rPr>
      </w:pPr>
      <w:r>
        <w:rPr>
          <w:rFonts w:hint="eastAsia" w:ascii="宋体" w:hAnsi="宋体"/>
          <w:b/>
          <w:szCs w:val="21"/>
        </w:rPr>
        <w:t xml:space="preserve">　　　　　　　　　　　　　　　　　　　　 </w:t>
      </w:r>
    </w:p>
    <w:p>
      <w:pPr>
        <w:spacing w:line="0" w:lineRule="atLeast"/>
        <w:rPr>
          <w:rFonts w:ascii="宋体" w:hAnsi="宋体"/>
          <w:b/>
          <w:sz w:val="24"/>
          <w:szCs w:val="20"/>
        </w:rPr>
      </w:pPr>
      <w:r>
        <w:rPr>
          <w:rFonts w:hint="eastAsia" w:ascii="宋体" w:hAnsi="宋体"/>
          <w:b/>
          <w:sz w:val="24"/>
          <w:szCs w:val="20"/>
        </w:rPr>
        <w:t>注：</w:t>
      </w:r>
    </w:p>
    <w:p>
      <w:pPr>
        <w:spacing w:line="0" w:lineRule="atLeast"/>
        <w:rPr>
          <w:rFonts w:ascii="宋体" w:hAnsi="宋体"/>
          <w:sz w:val="24"/>
          <w:szCs w:val="20"/>
          <w:lang w:val="zh-CN"/>
        </w:rPr>
      </w:pPr>
      <w:r>
        <w:rPr>
          <w:rFonts w:hint="eastAsia" w:ascii="宋体" w:hAnsi="宋体"/>
          <w:sz w:val="24"/>
          <w:szCs w:val="20"/>
        </w:rPr>
        <w:t>1.请</w:t>
      </w:r>
      <w:r>
        <w:rPr>
          <w:rFonts w:hint="eastAsia" w:ascii="宋体" w:hAnsi="宋体"/>
          <w:sz w:val="24"/>
          <w:szCs w:val="20"/>
          <w:lang w:val="zh-CN"/>
        </w:rPr>
        <w:t>如实、完整地填写有关内容。</w:t>
      </w:r>
    </w:p>
    <w:p>
      <w:pPr>
        <w:spacing w:line="0" w:lineRule="atLeast"/>
        <w:rPr>
          <w:rFonts w:ascii="宋体" w:hAnsi="宋体"/>
          <w:sz w:val="24"/>
          <w:szCs w:val="20"/>
          <w:lang w:val="zh-CN"/>
        </w:rPr>
      </w:pPr>
      <w:r>
        <w:rPr>
          <w:rFonts w:hint="eastAsia" w:ascii="宋体" w:hAnsi="宋体"/>
          <w:sz w:val="24"/>
          <w:szCs w:val="20"/>
        </w:rPr>
        <w:t>2.</w:t>
      </w:r>
      <w:r>
        <w:rPr>
          <w:rFonts w:hint="eastAsia" w:ascii="宋体" w:hAnsi="宋体"/>
          <w:sz w:val="24"/>
          <w:szCs w:val="20"/>
          <w:lang w:val="zh-CN"/>
        </w:rPr>
        <w:t>请使用黑色钢笔、中性笔签字。</w:t>
      </w:r>
    </w:p>
    <w:p>
      <w:pPr>
        <w:spacing w:line="0" w:lineRule="atLeast"/>
        <w:rPr>
          <w:rFonts w:hint="eastAsia" w:ascii="宋体" w:hAnsi="宋体"/>
          <w:sz w:val="24"/>
          <w:szCs w:val="20"/>
          <w:lang w:val="zh-CN"/>
        </w:rPr>
      </w:pPr>
      <w:r>
        <w:rPr>
          <w:rFonts w:hint="eastAsia" w:ascii="宋体" w:hAnsi="宋体"/>
          <w:sz w:val="24"/>
          <w:szCs w:val="20"/>
        </w:rPr>
        <w:t>3.</w:t>
      </w:r>
      <w:r>
        <w:rPr>
          <w:rFonts w:hint="eastAsia" w:ascii="宋体" w:hAnsi="宋体"/>
          <w:sz w:val="24"/>
          <w:szCs w:val="20"/>
          <w:lang w:val="en-US" w:eastAsia="zh-CN"/>
        </w:rPr>
        <w:t>本查询结果有效期为20天。</w:t>
      </w:r>
    </w:p>
    <w:p>
      <w:pPr>
        <w:spacing w:line="0" w:lineRule="atLeast"/>
        <w:rPr>
          <w:rFonts w:hint="default" w:eastAsia="宋体"/>
          <w:sz w:val="24"/>
          <w:szCs w:val="18"/>
          <w:lang w:val="en-US" w:eastAsia="zh-CN"/>
        </w:rPr>
      </w:pPr>
      <w:r>
        <w:rPr>
          <w:rFonts w:hint="eastAsia" w:ascii="宋体" w:hAnsi="宋体"/>
          <w:sz w:val="24"/>
          <w:szCs w:val="20"/>
          <w:lang w:val="en-US" w:eastAsia="zh-CN"/>
        </w:rPr>
        <w:t>4.</w:t>
      </w:r>
      <w:r>
        <w:rPr>
          <w:rFonts w:hint="eastAsia" w:ascii="宋体" w:hAnsi="宋体"/>
          <w:sz w:val="24"/>
          <w:szCs w:val="20"/>
          <w:lang w:val="zh-CN"/>
        </w:rPr>
        <w:t>受理查询后</w:t>
      </w:r>
      <w:r>
        <w:rPr>
          <w:rFonts w:hint="eastAsia" w:ascii="宋体" w:hAnsi="宋体"/>
          <w:sz w:val="24"/>
          <w:szCs w:val="20"/>
          <w:lang w:val="en-US" w:eastAsia="zh-CN"/>
        </w:rPr>
        <w:t>2</w:t>
      </w:r>
      <w:r>
        <w:rPr>
          <w:rFonts w:hint="eastAsia" w:ascii="宋体" w:hAnsi="宋体"/>
          <w:sz w:val="24"/>
          <w:szCs w:val="20"/>
        </w:rPr>
        <w:t>个工作日</w:t>
      </w:r>
      <w:r>
        <w:rPr>
          <w:rFonts w:hint="eastAsia" w:ascii="宋体" w:hAnsi="宋体"/>
          <w:sz w:val="24"/>
          <w:szCs w:val="20"/>
          <w:lang w:val="zh-CN"/>
        </w:rPr>
        <w:t>提供所申请的企业信用信息情况。</w:t>
      </w:r>
    </w:p>
    <w:p>
      <w:pPr>
        <w:spacing w:line="0" w:lineRule="atLeast"/>
        <w:rPr>
          <w:rFonts w:ascii="宋体" w:hAnsi="宋体"/>
          <w:sz w:val="24"/>
          <w:szCs w:val="20"/>
          <w:lang w:val="zh-CN"/>
        </w:rPr>
      </w:pPr>
      <w:r>
        <w:rPr>
          <w:rFonts w:hint="eastAsia" w:ascii="宋体" w:hAnsi="宋体"/>
          <w:sz w:val="24"/>
          <w:szCs w:val="20"/>
          <w:lang w:val="en-US" w:eastAsia="zh-CN"/>
        </w:rPr>
        <w:t>5</w:t>
      </w:r>
      <w:r>
        <w:rPr>
          <w:rFonts w:hint="eastAsia" w:ascii="宋体" w:hAnsi="宋体"/>
          <w:sz w:val="24"/>
          <w:szCs w:val="20"/>
        </w:rPr>
        <w:t>.</w:t>
      </w:r>
      <w:r>
        <w:rPr>
          <w:rFonts w:hint="eastAsia" w:ascii="宋体" w:hAnsi="宋体"/>
          <w:sz w:val="24"/>
          <w:szCs w:val="20"/>
          <w:lang w:val="zh-CN"/>
        </w:rPr>
        <w:t>如有不提供、失效的、弄虚作假等行为的，评标委员会有权否决其投标资格。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黑体" w:hAnsi="华文中宋" w:eastAsia="黑体"/>
          <w:b/>
          <w:sz w:val="32"/>
          <w:szCs w:val="32"/>
        </w:rPr>
      </w:pPr>
      <w:r>
        <w:rPr>
          <w:rFonts w:hint="eastAsia" w:ascii="黑体" w:hAnsi="华文中宋" w:eastAsia="黑体"/>
          <w:b/>
          <w:sz w:val="28"/>
          <w:szCs w:val="28"/>
        </w:rPr>
        <w:t>鄂托克前旗社会信用管理中心制表</w:t>
      </w:r>
    </w:p>
    <w:p>
      <w:pPr>
        <w:autoSpaceDE w:val="0"/>
        <w:autoSpaceDN w:val="0"/>
        <w:spacing w:line="500" w:lineRule="exact"/>
        <w:ind w:firstLine="480" w:firstLineChars="200"/>
        <w:rPr>
          <w:rFonts w:ascii="宋体" w:hAnsi="宋体"/>
          <w:color w:val="000000"/>
          <w:sz w:val="24"/>
          <w:szCs w:val="24"/>
        </w:rPr>
      </w:pPr>
    </w:p>
    <w:p>
      <w:pPr>
        <w:autoSpaceDE w:val="0"/>
        <w:autoSpaceDN w:val="0"/>
        <w:spacing w:line="500" w:lineRule="exact"/>
        <w:ind w:firstLine="480" w:firstLineChars="200"/>
        <w:rPr>
          <w:rFonts w:hint="eastAsia" w:ascii="宋体" w:hAnsi="宋体"/>
          <w:color w:val="auto"/>
          <w:sz w:val="24"/>
          <w:szCs w:val="24"/>
        </w:rPr>
      </w:pPr>
    </w:p>
    <w:p>
      <w:pPr>
        <w:autoSpaceDE w:val="0"/>
        <w:autoSpaceDN w:val="0"/>
        <w:spacing w:line="500" w:lineRule="exact"/>
        <w:ind w:firstLine="480" w:firstLineChars="200"/>
        <w:rPr>
          <w:rFonts w:hint="eastAsia" w:ascii="宋体" w:hAnsi="宋体"/>
          <w:color w:val="auto"/>
          <w:sz w:val="24"/>
          <w:szCs w:val="24"/>
        </w:rPr>
      </w:pPr>
    </w:p>
    <w:p>
      <w:pPr>
        <w:autoSpaceDE w:val="0"/>
        <w:autoSpaceDN w:val="0"/>
        <w:spacing w:line="500" w:lineRule="exact"/>
        <w:ind w:firstLine="480" w:firstLineChars="200"/>
        <w:rPr>
          <w:rFonts w:ascii="宋体" w:hAnsi="宋体"/>
          <w:b/>
          <w:bCs/>
          <w:color w:val="auto"/>
          <w:kern w:val="0"/>
          <w:sz w:val="24"/>
          <w:szCs w:val="24"/>
        </w:rPr>
      </w:pPr>
      <w:r>
        <w:rPr>
          <w:rFonts w:hint="eastAsia" w:ascii="宋体" w:hAnsi="宋体"/>
          <w:color w:val="auto"/>
          <w:sz w:val="24"/>
          <w:szCs w:val="24"/>
        </w:rPr>
        <w:t>供应商须在</w:t>
      </w:r>
      <w:r>
        <w:rPr>
          <w:rFonts w:hint="eastAsia" w:ascii="宋体" w:hAnsi="宋体"/>
          <w:color w:val="auto"/>
          <w:sz w:val="24"/>
          <w:szCs w:val="24"/>
          <w:lang w:eastAsia="zh-CN"/>
        </w:rPr>
        <w:t>响应文件</w:t>
      </w:r>
      <w:r>
        <w:rPr>
          <w:rFonts w:hint="eastAsia" w:ascii="宋体" w:hAnsi="宋体"/>
          <w:color w:val="auto"/>
          <w:sz w:val="24"/>
          <w:szCs w:val="24"/>
        </w:rPr>
        <w:t>中提供企业工商注册所在地或项目所在地信用管理中心出具的《信用信息查询结果》且在有效期范围内（注：鄂托克前旗社会信用管理中心：地址．</w:t>
      </w:r>
      <w:r>
        <w:rPr>
          <w:rFonts w:hint="eastAsia" w:ascii="宋体" w:hAnsi="宋体"/>
          <w:color w:val="auto"/>
          <w:sz w:val="24"/>
          <w:szCs w:val="24"/>
          <w:lang w:eastAsia="zh-CN"/>
        </w:rPr>
        <w:t>鄂托克前旗敖勒召其镇</w:t>
      </w:r>
      <w:r>
        <w:rPr>
          <w:rFonts w:hint="eastAsia" w:ascii="宋体" w:hAnsi="宋体"/>
          <w:color w:val="auto"/>
          <w:sz w:val="24"/>
          <w:szCs w:val="24"/>
        </w:rPr>
        <w:t>综合办公楼700</w:t>
      </w:r>
      <w:r>
        <w:rPr>
          <w:rFonts w:hint="eastAsia" w:ascii="宋体" w:hAnsi="宋体"/>
          <w:color w:val="auto"/>
          <w:sz w:val="24"/>
          <w:szCs w:val="24"/>
          <w:lang w:val="en-US" w:eastAsia="zh-CN"/>
        </w:rPr>
        <w:t>6</w:t>
      </w:r>
      <w:r>
        <w:rPr>
          <w:rFonts w:hint="eastAsia" w:ascii="宋体" w:hAnsi="宋体"/>
          <w:color w:val="auto"/>
          <w:sz w:val="24"/>
          <w:szCs w:val="24"/>
        </w:rPr>
        <w:t>房间；　电话：0477-7625899）。</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办理步骤：</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1.营业执照彩色扫描件jpeg图片格式。（必须能够清楚的分辨统一社会信用代码以及企业名称）。</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2.法人身份证彩色扫描件jpeg图片格式（A4纸，正反面左右对齐，必须能够清楚的分辨出身份证及姓名）。</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3.鄂托克前旗企业信用信息查询申请表盖章彩色扫描件jpeg图片格式。</w:t>
      </w:r>
      <w:r>
        <w:rPr>
          <w:rFonts w:hint="eastAsia" w:ascii="宋体" w:hAnsi="宋体"/>
          <w:color w:val="auto"/>
          <w:sz w:val="24"/>
          <w:szCs w:val="24"/>
          <w:lang w:val="en-US" w:eastAsia="zh-CN"/>
        </w:rPr>
        <w:t>（高清jpeg图片格式。右上角编号请勿填写，最后“受理人签名”一行请勿填写，“申请查询企业信用信息事由及用途”请填写“所投项目名称”，必须盖公章）</w:t>
      </w:r>
    </w:p>
    <w:p>
      <w:pPr>
        <w:autoSpaceDE w:val="0"/>
        <w:autoSpaceDN w:val="0"/>
        <w:spacing w:line="500" w:lineRule="exact"/>
        <w:rPr>
          <w:rFonts w:hint="eastAsia"/>
          <w:lang w:eastAsia="zh-CN"/>
        </w:rPr>
      </w:pPr>
      <w:r>
        <w:rPr>
          <w:rFonts w:hint="eastAsia" w:ascii="宋体" w:hAnsi="宋体"/>
          <w:color w:val="auto"/>
          <w:sz w:val="24"/>
          <w:szCs w:val="24"/>
        </w:rPr>
        <w:t xml:space="preserve">申请材料发送到  </w:t>
      </w:r>
      <w:r>
        <w:rPr>
          <w:rFonts w:hint="eastAsia" w:ascii="宋体" w:hAnsi="宋体"/>
          <w:color w:val="auto"/>
          <w:sz w:val="24"/>
          <w:szCs w:val="24"/>
        </w:rPr>
        <w:fldChar w:fldCharType="begin"/>
      </w:r>
      <w:r>
        <w:rPr>
          <w:rFonts w:hint="eastAsia" w:ascii="宋体" w:hAnsi="宋体"/>
          <w:color w:val="auto"/>
          <w:sz w:val="24"/>
          <w:szCs w:val="24"/>
        </w:rPr>
        <w:instrText xml:space="preserve"> HYPERLINK "mailto:eqqfgjxyglzx@163.com" </w:instrText>
      </w:r>
      <w:r>
        <w:rPr>
          <w:rFonts w:hint="eastAsia" w:ascii="宋体" w:hAnsi="宋体"/>
          <w:color w:val="auto"/>
          <w:sz w:val="24"/>
          <w:szCs w:val="24"/>
        </w:rPr>
        <w:fldChar w:fldCharType="separate"/>
      </w:r>
      <w:r>
        <w:rPr>
          <w:rStyle w:val="32"/>
          <w:rFonts w:hint="eastAsia" w:ascii="宋体" w:hAnsi="宋体"/>
          <w:sz w:val="24"/>
          <w:szCs w:val="24"/>
        </w:rPr>
        <w:t>eqqfgjxyglzx@163.com</w:t>
      </w:r>
      <w:r>
        <w:rPr>
          <w:rFonts w:hint="eastAsia" w:ascii="宋体" w:hAnsi="宋体"/>
          <w:color w:val="auto"/>
          <w:sz w:val="24"/>
          <w:szCs w:val="24"/>
        </w:rPr>
        <w:fldChar w:fldCharType="end"/>
      </w:r>
    </w:p>
    <w:p>
      <w:pPr>
        <w:widowControl/>
        <w:spacing w:line="360" w:lineRule="auto"/>
        <w:jc w:val="left"/>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color w:val="auto"/>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b/>
          <w:bCs/>
          <w:color w:val="00000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val="0"/>
          <w:bCs w:val="0"/>
          <w:color w:val="000000"/>
          <w:sz w:val="24"/>
          <w:szCs w:val="24"/>
        </w:rPr>
      </w:pPr>
      <w:r>
        <w:rPr>
          <w:rFonts w:hint="eastAsia" w:ascii="宋体" w:hAnsi="宋体"/>
          <w:b w:val="0"/>
          <w:bCs w:val="0"/>
          <w:color w:val="000000"/>
          <w:sz w:val="24"/>
          <w:szCs w:val="24"/>
        </w:rPr>
        <w:t>二、</w:t>
      </w:r>
      <w:bookmarkEnd w:id="46"/>
      <w:bookmarkEnd w:id="47"/>
      <w:bookmarkEnd w:id="48"/>
      <w:r>
        <w:rPr>
          <w:rFonts w:hint="eastAsia" w:ascii="宋体" w:hAnsi="宋体"/>
          <w:b w:val="0"/>
          <w:bCs w:val="0"/>
          <w:color w:val="000000"/>
          <w:sz w:val="24"/>
          <w:szCs w:val="24"/>
        </w:rPr>
        <w:t>“中国政府采购网”查询记录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rPr>
          <w:rFonts w:ascii="宋体" w:hAnsi="宋体"/>
          <w:b w:val="0"/>
          <w:bCs w:val="0"/>
          <w:color w:val="000000"/>
          <w:sz w:val="30"/>
          <w:szCs w:val="30"/>
        </w:rPr>
      </w:pPr>
      <w:r>
        <w:rPr>
          <w:rFonts w:hint="eastAsia" w:ascii="宋体" w:hAnsi="宋体"/>
          <w:b w:val="0"/>
          <w:bCs w:val="0"/>
          <w:color w:val="000000"/>
          <w:sz w:val="24"/>
          <w:szCs w:val="24"/>
        </w:rPr>
        <w:t>供应商需登录“中国政府采购网”网站（www.ccgp.gov.cn）查询，并提供近一个月内的任意一天的查询截图。</w:t>
      </w: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pStyle w:val="2"/>
        <w:rPr>
          <w:rFonts w:ascii="宋体" w:hAnsi="宋体"/>
          <w:bCs/>
          <w:color w:val="000000"/>
          <w:kern w:val="0"/>
          <w:sz w:val="24"/>
          <w:szCs w:val="24"/>
          <w:lang w:val="zh-CN"/>
        </w:rPr>
      </w:pPr>
    </w:p>
    <w:p>
      <w:pPr>
        <w:autoSpaceDE w:val="0"/>
        <w:autoSpaceDN w:val="0"/>
        <w:spacing w:line="360" w:lineRule="auto"/>
        <w:jc w:val="center"/>
        <w:rPr>
          <w:rFonts w:ascii="宋体" w:hAnsi="宋体"/>
          <w:bCs/>
          <w:color w:val="000000"/>
          <w:kern w:val="0"/>
          <w:sz w:val="24"/>
          <w:szCs w:val="24"/>
          <w:lang w:val="zh-CN"/>
        </w:rPr>
      </w:pPr>
      <w:r>
        <w:rPr>
          <w:rFonts w:hint="eastAsia" w:ascii="宋体" w:hAnsi="宋体"/>
          <w:sz w:val="24"/>
          <w:szCs w:val="24"/>
        </w:rPr>
        <w:t>十九、政府采购政策情况表</w:t>
      </w:r>
    </w:p>
    <w:tbl>
      <w:tblPr>
        <w:tblStyle w:val="2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rPr>
                <w:rFonts w:ascii="宋体" w:hAnsi="宋体" w:cs="宋体"/>
                <w:kern w:val="0"/>
                <w:sz w:val="24"/>
              </w:rPr>
            </w:pPr>
            <w:r>
              <w:rPr>
                <w:rFonts w:hint="eastAsia" w:ascii="宋体" w:hAnsi="宋体" w:cs="宋体"/>
                <w:kern w:val="0"/>
                <w:sz w:val="24"/>
              </w:rPr>
              <w:t>中小企业扶持政策</w:t>
            </w:r>
          </w:p>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7899" w:type="dxa"/>
            <w:gridSpan w:val="5"/>
            <w:shd w:val="clear" w:color="auto" w:fill="auto"/>
            <w:vAlign w:val="center"/>
          </w:tcPr>
          <w:p>
            <w:pPr>
              <w:pStyle w:val="57"/>
              <w:keepNext w:val="0"/>
              <w:keepLines w:val="0"/>
              <w:suppressLineNumbers w:val="0"/>
              <w:tabs>
                <w:tab w:val="left" w:pos="1260"/>
              </w:tabs>
              <w:spacing w:before="40" w:beforeAutospacing="0" w:after="40" w:afterAutospacing="0" w:line="360" w:lineRule="auto"/>
              <w:ind w:left="0" w:right="0" w:firstLine="480"/>
              <w:rPr>
                <w:rFonts w:ascii="宋体" w:hAnsi="宋体" w:cs="宋体"/>
                <w:kern w:val="0"/>
                <w:sz w:val="24"/>
              </w:rPr>
            </w:pPr>
            <w:r>
              <w:rPr>
                <w:rFonts w:hint="eastAsia" w:ascii="宋体" w:hAnsi="宋体" w:cs="宋体"/>
                <w:kern w:val="0"/>
                <w:sz w:val="24"/>
              </w:rPr>
              <w:t>如属所列情形的，请在括号内打“√”：</w:t>
            </w:r>
          </w:p>
          <w:p>
            <w:pPr>
              <w:pStyle w:val="57"/>
              <w:keepNext w:val="0"/>
              <w:keepLines w:val="0"/>
              <w:suppressLineNumbers w:val="0"/>
              <w:tabs>
                <w:tab w:val="left" w:pos="1260"/>
              </w:tabs>
              <w:spacing w:before="40" w:beforeAutospacing="0" w:after="40" w:afterAutospacing="0" w:line="360" w:lineRule="auto"/>
              <w:ind w:left="0" w:right="0" w:firstLine="480"/>
              <w:rPr>
                <w:rFonts w:ascii="宋体" w:hAnsi="宋体" w:cs="宋体"/>
                <w:kern w:val="0"/>
                <w:sz w:val="24"/>
              </w:rPr>
            </w:pPr>
            <w:r>
              <w:rPr>
                <w:rFonts w:hint="eastAsia" w:ascii="宋体" w:hAnsi="宋体" w:cs="宋体"/>
                <w:kern w:val="0"/>
                <w:sz w:val="24"/>
              </w:rPr>
              <w:t>（  ）小型、微型企业投标且提供本企业制造的产品。</w:t>
            </w:r>
          </w:p>
          <w:p>
            <w:pPr>
              <w:pStyle w:val="57"/>
              <w:keepNext w:val="0"/>
              <w:keepLines w:val="0"/>
              <w:suppressLineNumbers w:val="0"/>
              <w:tabs>
                <w:tab w:val="left" w:pos="1260"/>
              </w:tabs>
              <w:spacing w:before="40" w:beforeAutospacing="0" w:after="40" w:afterAutospacing="0" w:line="360" w:lineRule="auto"/>
              <w:ind w:left="0" w:right="0" w:firstLine="480"/>
              <w:rPr>
                <w:rFonts w:ascii="宋体" w:hAnsi="宋体" w:cs="宋体"/>
                <w:kern w:val="0"/>
                <w:sz w:val="24"/>
              </w:rPr>
            </w:pPr>
            <w:r>
              <w:rPr>
                <w:rFonts w:hint="eastAsia" w:ascii="宋体" w:hAnsi="宋体" w:cs="宋体"/>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1702"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核心产品名称</w:t>
            </w:r>
          </w:p>
        </w:tc>
        <w:tc>
          <w:tcPr>
            <w:tcW w:w="119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品牌型号</w:t>
            </w:r>
          </w:p>
        </w:tc>
        <w:tc>
          <w:tcPr>
            <w:tcW w:w="135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制造商</w:t>
            </w:r>
          </w:p>
        </w:tc>
        <w:tc>
          <w:tcPr>
            <w:tcW w:w="1960"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制造商企业类型</w:t>
            </w:r>
          </w:p>
        </w:tc>
        <w:tc>
          <w:tcPr>
            <w:tcW w:w="1685"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hint="eastAsia" w:ascii="宋体" w:hAnsi="宋体" w:cs="宋体"/>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1702"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19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35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960"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685"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1702"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19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356"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960"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c>
          <w:tcPr>
            <w:tcW w:w="1685"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jc w:val="center"/>
              <w:rPr>
                <w:rFonts w:ascii="宋体" w:hAnsi="宋体" w:cs="宋体"/>
                <w:kern w:val="0"/>
                <w:sz w:val="24"/>
              </w:rPr>
            </w:pPr>
          </w:p>
        </w:tc>
        <w:tc>
          <w:tcPr>
            <w:tcW w:w="6214" w:type="dxa"/>
            <w:gridSpan w:val="4"/>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r>
              <w:rPr>
                <w:rFonts w:hint="eastAsia" w:ascii="宋体" w:hAnsi="宋体" w:cs="宋体"/>
                <w:kern w:val="0"/>
                <w:sz w:val="24"/>
              </w:rPr>
              <w:t>小型、微型企业产品金额合计</w:t>
            </w:r>
          </w:p>
        </w:tc>
        <w:tc>
          <w:tcPr>
            <w:tcW w:w="1685" w:type="dxa"/>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rPr>
                <w:rFonts w:ascii="宋体" w:hAnsi="宋体" w:cs="宋体"/>
                <w:kern w:val="0"/>
                <w:sz w:val="24"/>
              </w:rPr>
            </w:pPr>
            <w:r>
              <w:rPr>
                <w:rFonts w:ascii="宋体" w:hAnsi="宋体" w:cs="宋体"/>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suppressLineNumbers w:val="0"/>
              <w:tabs>
                <w:tab w:val="left" w:pos="1260"/>
              </w:tabs>
              <w:spacing w:before="156" w:beforeAutospacing="0" w:after="156" w:afterAutospacing="0"/>
              <w:ind w:left="0" w:right="0" w:firstLine="480"/>
              <w:rPr>
                <w:rFonts w:ascii="宋体" w:hAnsi="宋体" w:cs="宋体"/>
                <w:kern w:val="0"/>
                <w:sz w:val="24"/>
              </w:rPr>
            </w:pPr>
            <w:r>
              <w:rPr>
                <w:rFonts w:hint="eastAsia" w:ascii="宋体" w:hAnsi="宋体" w:cs="宋体"/>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7"/>
              <w:keepNext w:val="0"/>
              <w:keepLines w:val="0"/>
              <w:suppressLineNumbers w:val="0"/>
              <w:tabs>
                <w:tab w:val="left" w:pos="1260"/>
              </w:tabs>
              <w:spacing w:before="40" w:beforeAutospacing="0" w:after="40" w:afterAutospacing="0"/>
              <w:ind w:left="0" w:right="0" w:firstLine="48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填报要求：</w:t>
      </w:r>
    </w:p>
    <w:p>
      <w:pPr>
        <w:spacing w:line="360" w:lineRule="auto"/>
        <w:ind w:firstLine="480" w:firstLineChars="200"/>
        <w:rPr>
          <w:sz w:val="24"/>
        </w:rPr>
      </w:pPr>
      <w:r>
        <w:rPr>
          <w:rFonts w:hint="eastAsia"/>
          <w:sz w:val="24"/>
        </w:rPr>
        <w:t>1. 本表内容不填写或与本采购文件其他要求填写不一致、填写不完整的，不予价格扣除。</w:t>
      </w:r>
    </w:p>
    <w:p>
      <w:pPr>
        <w:autoSpaceDE w:val="0"/>
        <w:autoSpaceDN w:val="0"/>
        <w:spacing w:line="360" w:lineRule="auto"/>
        <w:ind w:firstLine="480" w:firstLineChars="200"/>
        <w:rPr>
          <w:sz w:val="24"/>
        </w:rPr>
      </w:pPr>
      <w:r>
        <w:rPr>
          <w:rFonts w:hint="eastAsia"/>
          <w:sz w:val="24"/>
        </w:rPr>
        <w:t>2. 制造商为小型或微型企业时才需要填“制造商企业类型”栏，填写内容为“小型”或“微型”。</w:t>
      </w:r>
    </w:p>
    <w:p>
      <w:pPr>
        <w:autoSpaceDE w:val="0"/>
        <w:autoSpaceDN w:val="0"/>
        <w:spacing w:line="360" w:lineRule="auto"/>
        <w:ind w:firstLine="480" w:firstLineChars="200"/>
        <w:rPr>
          <w:sz w:val="24"/>
        </w:rPr>
      </w:pPr>
      <w:r>
        <w:rPr>
          <w:rFonts w:hint="eastAsia"/>
          <w:sz w:val="24"/>
        </w:rPr>
        <w:t>3.</w:t>
      </w:r>
      <w:r>
        <w:rPr>
          <w:rFonts w:hint="eastAsia" w:ascii="宋体" w:hAnsi="宋体"/>
          <w:sz w:val="24"/>
          <w:szCs w:val="24"/>
        </w:rPr>
        <w:t xml:space="preserve"> 联合体一方为小型、微型企业且小型、微型企业协议合同金额占联合体协议合同总金额30%以上的才需填写“</w:t>
      </w:r>
      <w:r>
        <w:rPr>
          <w:rFonts w:hint="eastAsia" w:ascii="宋体" w:hAnsi="宋体" w:cs="宋体"/>
          <w:kern w:val="0"/>
          <w:sz w:val="24"/>
        </w:rPr>
        <w:t>金额（单价元）、小型、微型企业产品金额合计</w:t>
      </w:r>
      <w:r>
        <w:rPr>
          <w:rFonts w:hint="eastAsia" w:ascii="宋体" w:hAnsi="宋体"/>
          <w:sz w:val="24"/>
          <w:szCs w:val="24"/>
        </w:rPr>
        <w:t>”内容。</w:t>
      </w:r>
    </w:p>
    <w:p>
      <w:pPr>
        <w:autoSpaceDE w:val="0"/>
        <w:autoSpaceDN w:val="0"/>
        <w:spacing w:line="360" w:lineRule="auto"/>
        <w:ind w:firstLine="2168" w:firstLineChars="900"/>
        <w:rPr>
          <w:rFonts w:ascii="宋体" w:hAnsi="宋体"/>
          <w:b/>
          <w:bCs/>
          <w:color w:val="000000"/>
          <w:kern w:val="0"/>
          <w:sz w:val="24"/>
          <w:szCs w:val="24"/>
        </w:rPr>
      </w:pPr>
      <w:r>
        <w:rPr>
          <w:rFonts w:ascii="宋体" w:hAnsi="宋体"/>
          <w:b/>
          <w:bCs/>
          <w:color w:val="000000"/>
          <w:kern w:val="0"/>
          <w:sz w:val="24"/>
          <w:szCs w:val="24"/>
        </w:rPr>
        <w:br w:type="page"/>
      </w:r>
    </w:p>
    <w:p>
      <w:pPr>
        <w:spacing w:line="588" w:lineRule="exact"/>
        <w:jc w:val="center"/>
        <w:rPr>
          <w:rFonts w:ascii="宋体" w:hAnsi="宋体" w:cs="宋体"/>
          <w:kern w:val="0"/>
          <w:sz w:val="24"/>
          <w:szCs w:val="24"/>
        </w:rPr>
      </w:pPr>
      <w:r>
        <w:rPr>
          <w:rFonts w:hint="eastAsia" w:ascii="宋体" w:hAnsi="宋体" w:cs="宋体"/>
          <w:kern w:val="0"/>
          <w:sz w:val="24"/>
          <w:szCs w:val="24"/>
        </w:rPr>
        <w:t>二十、中小企业声明函</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49" w:name="OLE_LINK2"/>
      <w:bookmarkStart w:id="50" w:name="OLE_LINK5"/>
      <w:r>
        <w:rPr>
          <w:rFonts w:hint="eastAsia" w:ascii="宋体" w:hAnsi="宋体" w:cs="宋体"/>
          <w:kern w:val="0"/>
          <w:sz w:val="24"/>
          <w:szCs w:val="24"/>
        </w:rPr>
        <w:t>______（请填写：中型、小型、微型）企业</w:t>
      </w:r>
      <w:bookmarkEnd w:id="49"/>
      <w:bookmarkEnd w:id="50"/>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hint="eastAsia" w:ascii="宋体" w:hAnsi="宋体" w:cs="宋体"/>
          <w:kern w:val="0"/>
          <w:sz w:val="24"/>
          <w:szCs w:val="24"/>
        </w:rPr>
      </w:pPr>
      <w:r>
        <w:rPr>
          <w:rFonts w:hint="eastAsia" w:ascii="宋体" w:hAnsi="宋体" w:cs="宋体"/>
          <w:kern w:val="0"/>
          <w:sz w:val="24"/>
          <w:szCs w:val="24"/>
        </w:rPr>
        <w:t>说明：</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1.供应商不按要求填写、盖章的将不享受中小微企业有关政策。</w:t>
      </w:r>
      <w:r>
        <w:rPr>
          <w:rFonts w:ascii="宋体" w:hAnsi="宋体" w:cs="宋体"/>
          <w:kern w:val="0"/>
          <w:sz w:val="24"/>
          <w:szCs w:val="24"/>
        </w:rPr>
        <w:br w:type="page"/>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二十一、残疾人福利性单位声明函</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sz w:val="24"/>
        </w:rPr>
      </w:pPr>
    </w:p>
    <w:p>
      <w:pPr>
        <w:autoSpaceDE w:val="0"/>
        <w:autoSpaceDN w:val="0"/>
        <w:spacing w:line="360" w:lineRule="auto"/>
        <w:rPr>
          <w:sz w:val="24"/>
        </w:rPr>
      </w:pPr>
    </w:p>
    <w:p>
      <w:pPr>
        <w:autoSpaceDE w:val="0"/>
        <w:autoSpaceDN w:val="0"/>
        <w:spacing w:line="360" w:lineRule="auto"/>
        <w:rPr>
          <w:sz w:val="24"/>
        </w:rPr>
      </w:pPr>
      <w:r>
        <w:rPr>
          <w:rFonts w:hint="eastAsia"/>
          <w:sz w:val="24"/>
        </w:rPr>
        <w:t>说明：供应商不按要求填写、盖章的将不享受残疾人企业有关政策。</w:t>
      </w:r>
      <w:r>
        <w:rPr>
          <w:sz w:val="24"/>
        </w:rPr>
        <w:br w:type="page"/>
      </w:r>
    </w:p>
    <w:p>
      <w:pPr>
        <w:autoSpaceDE w:val="0"/>
        <w:autoSpaceDN w:val="0"/>
        <w:spacing w:line="360" w:lineRule="auto"/>
        <w:jc w:val="center"/>
        <w:rPr>
          <w:rFonts w:ascii="宋体" w:hAnsi="宋体"/>
          <w:color w:val="000000"/>
          <w:sz w:val="24"/>
          <w:szCs w:val="24"/>
          <w:lang w:val="zh-CN"/>
        </w:rPr>
      </w:pPr>
      <w:r>
        <w:rPr>
          <w:rFonts w:hint="eastAsia" w:ascii="宋体" w:hAnsi="宋体"/>
          <w:color w:val="000000"/>
          <w:sz w:val="24"/>
          <w:szCs w:val="24"/>
        </w:rPr>
        <w:t>二十二、各类</w:t>
      </w:r>
      <w:r>
        <w:rPr>
          <w:rFonts w:hint="eastAsia" w:ascii="宋体" w:hAnsi="宋体"/>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szCs w:val="24"/>
          <w:lang w:eastAsia="zh-CN"/>
        </w:rPr>
        <w:t>磋商</w:t>
      </w:r>
      <w:r>
        <w:rPr>
          <w:rFonts w:hint="eastAsia" w:ascii="宋体" w:hAnsi="宋体"/>
          <w:sz w:val="24"/>
          <w:szCs w:val="24"/>
        </w:rPr>
        <w:t>文件要求提供的其他资料。</w:t>
      </w:r>
    </w:p>
    <w:p>
      <w:pPr>
        <w:spacing w:line="360" w:lineRule="auto"/>
        <w:rPr>
          <w:rFonts w:ascii="宋体" w:hAnsi="宋体"/>
          <w:sz w:val="24"/>
          <w:szCs w:val="24"/>
        </w:rPr>
      </w:pPr>
      <w:r>
        <w:rPr>
          <w:rFonts w:hint="eastAsia" w:ascii="宋体" w:hAnsi="宋体"/>
          <w:sz w:val="24"/>
          <w:szCs w:val="24"/>
        </w:rPr>
        <w:t>2.供应商认为需提供的其他资料。</w:t>
      </w:r>
    </w:p>
    <w:p>
      <w:pPr>
        <w:pStyle w:val="4"/>
        <w:keepNext w:val="0"/>
        <w:keepLines w:val="0"/>
        <w:spacing w:line="360" w:lineRule="auto"/>
        <w:ind w:firstLine="3012" w:firstLineChars="1250"/>
        <w:rPr>
          <w:rFonts w:ascii="宋体" w:hAnsi="宋体" w:eastAsia="宋体"/>
          <w:bCs w:val="0"/>
          <w:color w:val="000000"/>
          <w:kern w:val="2"/>
          <w:sz w:val="24"/>
          <w:szCs w:val="24"/>
          <w:lang w:val="en-US"/>
        </w:rPr>
      </w:pPr>
      <w:r>
        <w:rPr>
          <w:rFonts w:ascii="宋体" w:hAnsi="宋体" w:eastAsia="宋体"/>
          <w:bCs w:val="0"/>
          <w:color w:val="000000"/>
          <w:kern w:val="2"/>
          <w:sz w:val="24"/>
          <w:szCs w:val="24"/>
          <w:lang w:val="en-US"/>
        </w:rPr>
        <w:br w:type="page"/>
      </w:r>
    </w:p>
    <w:p>
      <w:pPr>
        <w:pStyle w:val="3"/>
        <w:keepNext w:val="0"/>
        <w:keepLines w:val="0"/>
        <w:spacing w:line="360" w:lineRule="auto"/>
        <w:rPr>
          <w:rFonts w:ascii="宋体" w:hAnsi="宋体"/>
          <w:color w:val="000000"/>
          <w:sz w:val="24"/>
          <w:szCs w:val="24"/>
        </w:rPr>
      </w:pPr>
      <w:bookmarkStart w:id="51" w:name="_Toc16614"/>
      <w:r>
        <w:rPr>
          <w:rFonts w:hint="eastAsia" w:ascii="宋体" w:hAnsi="宋体"/>
          <w:color w:val="000000"/>
          <w:sz w:val="24"/>
          <w:szCs w:val="24"/>
        </w:rPr>
        <w:t>第八章 温馨提示</w:t>
      </w:r>
      <w:bookmarkEnd w:id="51"/>
    </w:p>
    <w:p>
      <w:pPr>
        <w:spacing w:line="360" w:lineRule="auto"/>
        <w:rPr>
          <w:rFonts w:ascii="宋体" w:hAnsi="宋体"/>
          <w:b/>
          <w:color w:val="000000"/>
          <w:sz w:val="24"/>
          <w:szCs w:val="24"/>
          <w:lang w:val="zh-CN"/>
        </w:rPr>
      </w:pPr>
      <w:r>
        <w:rPr>
          <w:rFonts w:hint="eastAsia" w:ascii="宋体" w:hAnsi="宋体"/>
          <w:b/>
          <w:color w:val="000000"/>
          <w:sz w:val="24"/>
          <w:szCs w:val="24"/>
          <w:lang w:val="zh-CN"/>
        </w:rPr>
        <w:t>各位供应商:</w:t>
      </w:r>
    </w:p>
    <w:p>
      <w:pPr>
        <w:spacing w:line="360" w:lineRule="auto"/>
        <w:rPr>
          <w:rFonts w:ascii="宋体" w:hAnsi="宋体"/>
          <w:sz w:val="24"/>
          <w:szCs w:val="24"/>
        </w:rPr>
      </w:pPr>
      <w:r>
        <w:rPr>
          <w:rFonts w:hint="eastAsia" w:ascii="宋体" w:hAnsi="宋体"/>
          <w:sz w:val="24"/>
          <w:szCs w:val="24"/>
        </w:rPr>
        <w:t xml:space="preserve">    请在编制响应文件前请认真阅读并理解</w:t>
      </w:r>
      <w:r>
        <w:rPr>
          <w:rFonts w:hint="eastAsia" w:ascii="宋体" w:hAnsi="宋体"/>
          <w:sz w:val="24"/>
          <w:szCs w:val="24"/>
          <w:lang w:eastAsia="zh-CN"/>
        </w:rPr>
        <w:t>磋商</w:t>
      </w:r>
      <w:r>
        <w:rPr>
          <w:rFonts w:hint="eastAsia" w:ascii="宋体" w:hAnsi="宋体"/>
          <w:sz w:val="24"/>
          <w:szCs w:val="24"/>
        </w:rPr>
        <w:t>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w:t>
      </w:r>
      <w:r>
        <w:rPr>
          <w:rFonts w:hint="eastAsia" w:ascii="宋体" w:hAnsi="宋体"/>
          <w:sz w:val="24"/>
          <w:szCs w:val="24"/>
          <w:lang w:eastAsia="zh-CN"/>
        </w:rPr>
        <w:t>磋商</w:t>
      </w:r>
      <w:r>
        <w:rPr>
          <w:rFonts w:hint="eastAsia" w:ascii="宋体" w:hAnsi="宋体"/>
          <w:sz w:val="24"/>
          <w:szCs w:val="24"/>
        </w:rPr>
        <w:t>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认真填写报名信息，在递交响应文件截止时间前核对保证金缴纳情况，若报名成功、保证金缴纳之后，如保证金状态仍显示“未缴纳”，请及时与我单位联系。</w:t>
      </w:r>
    </w:p>
    <w:p>
      <w:pPr>
        <w:tabs>
          <w:tab w:val="left" w:pos="851"/>
        </w:tabs>
        <w:spacing w:line="360" w:lineRule="auto"/>
        <w:rPr>
          <w:rFonts w:ascii="宋体" w:hAnsi="宋体"/>
          <w:sz w:val="24"/>
          <w:szCs w:val="24"/>
        </w:rPr>
      </w:pPr>
      <w:r>
        <w:rPr>
          <w:rFonts w:hint="eastAsia" w:ascii="宋体" w:hAnsi="宋体"/>
          <w:sz w:val="24"/>
          <w:szCs w:val="24"/>
        </w:rPr>
        <w:t>3. 注意响应文件的密封、装订及签署、盖章，如项目分包，响应文件务必分包、分别编制。</w:t>
      </w:r>
    </w:p>
    <w:p>
      <w:pPr>
        <w:tabs>
          <w:tab w:val="left" w:pos="851"/>
        </w:tabs>
        <w:spacing w:line="360" w:lineRule="auto"/>
        <w:rPr>
          <w:rFonts w:ascii="宋体" w:hAnsi="宋体"/>
          <w:sz w:val="24"/>
          <w:szCs w:val="24"/>
        </w:rPr>
      </w:pPr>
      <w:r>
        <w:rPr>
          <w:rFonts w:hint="eastAsia" w:ascii="宋体" w:hAnsi="宋体"/>
          <w:sz w:val="24"/>
          <w:szCs w:val="24"/>
        </w:rPr>
        <w:t>4.注意《开标一览表》应单独密封、单独递交一份，用于唱标之用。</w:t>
      </w:r>
    </w:p>
    <w:p>
      <w:pPr>
        <w:tabs>
          <w:tab w:val="left" w:pos="851"/>
        </w:tabs>
        <w:spacing w:line="360" w:lineRule="auto"/>
        <w:rPr>
          <w:rFonts w:ascii="宋体" w:hAnsi="宋体"/>
          <w:sz w:val="24"/>
          <w:szCs w:val="24"/>
        </w:rPr>
      </w:pPr>
      <w:r>
        <w:rPr>
          <w:rFonts w:hint="eastAsia" w:ascii="宋体" w:hAnsi="宋体"/>
          <w:sz w:val="24"/>
          <w:szCs w:val="24"/>
        </w:rPr>
        <w:t>5. 注意响应文件中相关证明材料的完整性及有效期限。</w:t>
      </w:r>
    </w:p>
    <w:p>
      <w:pPr>
        <w:tabs>
          <w:tab w:val="left" w:pos="851"/>
        </w:tabs>
        <w:spacing w:line="360" w:lineRule="auto"/>
        <w:rPr>
          <w:rFonts w:ascii="宋体" w:hAnsi="宋体"/>
          <w:sz w:val="24"/>
          <w:szCs w:val="24"/>
        </w:rPr>
      </w:pPr>
    </w:p>
    <w:p>
      <w:pPr>
        <w:pStyle w:val="3"/>
        <w:keepNext w:val="0"/>
        <w:keepLines w:val="0"/>
        <w:spacing w:line="360" w:lineRule="auto"/>
        <w:ind w:firstLine="482" w:firstLineChars="200"/>
        <w:jc w:val="both"/>
        <w:rPr>
          <w:sz w:val="24"/>
          <w:szCs w:val="24"/>
          <w:lang w:val="en-US"/>
        </w:rPr>
      </w:pPr>
      <w:r>
        <w:rPr>
          <w:rFonts w:hint="eastAsia" w:ascii="宋体" w:hAnsi="宋体"/>
          <w:sz w:val="24"/>
          <w:szCs w:val="24"/>
        </w:rPr>
        <w:t>请各供应商严格遵守《中华人民共和国政府采购法》及其条例，如出现违法、违规行为，将承担相应法律责任。</w:t>
      </w:r>
    </w:p>
    <w:sectPr>
      <w:headerReference r:id="rId6" w:type="default"/>
      <w:footerReference r:id="rId7" w:type="default"/>
      <w:pgSz w:w="11906" w:h="16838"/>
      <w:pgMar w:top="737" w:right="1247" w:bottom="73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黑体"/>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rPr>
                              <w:rStyle w:val="29"/>
                            </w:rPr>
                            <w:instrText xml:space="preserve"> PAGE  </w:instrText>
                          </w:r>
                          <w:r>
                            <w:fldChar w:fldCharType="separate"/>
                          </w:r>
                          <w:r>
                            <w:rPr>
                              <w:rStyle w:val="29"/>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8"/>
                    </w:pPr>
                    <w:r>
                      <w:fldChar w:fldCharType="begin"/>
                    </w:r>
                    <w:r>
                      <w:rPr>
                        <w:rStyle w:val="29"/>
                      </w:rPr>
                      <w:instrText xml:space="preserve"> PAGE  </w:instrText>
                    </w:r>
                    <w:r>
                      <w:fldChar w:fldCharType="separate"/>
                    </w:r>
                    <w:r>
                      <w:rPr>
                        <w:rStyle w:val="29"/>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align>top</wp:align>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5010743"/>
                          </w:sdtPr>
                          <w:sdtContent>
                            <w:p>
                              <w:pPr>
                                <w:pStyle w:val="18"/>
                                <w:jc w:val="center"/>
                              </w:pPr>
                              <w:r>
                                <w:fldChar w:fldCharType="begin"/>
                              </w:r>
                              <w:r>
                                <w:instrText xml:space="preserve">PAGE   \* MERGEFORMAT</w:instrText>
                              </w:r>
                              <w:r>
                                <w:fldChar w:fldCharType="separate"/>
                              </w:r>
                              <w:r>
                                <w:rPr>
                                  <w:lang w:val="zh-CN"/>
                                </w:rPr>
                                <w:t>58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525010743"/>
                    </w:sdtPr>
                    <w:sdtContent>
                      <w:p>
                        <w:pPr>
                          <w:pStyle w:val="18"/>
                          <w:jc w:val="center"/>
                        </w:pPr>
                        <w:r>
                          <w:fldChar w:fldCharType="begin"/>
                        </w:r>
                        <w:r>
                          <w:instrText xml:space="preserve">PAGE   \* MERGEFORMAT</w:instrText>
                        </w:r>
                        <w:r>
                          <w:fldChar w:fldCharType="separate"/>
                        </w:r>
                        <w:r>
                          <w:rPr>
                            <w:lang w:val="zh-CN"/>
                          </w:rPr>
                          <w:t>58</w:t>
                        </w:r>
                        <w:r>
                          <w:rPr>
                            <w:lang w:val="zh-CN"/>
                          </w:rPr>
                          <w:fldChar w:fldCharType="end"/>
                        </w:r>
                      </w:p>
                    </w:sdtContent>
                  </w:sdt>
                  <w:p>
                    <w:pPr>
                      <w:pStyle w:val="2"/>
                    </w:pP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BC553"/>
    <w:multiLevelType w:val="singleLevel"/>
    <w:tmpl w:val="887BC553"/>
    <w:lvl w:ilvl="0" w:tentative="0">
      <w:start w:val="1"/>
      <w:numFmt w:val="decimal"/>
      <w:suff w:val="nothing"/>
      <w:lvlText w:val="%1、"/>
      <w:lvlJc w:val="left"/>
    </w:lvl>
  </w:abstractNum>
  <w:abstractNum w:abstractNumId="1">
    <w:nsid w:val="B228BB27"/>
    <w:multiLevelType w:val="singleLevel"/>
    <w:tmpl w:val="B228BB27"/>
    <w:lvl w:ilvl="0" w:tentative="0">
      <w:start w:val="1"/>
      <w:numFmt w:val="decimal"/>
      <w:suff w:val="nothing"/>
      <w:lvlText w:val="%1、"/>
      <w:lvlJc w:val="left"/>
    </w:lvl>
  </w:abstractNum>
  <w:abstractNum w:abstractNumId="2">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3">
    <w:nsid w:val="01F82C7A"/>
    <w:multiLevelType w:val="singleLevel"/>
    <w:tmpl w:val="01F82C7A"/>
    <w:lvl w:ilvl="0" w:tentative="0">
      <w:start w:val="1"/>
      <w:numFmt w:val="decimal"/>
      <w:lvlText w:val="%1."/>
      <w:lvlJc w:val="left"/>
      <w:pPr>
        <w:tabs>
          <w:tab w:val="left" w:pos="312"/>
        </w:tabs>
      </w:pPr>
    </w:lvl>
  </w:abstractNum>
  <w:abstractNum w:abstractNumId="4">
    <w:nsid w:val="0D860106"/>
    <w:multiLevelType w:val="singleLevel"/>
    <w:tmpl w:val="0D860106"/>
    <w:lvl w:ilvl="0" w:tentative="0">
      <w:start w:val="9"/>
      <w:numFmt w:val="chineseCounting"/>
      <w:suff w:val="nothing"/>
      <w:lvlText w:val="%1、"/>
      <w:lvlJc w:val="left"/>
      <w:rPr>
        <w:rFonts w:hint="eastAsia"/>
      </w:rPr>
    </w:lvl>
  </w:abstractNum>
  <w:abstractNum w:abstractNumId="5">
    <w:nsid w:val="2F7BF258"/>
    <w:multiLevelType w:val="singleLevel"/>
    <w:tmpl w:val="2F7BF258"/>
    <w:lvl w:ilvl="0" w:tentative="0">
      <w:start w:val="12"/>
      <w:numFmt w:val="chineseCounting"/>
      <w:suff w:val="nothing"/>
      <w:lvlText w:val="%1、"/>
      <w:lvlJc w:val="left"/>
      <w:rPr>
        <w:rFonts w:hint="eastAsia"/>
      </w:rPr>
    </w:lvl>
  </w:abstractNum>
  <w:abstractNum w:abstractNumId="6">
    <w:nsid w:val="38FA1E0F"/>
    <w:multiLevelType w:val="multilevel"/>
    <w:tmpl w:val="38FA1E0F"/>
    <w:lvl w:ilvl="0" w:tentative="0">
      <w:start w:val="1"/>
      <w:numFmt w:val="japaneseCounting"/>
      <w:lvlText w:val="第%1章"/>
      <w:lvlJc w:val="left"/>
      <w:pPr>
        <w:ind w:left="846" w:hanging="84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01"/>
    <w:rsid w:val="000019B5"/>
    <w:rsid w:val="00001E33"/>
    <w:rsid w:val="000037F2"/>
    <w:rsid w:val="0000526C"/>
    <w:rsid w:val="00005FCE"/>
    <w:rsid w:val="000064F9"/>
    <w:rsid w:val="00010FBE"/>
    <w:rsid w:val="000124B7"/>
    <w:rsid w:val="00015A02"/>
    <w:rsid w:val="00015B44"/>
    <w:rsid w:val="000217ED"/>
    <w:rsid w:val="00021C1D"/>
    <w:rsid w:val="00022CDF"/>
    <w:rsid w:val="00024348"/>
    <w:rsid w:val="00024DB1"/>
    <w:rsid w:val="000275BE"/>
    <w:rsid w:val="000277B6"/>
    <w:rsid w:val="00030745"/>
    <w:rsid w:val="000314D8"/>
    <w:rsid w:val="0003153C"/>
    <w:rsid w:val="00032217"/>
    <w:rsid w:val="00032340"/>
    <w:rsid w:val="00032A72"/>
    <w:rsid w:val="00032C24"/>
    <w:rsid w:val="00035A5E"/>
    <w:rsid w:val="00035AB0"/>
    <w:rsid w:val="0003623F"/>
    <w:rsid w:val="00040454"/>
    <w:rsid w:val="0004101F"/>
    <w:rsid w:val="0004149A"/>
    <w:rsid w:val="00042767"/>
    <w:rsid w:val="00043181"/>
    <w:rsid w:val="00044995"/>
    <w:rsid w:val="00044B0F"/>
    <w:rsid w:val="000501AD"/>
    <w:rsid w:val="000521B0"/>
    <w:rsid w:val="0005338C"/>
    <w:rsid w:val="000545A4"/>
    <w:rsid w:val="0005504F"/>
    <w:rsid w:val="000554EC"/>
    <w:rsid w:val="000555A7"/>
    <w:rsid w:val="000558A5"/>
    <w:rsid w:val="00060357"/>
    <w:rsid w:val="00060549"/>
    <w:rsid w:val="000629DD"/>
    <w:rsid w:val="00063168"/>
    <w:rsid w:val="0006359A"/>
    <w:rsid w:val="0006757D"/>
    <w:rsid w:val="00071A78"/>
    <w:rsid w:val="000750A4"/>
    <w:rsid w:val="00076D91"/>
    <w:rsid w:val="00077EEC"/>
    <w:rsid w:val="00082D2C"/>
    <w:rsid w:val="00083CDD"/>
    <w:rsid w:val="000841B6"/>
    <w:rsid w:val="00086144"/>
    <w:rsid w:val="00086FD7"/>
    <w:rsid w:val="00087037"/>
    <w:rsid w:val="00087150"/>
    <w:rsid w:val="000876AB"/>
    <w:rsid w:val="0008773A"/>
    <w:rsid w:val="000900FC"/>
    <w:rsid w:val="00090186"/>
    <w:rsid w:val="00090F39"/>
    <w:rsid w:val="000912B9"/>
    <w:rsid w:val="00091D78"/>
    <w:rsid w:val="0009262E"/>
    <w:rsid w:val="000944D7"/>
    <w:rsid w:val="00096C31"/>
    <w:rsid w:val="000971DF"/>
    <w:rsid w:val="0009744B"/>
    <w:rsid w:val="000A0964"/>
    <w:rsid w:val="000A0F1D"/>
    <w:rsid w:val="000A132A"/>
    <w:rsid w:val="000A1428"/>
    <w:rsid w:val="000A3313"/>
    <w:rsid w:val="000A5AB3"/>
    <w:rsid w:val="000A5DA4"/>
    <w:rsid w:val="000A5E27"/>
    <w:rsid w:val="000A6071"/>
    <w:rsid w:val="000B18EE"/>
    <w:rsid w:val="000B1DD4"/>
    <w:rsid w:val="000B2D92"/>
    <w:rsid w:val="000B4FD6"/>
    <w:rsid w:val="000B5551"/>
    <w:rsid w:val="000B57D8"/>
    <w:rsid w:val="000B7161"/>
    <w:rsid w:val="000C01A6"/>
    <w:rsid w:val="000C1341"/>
    <w:rsid w:val="000C19EE"/>
    <w:rsid w:val="000C3A16"/>
    <w:rsid w:val="000C3E86"/>
    <w:rsid w:val="000C4079"/>
    <w:rsid w:val="000C5C82"/>
    <w:rsid w:val="000C612E"/>
    <w:rsid w:val="000C6D84"/>
    <w:rsid w:val="000D02AA"/>
    <w:rsid w:val="000D0A17"/>
    <w:rsid w:val="000D17C6"/>
    <w:rsid w:val="000D515C"/>
    <w:rsid w:val="000D5C01"/>
    <w:rsid w:val="000D7557"/>
    <w:rsid w:val="000D7A79"/>
    <w:rsid w:val="000E15BD"/>
    <w:rsid w:val="000E51AB"/>
    <w:rsid w:val="000E550B"/>
    <w:rsid w:val="000E6319"/>
    <w:rsid w:val="000F082D"/>
    <w:rsid w:val="000F2095"/>
    <w:rsid w:val="000F333E"/>
    <w:rsid w:val="000F422E"/>
    <w:rsid w:val="000F4763"/>
    <w:rsid w:val="000F6D0F"/>
    <w:rsid w:val="001016F2"/>
    <w:rsid w:val="00103E0C"/>
    <w:rsid w:val="00104530"/>
    <w:rsid w:val="001066A5"/>
    <w:rsid w:val="00107117"/>
    <w:rsid w:val="0010792E"/>
    <w:rsid w:val="001117FE"/>
    <w:rsid w:val="00111FA5"/>
    <w:rsid w:val="00117038"/>
    <w:rsid w:val="00117F1A"/>
    <w:rsid w:val="00120A63"/>
    <w:rsid w:val="001246B6"/>
    <w:rsid w:val="001247E2"/>
    <w:rsid w:val="00126F44"/>
    <w:rsid w:val="00127E2F"/>
    <w:rsid w:val="00130354"/>
    <w:rsid w:val="00131C8E"/>
    <w:rsid w:val="00132AC3"/>
    <w:rsid w:val="00134349"/>
    <w:rsid w:val="00137FFA"/>
    <w:rsid w:val="00141011"/>
    <w:rsid w:val="00141C9F"/>
    <w:rsid w:val="0014232F"/>
    <w:rsid w:val="00142373"/>
    <w:rsid w:val="00143F98"/>
    <w:rsid w:val="0014459C"/>
    <w:rsid w:val="00146DBB"/>
    <w:rsid w:val="00147FB1"/>
    <w:rsid w:val="001523A9"/>
    <w:rsid w:val="00154774"/>
    <w:rsid w:val="00155388"/>
    <w:rsid w:val="001556DC"/>
    <w:rsid w:val="00156723"/>
    <w:rsid w:val="00156A89"/>
    <w:rsid w:val="00157C1F"/>
    <w:rsid w:val="00160171"/>
    <w:rsid w:val="00160C4C"/>
    <w:rsid w:val="00161123"/>
    <w:rsid w:val="001611B8"/>
    <w:rsid w:val="00161328"/>
    <w:rsid w:val="00161331"/>
    <w:rsid w:val="00161CC8"/>
    <w:rsid w:val="00162B44"/>
    <w:rsid w:val="00164422"/>
    <w:rsid w:val="00165EB9"/>
    <w:rsid w:val="00166437"/>
    <w:rsid w:val="001669A9"/>
    <w:rsid w:val="00170333"/>
    <w:rsid w:val="00171AA8"/>
    <w:rsid w:val="001740A1"/>
    <w:rsid w:val="00176355"/>
    <w:rsid w:val="00177528"/>
    <w:rsid w:val="00180D8E"/>
    <w:rsid w:val="0018304A"/>
    <w:rsid w:val="00183D05"/>
    <w:rsid w:val="00183F40"/>
    <w:rsid w:val="00186AFA"/>
    <w:rsid w:val="00190BA3"/>
    <w:rsid w:val="00194A15"/>
    <w:rsid w:val="001955F0"/>
    <w:rsid w:val="00196723"/>
    <w:rsid w:val="001A0A5F"/>
    <w:rsid w:val="001A0B92"/>
    <w:rsid w:val="001A22C1"/>
    <w:rsid w:val="001A3186"/>
    <w:rsid w:val="001A3257"/>
    <w:rsid w:val="001A45B1"/>
    <w:rsid w:val="001A4ADD"/>
    <w:rsid w:val="001A5910"/>
    <w:rsid w:val="001A6850"/>
    <w:rsid w:val="001A69EF"/>
    <w:rsid w:val="001B2547"/>
    <w:rsid w:val="001B5F8B"/>
    <w:rsid w:val="001B631D"/>
    <w:rsid w:val="001C4C6E"/>
    <w:rsid w:val="001C620B"/>
    <w:rsid w:val="001C66C5"/>
    <w:rsid w:val="001C7085"/>
    <w:rsid w:val="001C780A"/>
    <w:rsid w:val="001C7988"/>
    <w:rsid w:val="001D1224"/>
    <w:rsid w:val="001D128E"/>
    <w:rsid w:val="001D3AE5"/>
    <w:rsid w:val="001D44B5"/>
    <w:rsid w:val="001D470F"/>
    <w:rsid w:val="001D5189"/>
    <w:rsid w:val="001D7C35"/>
    <w:rsid w:val="001E0168"/>
    <w:rsid w:val="001E146C"/>
    <w:rsid w:val="001E2F8C"/>
    <w:rsid w:val="001E3E6E"/>
    <w:rsid w:val="001E6B2B"/>
    <w:rsid w:val="001F0A48"/>
    <w:rsid w:val="001F3324"/>
    <w:rsid w:val="001F38E6"/>
    <w:rsid w:val="001F3A9C"/>
    <w:rsid w:val="001F3CF4"/>
    <w:rsid w:val="001F46E4"/>
    <w:rsid w:val="001F50D5"/>
    <w:rsid w:val="00200C69"/>
    <w:rsid w:val="002024F8"/>
    <w:rsid w:val="00203A97"/>
    <w:rsid w:val="00203C57"/>
    <w:rsid w:val="00204D35"/>
    <w:rsid w:val="00205A07"/>
    <w:rsid w:val="002134E7"/>
    <w:rsid w:val="00213704"/>
    <w:rsid w:val="002138E0"/>
    <w:rsid w:val="002141C4"/>
    <w:rsid w:val="0021704B"/>
    <w:rsid w:val="00217885"/>
    <w:rsid w:val="00217F36"/>
    <w:rsid w:val="00220C2D"/>
    <w:rsid w:val="002216D2"/>
    <w:rsid w:val="002309C7"/>
    <w:rsid w:val="00233EB5"/>
    <w:rsid w:val="002349C2"/>
    <w:rsid w:val="002359DD"/>
    <w:rsid w:val="00236BF6"/>
    <w:rsid w:val="00236FE0"/>
    <w:rsid w:val="00241C9F"/>
    <w:rsid w:val="00243EC4"/>
    <w:rsid w:val="00246923"/>
    <w:rsid w:val="00247981"/>
    <w:rsid w:val="00247D3C"/>
    <w:rsid w:val="002520A9"/>
    <w:rsid w:val="002523A4"/>
    <w:rsid w:val="00252A85"/>
    <w:rsid w:val="00252E75"/>
    <w:rsid w:val="002531F7"/>
    <w:rsid w:val="002618B9"/>
    <w:rsid w:val="00262286"/>
    <w:rsid w:val="00263625"/>
    <w:rsid w:val="00264652"/>
    <w:rsid w:val="00267255"/>
    <w:rsid w:val="002677C5"/>
    <w:rsid w:val="0026789F"/>
    <w:rsid w:val="002706A8"/>
    <w:rsid w:val="00273036"/>
    <w:rsid w:val="00274A75"/>
    <w:rsid w:val="002758D1"/>
    <w:rsid w:val="00275B60"/>
    <w:rsid w:val="00276325"/>
    <w:rsid w:val="00276D08"/>
    <w:rsid w:val="00277A59"/>
    <w:rsid w:val="00280DF6"/>
    <w:rsid w:val="002813D5"/>
    <w:rsid w:val="00283220"/>
    <w:rsid w:val="002833E4"/>
    <w:rsid w:val="00283570"/>
    <w:rsid w:val="002847EC"/>
    <w:rsid w:val="00285F7D"/>
    <w:rsid w:val="00286176"/>
    <w:rsid w:val="002900C6"/>
    <w:rsid w:val="00290210"/>
    <w:rsid w:val="00290AF1"/>
    <w:rsid w:val="00290EA5"/>
    <w:rsid w:val="00291B09"/>
    <w:rsid w:val="0029262E"/>
    <w:rsid w:val="00292903"/>
    <w:rsid w:val="00293351"/>
    <w:rsid w:val="00294C80"/>
    <w:rsid w:val="002954F1"/>
    <w:rsid w:val="00297645"/>
    <w:rsid w:val="002A033D"/>
    <w:rsid w:val="002A0B4D"/>
    <w:rsid w:val="002A1E57"/>
    <w:rsid w:val="002A3538"/>
    <w:rsid w:val="002A3C54"/>
    <w:rsid w:val="002A5FA3"/>
    <w:rsid w:val="002B07D2"/>
    <w:rsid w:val="002B086D"/>
    <w:rsid w:val="002B46C2"/>
    <w:rsid w:val="002B5D5C"/>
    <w:rsid w:val="002B6555"/>
    <w:rsid w:val="002B6ACB"/>
    <w:rsid w:val="002C0752"/>
    <w:rsid w:val="002C0BE8"/>
    <w:rsid w:val="002C1118"/>
    <w:rsid w:val="002C179F"/>
    <w:rsid w:val="002C1AB6"/>
    <w:rsid w:val="002C2541"/>
    <w:rsid w:val="002C435A"/>
    <w:rsid w:val="002C5CB7"/>
    <w:rsid w:val="002C5EBE"/>
    <w:rsid w:val="002C7284"/>
    <w:rsid w:val="002C72B3"/>
    <w:rsid w:val="002D18D1"/>
    <w:rsid w:val="002D274A"/>
    <w:rsid w:val="002D27A1"/>
    <w:rsid w:val="002D2ABF"/>
    <w:rsid w:val="002D3A79"/>
    <w:rsid w:val="002D3B81"/>
    <w:rsid w:val="002D4130"/>
    <w:rsid w:val="002D5A33"/>
    <w:rsid w:val="002D5B54"/>
    <w:rsid w:val="002D6C15"/>
    <w:rsid w:val="002E38DF"/>
    <w:rsid w:val="002E3D50"/>
    <w:rsid w:val="002E4F95"/>
    <w:rsid w:val="002E5B7A"/>
    <w:rsid w:val="002E5EAB"/>
    <w:rsid w:val="002E5EDD"/>
    <w:rsid w:val="002E6E32"/>
    <w:rsid w:val="002E7061"/>
    <w:rsid w:val="002E7AC9"/>
    <w:rsid w:val="002F14A2"/>
    <w:rsid w:val="002F15B6"/>
    <w:rsid w:val="002F4D72"/>
    <w:rsid w:val="002F4ECE"/>
    <w:rsid w:val="002F5648"/>
    <w:rsid w:val="002F692A"/>
    <w:rsid w:val="002F6E44"/>
    <w:rsid w:val="002F6F9E"/>
    <w:rsid w:val="002F7057"/>
    <w:rsid w:val="002F7ADE"/>
    <w:rsid w:val="002F7E87"/>
    <w:rsid w:val="003028A1"/>
    <w:rsid w:val="003036D1"/>
    <w:rsid w:val="00305086"/>
    <w:rsid w:val="0030511C"/>
    <w:rsid w:val="00305EF3"/>
    <w:rsid w:val="00307C6D"/>
    <w:rsid w:val="0031146F"/>
    <w:rsid w:val="003166E1"/>
    <w:rsid w:val="003175DD"/>
    <w:rsid w:val="00317A60"/>
    <w:rsid w:val="00322C67"/>
    <w:rsid w:val="0032346F"/>
    <w:rsid w:val="00323C62"/>
    <w:rsid w:val="003252DF"/>
    <w:rsid w:val="00330DC1"/>
    <w:rsid w:val="00330FBC"/>
    <w:rsid w:val="00331EF4"/>
    <w:rsid w:val="0033413C"/>
    <w:rsid w:val="0034009B"/>
    <w:rsid w:val="00340152"/>
    <w:rsid w:val="00342063"/>
    <w:rsid w:val="00343DE1"/>
    <w:rsid w:val="00343EA9"/>
    <w:rsid w:val="003453A3"/>
    <w:rsid w:val="003456D5"/>
    <w:rsid w:val="00346797"/>
    <w:rsid w:val="00350415"/>
    <w:rsid w:val="00351A42"/>
    <w:rsid w:val="00354113"/>
    <w:rsid w:val="00354D79"/>
    <w:rsid w:val="00355D59"/>
    <w:rsid w:val="003562A9"/>
    <w:rsid w:val="00356C8B"/>
    <w:rsid w:val="0035724C"/>
    <w:rsid w:val="00357BB1"/>
    <w:rsid w:val="003601BC"/>
    <w:rsid w:val="003605DA"/>
    <w:rsid w:val="00360873"/>
    <w:rsid w:val="00361AFB"/>
    <w:rsid w:val="00361E13"/>
    <w:rsid w:val="003620B6"/>
    <w:rsid w:val="00363A25"/>
    <w:rsid w:val="00363FBE"/>
    <w:rsid w:val="00364753"/>
    <w:rsid w:val="0036589D"/>
    <w:rsid w:val="00366FF7"/>
    <w:rsid w:val="00367583"/>
    <w:rsid w:val="00372CDD"/>
    <w:rsid w:val="00374800"/>
    <w:rsid w:val="0037604A"/>
    <w:rsid w:val="00377304"/>
    <w:rsid w:val="0037796F"/>
    <w:rsid w:val="00381798"/>
    <w:rsid w:val="003850C1"/>
    <w:rsid w:val="0038661D"/>
    <w:rsid w:val="00386C41"/>
    <w:rsid w:val="00386F2E"/>
    <w:rsid w:val="00387C9F"/>
    <w:rsid w:val="00387FA9"/>
    <w:rsid w:val="00391691"/>
    <w:rsid w:val="0039586D"/>
    <w:rsid w:val="003962BB"/>
    <w:rsid w:val="00396A34"/>
    <w:rsid w:val="0039754F"/>
    <w:rsid w:val="003978E6"/>
    <w:rsid w:val="003A0038"/>
    <w:rsid w:val="003A059F"/>
    <w:rsid w:val="003A1A29"/>
    <w:rsid w:val="003A231E"/>
    <w:rsid w:val="003A5489"/>
    <w:rsid w:val="003A585F"/>
    <w:rsid w:val="003A60CE"/>
    <w:rsid w:val="003A7970"/>
    <w:rsid w:val="003A7FDC"/>
    <w:rsid w:val="003B5C3F"/>
    <w:rsid w:val="003C24C3"/>
    <w:rsid w:val="003C4C9F"/>
    <w:rsid w:val="003C57A9"/>
    <w:rsid w:val="003C62D0"/>
    <w:rsid w:val="003C719D"/>
    <w:rsid w:val="003C76CA"/>
    <w:rsid w:val="003D175D"/>
    <w:rsid w:val="003D1807"/>
    <w:rsid w:val="003D198A"/>
    <w:rsid w:val="003D305F"/>
    <w:rsid w:val="003D3113"/>
    <w:rsid w:val="003D3190"/>
    <w:rsid w:val="003D5B83"/>
    <w:rsid w:val="003D7194"/>
    <w:rsid w:val="003D73A0"/>
    <w:rsid w:val="003E303A"/>
    <w:rsid w:val="003E309A"/>
    <w:rsid w:val="003E3399"/>
    <w:rsid w:val="003E4CA7"/>
    <w:rsid w:val="003E53CD"/>
    <w:rsid w:val="003E61FE"/>
    <w:rsid w:val="003E6776"/>
    <w:rsid w:val="003E6A63"/>
    <w:rsid w:val="003E6B9C"/>
    <w:rsid w:val="003E7A65"/>
    <w:rsid w:val="003F1BED"/>
    <w:rsid w:val="003F1EF2"/>
    <w:rsid w:val="003F43DD"/>
    <w:rsid w:val="003F6293"/>
    <w:rsid w:val="0040058C"/>
    <w:rsid w:val="004010B1"/>
    <w:rsid w:val="0040126E"/>
    <w:rsid w:val="004023C0"/>
    <w:rsid w:val="00404152"/>
    <w:rsid w:val="00406E46"/>
    <w:rsid w:val="0040743F"/>
    <w:rsid w:val="00410D25"/>
    <w:rsid w:val="004115E2"/>
    <w:rsid w:val="004117C1"/>
    <w:rsid w:val="00411877"/>
    <w:rsid w:val="004127CA"/>
    <w:rsid w:val="00414241"/>
    <w:rsid w:val="00414662"/>
    <w:rsid w:val="00414951"/>
    <w:rsid w:val="00415F8D"/>
    <w:rsid w:val="00417D84"/>
    <w:rsid w:val="00420B58"/>
    <w:rsid w:val="004223BB"/>
    <w:rsid w:val="004230C7"/>
    <w:rsid w:val="00425C9D"/>
    <w:rsid w:val="00425DB7"/>
    <w:rsid w:val="004261E5"/>
    <w:rsid w:val="00426A2D"/>
    <w:rsid w:val="00431475"/>
    <w:rsid w:val="00431F27"/>
    <w:rsid w:val="00432AB7"/>
    <w:rsid w:val="00432F40"/>
    <w:rsid w:val="00433011"/>
    <w:rsid w:val="00433E74"/>
    <w:rsid w:val="004352F5"/>
    <w:rsid w:val="00435D31"/>
    <w:rsid w:val="00435D5B"/>
    <w:rsid w:val="004374BE"/>
    <w:rsid w:val="0043759A"/>
    <w:rsid w:val="00437EBB"/>
    <w:rsid w:val="00440E33"/>
    <w:rsid w:val="00441C6D"/>
    <w:rsid w:val="00441CA8"/>
    <w:rsid w:val="004431F8"/>
    <w:rsid w:val="00443247"/>
    <w:rsid w:val="00445BD5"/>
    <w:rsid w:val="00446442"/>
    <w:rsid w:val="00447B3B"/>
    <w:rsid w:val="00450BD2"/>
    <w:rsid w:val="00452F0B"/>
    <w:rsid w:val="00456764"/>
    <w:rsid w:val="004575B1"/>
    <w:rsid w:val="004607BE"/>
    <w:rsid w:val="00461B30"/>
    <w:rsid w:val="00461F1F"/>
    <w:rsid w:val="0046293D"/>
    <w:rsid w:val="0046308F"/>
    <w:rsid w:val="00473067"/>
    <w:rsid w:val="004755C8"/>
    <w:rsid w:val="00475A7A"/>
    <w:rsid w:val="004771B0"/>
    <w:rsid w:val="00477F94"/>
    <w:rsid w:val="00481182"/>
    <w:rsid w:val="00481B1C"/>
    <w:rsid w:val="004825C2"/>
    <w:rsid w:val="004827A6"/>
    <w:rsid w:val="00482AEC"/>
    <w:rsid w:val="00482DE0"/>
    <w:rsid w:val="00483816"/>
    <w:rsid w:val="004842AA"/>
    <w:rsid w:val="004857AE"/>
    <w:rsid w:val="00486BCF"/>
    <w:rsid w:val="0049094E"/>
    <w:rsid w:val="00491598"/>
    <w:rsid w:val="00493B4C"/>
    <w:rsid w:val="00493C31"/>
    <w:rsid w:val="0049481A"/>
    <w:rsid w:val="004A044D"/>
    <w:rsid w:val="004A17D2"/>
    <w:rsid w:val="004A2179"/>
    <w:rsid w:val="004A32E9"/>
    <w:rsid w:val="004A6F4D"/>
    <w:rsid w:val="004A7401"/>
    <w:rsid w:val="004B1CE0"/>
    <w:rsid w:val="004B22B2"/>
    <w:rsid w:val="004B24B8"/>
    <w:rsid w:val="004B565B"/>
    <w:rsid w:val="004B6B8B"/>
    <w:rsid w:val="004B6BB2"/>
    <w:rsid w:val="004C28F6"/>
    <w:rsid w:val="004C331A"/>
    <w:rsid w:val="004C336B"/>
    <w:rsid w:val="004C362D"/>
    <w:rsid w:val="004C3BB3"/>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6BA9"/>
    <w:rsid w:val="004E0D0E"/>
    <w:rsid w:val="004E19E1"/>
    <w:rsid w:val="004E37D1"/>
    <w:rsid w:val="004E3BE0"/>
    <w:rsid w:val="004F0876"/>
    <w:rsid w:val="004F0A5E"/>
    <w:rsid w:val="004F1447"/>
    <w:rsid w:val="004F5583"/>
    <w:rsid w:val="00500436"/>
    <w:rsid w:val="00500D74"/>
    <w:rsid w:val="0050117C"/>
    <w:rsid w:val="005049B8"/>
    <w:rsid w:val="005055B0"/>
    <w:rsid w:val="005064F0"/>
    <w:rsid w:val="005109E3"/>
    <w:rsid w:val="00510CE7"/>
    <w:rsid w:val="00511267"/>
    <w:rsid w:val="00511FC6"/>
    <w:rsid w:val="00517A47"/>
    <w:rsid w:val="00517F41"/>
    <w:rsid w:val="0052071C"/>
    <w:rsid w:val="00520A53"/>
    <w:rsid w:val="005214EC"/>
    <w:rsid w:val="00521F2A"/>
    <w:rsid w:val="0052378F"/>
    <w:rsid w:val="00523827"/>
    <w:rsid w:val="00523AF4"/>
    <w:rsid w:val="00525B1D"/>
    <w:rsid w:val="0052688C"/>
    <w:rsid w:val="005269E2"/>
    <w:rsid w:val="00526A3E"/>
    <w:rsid w:val="005275B1"/>
    <w:rsid w:val="00531038"/>
    <w:rsid w:val="005323F9"/>
    <w:rsid w:val="00532CEC"/>
    <w:rsid w:val="005351EA"/>
    <w:rsid w:val="0053557A"/>
    <w:rsid w:val="00535A01"/>
    <w:rsid w:val="00535BD1"/>
    <w:rsid w:val="00536ACA"/>
    <w:rsid w:val="00536CC2"/>
    <w:rsid w:val="0053771F"/>
    <w:rsid w:val="00540583"/>
    <w:rsid w:val="00541140"/>
    <w:rsid w:val="00542B4D"/>
    <w:rsid w:val="005441BD"/>
    <w:rsid w:val="00544F6C"/>
    <w:rsid w:val="00545552"/>
    <w:rsid w:val="0054733A"/>
    <w:rsid w:val="00552AF4"/>
    <w:rsid w:val="00552C27"/>
    <w:rsid w:val="00556CAB"/>
    <w:rsid w:val="00557212"/>
    <w:rsid w:val="005611C9"/>
    <w:rsid w:val="005655C3"/>
    <w:rsid w:val="0056676F"/>
    <w:rsid w:val="00566FEB"/>
    <w:rsid w:val="00570A65"/>
    <w:rsid w:val="00571223"/>
    <w:rsid w:val="00572B6C"/>
    <w:rsid w:val="00575115"/>
    <w:rsid w:val="0057590C"/>
    <w:rsid w:val="00575C09"/>
    <w:rsid w:val="005771EF"/>
    <w:rsid w:val="00577D22"/>
    <w:rsid w:val="0058246C"/>
    <w:rsid w:val="00584B37"/>
    <w:rsid w:val="00585EC9"/>
    <w:rsid w:val="00586746"/>
    <w:rsid w:val="00587E08"/>
    <w:rsid w:val="00587FA2"/>
    <w:rsid w:val="00591026"/>
    <w:rsid w:val="005937B4"/>
    <w:rsid w:val="00594B92"/>
    <w:rsid w:val="00594ECC"/>
    <w:rsid w:val="00595358"/>
    <w:rsid w:val="00595AC9"/>
    <w:rsid w:val="0059662E"/>
    <w:rsid w:val="00596711"/>
    <w:rsid w:val="0059698F"/>
    <w:rsid w:val="005969F9"/>
    <w:rsid w:val="00597732"/>
    <w:rsid w:val="005A2315"/>
    <w:rsid w:val="005A30D6"/>
    <w:rsid w:val="005A5BF4"/>
    <w:rsid w:val="005A63BF"/>
    <w:rsid w:val="005A75B9"/>
    <w:rsid w:val="005B275E"/>
    <w:rsid w:val="005B37A7"/>
    <w:rsid w:val="005B37DC"/>
    <w:rsid w:val="005B51C7"/>
    <w:rsid w:val="005B72CA"/>
    <w:rsid w:val="005C02F2"/>
    <w:rsid w:val="005C0AAB"/>
    <w:rsid w:val="005C1201"/>
    <w:rsid w:val="005C24D1"/>
    <w:rsid w:val="005C46EF"/>
    <w:rsid w:val="005C597A"/>
    <w:rsid w:val="005C70A7"/>
    <w:rsid w:val="005C7788"/>
    <w:rsid w:val="005C7BB8"/>
    <w:rsid w:val="005D1575"/>
    <w:rsid w:val="005D18E5"/>
    <w:rsid w:val="005D20F2"/>
    <w:rsid w:val="005D31AF"/>
    <w:rsid w:val="005D3ABE"/>
    <w:rsid w:val="005D450D"/>
    <w:rsid w:val="005D49D6"/>
    <w:rsid w:val="005D6E75"/>
    <w:rsid w:val="005D7B0E"/>
    <w:rsid w:val="005E0C34"/>
    <w:rsid w:val="005E1B00"/>
    <w:rsid w:val="005E1E22"/>
    <w:rsid w:val="005E28DB"/>
    <w:rsid w:val="005E31CC"/>
    <w:rsid w:val="005E3EC1"/>
    <w:rsid w:val="005E40D6"/>
    <w:rsid w:val="005E4F1E"/>
    <w:rsid w:val="005E78F1"/>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1AED"/>
    <w:rsid w:val="006033B9"/>
    <w:rsid w:val="00603405"/>
    <w:rsid w:val="0061529A"/>
    <w:rsid w:val="00615A8D"/>
    <w:rsid w:val="00616936"/>
    <w:rsid w:val="00616A52"/>
    <w:rsid w:val="00620B2E"/>
    <w:rsid w:val="006215ED"/>
    <w:rsid w:val="0062221E"/>
    <w:rsid w:val="0062246E"/>
    <w:rsid w:val="00622B32"/>
    <w:rsid w:val="00624825"/>
    <w:rsid w:val="00624BAD"/>
    <w:rsid w:val="00625939"/>
    <w:rsid w:val="00633946"/>
    <w:rsid w:val="00633E76"/>
    <w:rsid w:val="006356FD"/>
    <w:rsid w:val="006370B3"/>
    <w:rsid w:val="00637903"/>
    <w:rsid w:val="00637E93"/>
    <w:rsid w:val="00637F2E"/>
    <w:rsid w:val="00641217"/>
    <w:rsid w:val="006414FE"/>
    <w:rsid w:val="00645BC8"/>
    <w:rsid w:val="0064782F"/>
    <w:rsid w:val="00650FB0"/>
    <w:rsid w:val="0065161B"/>
    <w:rsid w:val="006530CE"/>
    <w:rsid w:val="0065564E"/>
    <w:rsid w:val="0065785E"/>
    <w:rsid w:val="00657D10"/>
    <w:rsid w:val="00657D1A"/>
    <w:rsid w:val="00660E62"/>
    <w:rsid w:val="00661376"/>
    <w:rsid w:val="006615E5"/>
    <w:rsid w:val="00663483"/>
    <w:rsid w:val="00663B6F"/>
    <w:rsid w:val="00663DD3"/>
    <w:rsid w:val="0066477C"/>
    <w:rsid w:val="00666A3E"/>
    <w:rsid w:val="0066731C"/>
    <w:rsid w:val="00670FAA"/>
    <w:rsid w:val="006718B0"/>
    <w:rsid w:val="006719FE"/>
    <w:rsid w:val="00673EB8"/>
    <w:rsid w:val="0067569A"/>
    <w:rsid w:val="006820F4"/>
    <w:rsid w:val="00682E13"/>
    <w:rsid w:val="00683D35"/>
    <w:rsid w:val="00685872"/>
    <w:rsid w:val="006869C4"/>
    <w:rsid w:val="0068719C"/>
    <w:rsid w:val="00687D18"/>
    <w:rsid w:val="0069019B"/>
    <w:rsid w:val="00694C2F"/>
    <w:rsid w:val="006974C8"/>
    <w:rsid w:val="00697604"/>
    <w:rsid w:val="00697B24"/>
    <w:rsid w:val="00697EA9"/>
    <w:rsid w:val="006A06EE"/>
    <w:rsid w:val="006A25CE"/>
    <w:rsid w:val="006A3281"/>
    <w:rsid w:val="006A4BA2"/>
    <w:rsid w:val="006A4C44"/>
    <w:rsid w:val="006A7FBB"/>
    <w:rsid w:val="006B0E96"/>
    <w:rsid w:val="006B1ADB"/>
    <w:rsid w:val="006B3C71"/>
    <w:rsid w:val="006B4252"/>
    <w:rsid w:val="006B4351"/>
    <w:rsid w:val="006B46E3"/>
    <w:rsid w:val="006C0054"/>
    <w:rsid w:val="006C0F1D"/>
    <w:rsid w:val="006C2162"/>
    <w:rsid w:val="006C227A"/>
    <w:rsid w:val="006C344B"/>
    <w:rsid w:val="006C3C87"/>
    <w:rsid w:val="006C3D88"/>
    <w:rsid w:val="006C480E"/>
    <w:rsid w:val="006C5F7E"/>
    <w:rsid w:val="006D30BE"/>
    <w:rsid w:val="006D567A"/>
    <w:rsid w:val="006D58D2"/>
    <w:rsid w:val="006D5943"/>
    <w:rsid w:val="006D5ACF"/>
    <w:rsid w:val="006E010B"/>
    <w:rsid w:val="006E16A8"/>
    <w:rsid w:val="006E382F"/>
    <w:rsid w:val="006E3A9E"/>
    <w:rsid w:val="006E6765"/>
    <w:rsid w:val="006E6953"/>
    <w:rsid w:val="006F04D9"/>
    <w:rsid w:val="006F1AAC"/>
    <w:rsid w:val="006F2097"/>
    <w:rsid w:val="006F344D"/>
    <w:rsid w:val="006F5052"/>
    <w:rsid w:val="006F5776"/>
    <w:rsid w:val="006F63B1"/>
    <w:rsid w:val="006F7539"/>
    <w:rsid w:val="00700CD9"/>
    <w:rsid w:val="00701BA9"/>
    <w:rsid w:val="00701EF4"/>
    <w:rsid w:val="007020B5"/>
    <w:rsid w:val="007029E6"/>
    <w:rsid w:val="00702AB7"/>
    <w:rsid w:val="007055F3"/>
    <w:rsid w:val="0070594F"/>
    <w:rsid w:val="00706DA6"/>
    <w:rsid w:val="007071EB"/>
    <w:rsid w:val="00710463"/>
    <w:rsid w:val="00710837"/>
    <w:rsid w:val="00710B71"/>
    <w:rsid w:val="00710CD0"/>
    <w:rsid w:val="00711612"/>
    <w:rsid w:val="00712A3E"/>
    <w:rsid w:val="00713350"/>
    <w:rsid w:val="00714859"/>
    <w:rsid w:val="00714F92"/>
    <w:rsid w:val="00717FD3"/>
    <w:rsid w:val="00720C41"/>
    <w:rsid w:val="00722FBA"/>
    <w:rsid w:val="0072313F"/>
    <w:rsid w:val="00724F07"/>
    <w:rsid w:val="0072792D"/>
    <w:rsid w:val="00727F36"/>
    <w:rsid w:val="0073012D"/>
    <w:rsid w:val="00732742"/>
    <w:rsid w:val="0073370C"/>
    <w:rsid w:val="00733A3B"/>
    <w:rsid w:val="00744479"/>
    <w:rsid w:val="007444F9"/>
    <w:rsid w:val="00744FCC"/>
    <w:rsid w:val="0075190A"/>
    <w:rsid w:val="00752753"/>
    <w:rsid w:val="00752854"/>
    <w:rsid w:val="00753180"/>
    <w:rsid w:val="00754E54"/>
    <w:rsid w:val="00755E9B"/>
    <w:rsid w:val="00756C4C"/>
    <w:rsid w:val="00757E08"/>
    <w:rsid w:val="00765CFE"/>
    <w:rsid w:val="007667D9"/>
    <w:rsid w:val="00766ADF"/>
    <w:rsid w:val="007676EF"/>
    <w:rsid w:val="00770711"/>
    <w:rsid w:val="00772676"/>
    <w:rsid w:val="007726C3"/>
    <w:rsid w:val="00773D9F"/>
    <w:rsid w:val="00774571"/>
    <w:rsid w:val="00780E8E"/>
    <w:rsid w:val="007812FA"/>
    <w:rsid w:val="0078207C"/>
    <w:rsid w:val="00782676"/>
    <w:rsid w:val="007830D7"/>
    <w:rsid w:val="0078499E"/>
    <w:rsid w:val="007854C9"/>
    <w:rsid w:val="0078591F"/>
    <w:rsid w:val="0078611D"/>
    <w:rsid w:val="0078682A"/>
    <w:rsid w:val="00786E67"/>
    <w:rsid w:val="00786E7B"/>
    <w:rsid w:val="00787879"/>
    <w:rsid w:val="0079071B"/>
    <w:rsid w:val="00791867"/>
    <w:rsid w:val="007919E4"/>
    <w:rsid w:val="0079216A"/>
    <w:rsid w:val="00792D96"/>
    <w:rsid w:val="00793656"/>
    <w:rsid w:val="00794032"/>
    <w:rsid w:val="00795189"/>
    <w:rsid w:val="007969EF"/>
    <w:rsid w:val="007A0737"/>
    <w:rsid w:val="007A1182"/>
    <w:rsid w:val="007A341B"/>
    <w:rsid w:val="007A40A7"/>
    <w:rsid w:val="007A5951"/>
    <w:rsid w:val="007A5D58"/>
    <w:rsid w:val="007A6419"/>
    <w:rsid w:val="007A7335"/>
    <w:rsid w:val="007B06C6"/>
    <w:rsid w:val="007B16B5"/>
    <w:rsid w:val="007B4372"/>
    <w:rsid w:val="007B50EE"/>
    <w:rsid w:val="007B79A8"/>
    <w:rsid w:val="007C0FB3"/>
    <w:rsid w:val="007C17CD"/>
    <w:rsid w:val="007C17F7"/>
    <w:rsid w:val="007C1873"/>
    <w:rsid w:val="007C1EAB"/>
    <w:rsid w:val="007C2177"/>
    <w:rsid w:val="007C3E96"/>
    <w:rsid w:val="007C4F12"/>
    <w:rsid w:val="007C6D29"/>
    <w:rsid w:val="007C6DE3"/>
    <w:rsid w:val="007C7806"/>
    <w:rsid w:val="007C7D9A"/>
    <w:rsid w:val="007D0240"/>
    <w:rsid w:val="007D064F"/>
    <w:rsid w:val="007D06D2"/>
    <w:rsid w:val="007D06EA"/>
    <w:rsid w:val="007D16B3"/>
    <w:rsid w:val="007D1ACE"/>
    <w:rsid w:val="007D2830"/>
    <w:rsid w:val="007D2F8A"/>
    <w:rsid w:val="007D4AB8"/>
    <w:rsid w:val="007D4FF0"/>
    <w:rsid w:val="007D6050"/>
    <w:rsid w:val="007D63C9"/>
    <w:rsid w:val="007E1654"/>
    <w:rsid w:val="007E1922"/>
    <w:rsid w:val="007E4109"/>
    <w:rsid w:val="007E6083"/>
    <w:rsid w:val="007E6348"/>
    <w:rsid w:val="007E7BC7"/>
    <w:rsid w:val="007E7F1E"/>
    <w:rsid w:val="007F425A"/>
    <w:rsid w:val="007F5F08"/>
    <w:rsid w:val="007F5FD5"/>
    <w:rsid w:val="007F6127"/>
    <w:rsid w:val="007F6812"/>
    <w:rsid w:val="007F7180"/>
    <w:rsid w:val="007F7A75"/>
    <w:rsid w:val="00803208"/>
    <w:rsid w:val="00804218"/>
    <w:rsid w:val="00807358"/>
    <w:rsid w:val="00810769"/>
    <w:rsid w:val="0081336F"/>
    <w:rsid w:val="008151FE"/>
    <w:rsid w:val="008160B8"/>
    <w:rsid w:val="008175B3"/>
    <w:rsid w:val="008209C0"/>
    <w:rsid w:val="0082268F"/>
    <w:rsid w:val="008237E0"/>
    <w:rsid w:val="00823D48"/>
    <w:rsid w:val="008244AF"/>
    <w:rsid w:val="00825E02"/>
    <w:rsid w:val="00825F3D"/>
    <w:rsid w:val="008261CD"/>
    <w:rsid w:val="00827211"/>
    <w:rsid w:val="00827C96"/>
    <w:rsid w:val="008305B2"/>
    <w:rsid w:val="008314C9"/>
    <w:rsid w:val="00831F79"/>
    <w:rsid w:val="00833423"/>
    <w:rsid w:val="008342B6"/>
    <w:rsid w:val="0083503B"/>
    <w:rsid w:val="00836F57"/>
    <w:rsid w:val="0083719D"/>
    <w:rsid w:val="008372F3"/>
    <w:rsid w:val="00837C3F"/>
    <w:rsid w:val="00840E26"/>
    <w:rsid w:val="00841F9C"/>
    <w:rsid w:val="00842A8E"/>
    <w:rsid w:val="00844F0C"/>
    <w:rsid w:val="00845391"/>
    <w:rsid w:val="00846755"/>
    <w:rsid w:val="00847B72"/>
    <w:rsid w:val="00852B2F"/>
    <w:rsid w:val="00853159"/>
    <w:rsid w:val="00855499"/>
    <w:rsid w:val="0085576F"/>
    <w:rsid w:val="00856B60"/>
    <w:rsid w:val="00857D31"/>
    <w:rsid w:val="00860870"/>
    <w:rsid w:val="0086264D"/>
    <w:rsid w:val="00862DFA"/>
    <w:rsid w:val="00863D3F"/>
    <w:rsid w:val="008640A9"/>
    <w:rsid w:val="00864A68"/>
    <w:rsid w:val="0086561A"/>
    <w:rsid w:val="00867A66"/>
    <w:rsid w:val="00867D40"/>
    <w:rsid w:val="00871360"/>
    <w:rsid w:val="008714CE"/>
    <w:rsid w:val="0087161E"/>
    <w:rsid w:val="00872F54"/>
    <w:rsid w:val="00874F1E"/>
    <w:rsid w:val="00874F94"/>
    <w:rsid w:val="008759F2"/>
    <w:rsid w:val="00876D6E"/>
    <w:rsid w:val="0088080F"/>
    <w:rsid w:val="0088134E"/>
    <w:rsid w:val="00881C7A"/>
    <w:rsid w:val="00881CC4"/>
    <w:rsid w:val="008820EB"/>
    <w:rsid w:val="0088395D"/>
    <w:rsid w:val="0088652E"/>
    <w:rsid w:val="00887695"/>
    <w:rsid w:val="00887B1A"/>
    <w:rsid w:val="00890105"/>
    <w:rsid w:val="008920CE"/>
    <w:rsid w:val="008A090F"/>
    <w:rsid w:val="008A1B4C"/>
    <w:rsid w:val="008A3F3D"/>
    <w:rsid w:val="008A4B18"/>
    <w:rsid w:val="008B2560"/>
    <w:rsid w:val="008B4F77"/>
    <w:rsid w:val="008B58CB"/>
    <w:rsid w:val="008B6131"/>
    <w:rsid w:val="008B773A"/>
    <w:rsid w:val="008B7839"/>
    <w:rsid w:val="008B7C2B"/>
    <w:rsid w:val="008C069A"/>
    <w:rsid w:val="008C0BB8"/>
    <w:rsid w:val="008C141C"/>
    <w:rsid w:val="008C2460"/>
    <w:rsid w:val="008C61E1"/>
    <w:rsid w:val="008C7CCE"/>
    <w:rsid w:val="008C7EF5"/>
    <w:rsid w:val="008D03BD"/>
    <w:rsid w:val="008D1CB0"/>
    <w:rsid w:val="008D4577"/>
    <w:rsid w:val="008D4B46"/>
    <w:rsid w:val="008D51C7"/>
    <w:rsid w:val="008D6598"/>
    <w:rsid w:val="008D6D39"/>
    <w:rsid w:val="008D6E21"/>
    <w:rsid w:val="008D7F22"/>
    <w:rsid w:val="008E1103"/>
    <w:rsid w:val="008E3AA7"/>
    <w:rsid w:val="008E5FD0"/>
    <w:rsid w:val="008E64B5"/>
    <w:rsid w:val="008E6CB3"/>
    <w:rsid w:val="008F1E56"/>
    <w:rsid w:val="008F23DD"/>
    <w:rsid w:val="008F6418"/>
    <w:rsid w:val="008F66DE"/>
    <w:rsid w:val="008F70B1"/>
    <w:rsid w:val="008F7C65"/>
    <w:rsid w:val="00900237"/>
    <w:rsid w:val="009023CD"/>
    <w:rsid w:val="00903251"/>
    <w:rsid w:val="009035CB"/>
    <w:rsid w:val="0090439C"/>
    <w:rsid w:val="00904D56"/>
    <w:rsid w:val="00904F9C"/>
    <w:rsid w:val="00907078"/>
    <w:rsid w:val="00907B49"/>
    <w:rsid w:val="009101B9"/>
    <w:rsid w:val="00910961"/>
    <w:rsid w:val="0091105D"/>
    <w:rsid w:val="009132A8"/>
    <w:rsid w:val="00913BC2"/>
    <w:rsid w:val="00913F0D"/>
    <w:rsid w:val="009149DE"/>
    <w:rsid w:val="0091581B"/>
    <w:rsid w:val="009169B4"/>
    <w:rsid w:val="00916B94"/>
    <w:rsid w:val="0091754C"/>
    <w:rsid w:val="009175DE"/>
    <w:rsid w:val="00920046"/>
    <w:rsid w:val="00920A46"/>
    <w:rsid w:val="00923416"/>
    <w:rsid w:val="00924D6A"/>
    <w:rsid w:val="00925DCD"/>
    <w:rsid w:val="00925EC5"/>
    <w:rsid w:val="00927B96"/>
    <w:rsid w:val="009303B7"/>
    <w:rsid w:val="0093237F"/>
    <w:rsid w:val="00934288"/>
    <w:rsid w:val="0093717B"/>
    <w:rsid w:val="00942C3B"/>
    <w:rsid w:val="00943FF4"/>
    <w:rsid w:val="00945EC2"/>
    <w:rsid w:val="009464E6"/>
    <w:rsid w:val="0095029C"/>
    <w:rsid w:val="00950A42"/>
    <w:rsid w:val="009510CA"/>
    <w:rsid w:val="00953BAA"/>
    <w:rsid w:val="00954B1F"/>
    <w:rsid w:val="00954CD1"/>
    <w:rsid w:val="00957FDA"/>
    <w:rsid w:val="00964157"/>
    <w:rsid w:val="009654D6"/>
    <w:rsid w:val="0096721B"/>
    <w:rsid w:val="00967439"/>
    <w:rsid w:val="00970AEB"/>
    <w:rsid w:val="0097254D"/>
    <w:rsid w:val="00972E53"/>
    <w:rsid w:val="0097461E"/>
    <w:rsid w:val="00974ADC"/>
    <w:rsid w:val="00974D6B"/>
    <w:rsid w:val="00975CFC"/>
    <w:rsid w:val="00976EEF"/>
    <w:rsid w:val="00977590"/>
    <w:rsid w:val="00977707"/>
    <w:rsid w:val="00977DF3"/>
    <w:rsid w:val="0098116C"/>
    <w:rsid w:val="00982532"/>
    <w:rsid w:val="009836C4"/>
    <w:rsid w:val="0098497D"/>
    <w:rsid w:val="009854E2"/>
    <w:rsid w:val="00986A6C"/>
    <w:rsid w:val="00987331"/>
    <w:rsid w:val="00987443"/>
    <w:rsid w:val="00991D87"/>
    <w:rsid w:val="009923B4"/>
    <w:rsid w:val="009939F1"/>
    <w:rsid w:val="009943FA"/>
    <w:rsid w:val="00994A54"/>
    <w:rsid w:val="00996755"/>
    <w:rsid w:val="00997359"/>
    <w:rsid w:val="009A0BCB"/>
    <w:rsid w:val="009A53E3"/>
    <w:rsid w:val="009C2E57"/>
    <w:rsid w:val="009C401C"/>
    <w:rsid w:val="009C4254"/>
    <w:rsid w:val="009D1A5A"/>
    <w:rsid w:val="009D2091"/>
    <w:rsid w:val="009D3425"/>
    <w:rsid w:val="009D37AC"/>
    <w:rsid w:val="009D3A35"/>
    <w:rsid w:val="009D3D2E"/>
    <w:rsid w:val="009D3EA9"/>
    <w:rsid w:val="009D54CB"/>
    <w:rsid w:val="009D6F8D"/>
    <w:rsid w:val="009D799E"/>
    <w:rsid w:val="009E0628"/>
    <w:rsid w:val="009E1506"/>
    <w:rsid w:val="009E391F"/>
    <w:rsid w:val="009E4F61"/>
    <w:rsid w:val="009E55D8"/>
    <w:rsid w:val="009E66B3"/>
    <w:rsid w:val="009E68E2"/>
    <w:rsid w:val="009E6BCD"/>
    <w:rsid w:val="009F074C"/>
    <w:rsid w:val="009F204C"/>
    <w:rsid w:val="009F31F8"/>
    <w:rsid w:val="009F354C"/>
    <w:rsid w:val="009F49BA"/>
    <w:rsid w:val="009F4F17"/>
    <w:rsid w:val="009F63E3"/>
    <w:rsid w:val="00A00403"/>
    <w:rsid w:val="00A031CD"/>
    <w:rsid w:val="00A03B8F"/>
    <w:rsid w:val="00A04AB7"/>
    <w:rsid w:val="00A04F9A"/>
    <w:rsid w:val="00A05DF3"/>
    <w:rsid w:val="00A07D1A"/>
    <w:rsid w:val="00A10757"/>
    <w:rsid w:val="00A10B3D"/>
    <w:rsid w:val="00A13C8B"/>
    <w:rsid w:val="00A153E9"/>
    <w:rsid w:val="00A177BC"/>
    <w:rsid w:val="00A17933"/>
    <w:rsid w:val="00A17C95"/>
    <w:rsid w:val="00A2085E"/>
    <w:rsid w:val="00A21494"/>
    <w:rsid w:val="00A2176D"/>
    <w:rsid w:val="00A21819"/>
    <w:rsid w:val="00A22C5E"/>
    <w:rsid w:val="00A23968"/>
    <w:rsid w:val="00A277B8"/>
    <w:rsid w:val="00A27998"/>
    <w:rsid w:val="00A32952"/>
    <w:rsid w:val="00A342F7"/>
    <w:rsid w:val="00A34CA2"/>
    <w:rsid w:val="00A3579C"/>
    <w:rsid w:val="00A35E73"/>
    <w:rsid w:val="00A3653F"/>
    <w:rsid w:val="00A36877"/>
    <w:rsid w:val="00A37132"/>
    <w:rsid w:val="00A41B11"/>
    <w:rsid w:val="00A43596"/>
    <w:rsid w:val="00A4479C"/>
    <w:rsid w:val="00A463C5"/>
    <w:rsid w:val="00A46519"/>
    <w:rsid w:val="00A467CB"/>
    <w:rsid w:val="00A472B6"/>
    <w:rsid w:val="00A47C96"/>
    <w:rsid w:val="00A524BA"/>
    <w:rsid w:val="00A5438D"/>
    <w:rsid w:val="00A54921"/>
    <w:rsid w:val="00A553D4"/>
    <w:rsid w:val="00A5679A"/>
    <w:rsid w:val="00A570F3"/>
    <w:rsid w:val="00A57517"/>
    <w:rsid w:val="00A579B0"/>
    <w:rsid w:val="00A57FBF"/>
    <w:rsid w:val="00A6030F"/>
    <w:rsid w:val="00A6233D"/>
    <w:rsid w:val="00A639B9"/>
    <w:rsid w:val="00A70302"/>
    <w:rsid w:val="00A70CD9"/>
    <w:rsid w:val="00A70F46"/>
    <w:rsid w:val="00A7112C"/>
    <w:rsid w:val="00A71C5A"/>
    <w:rsid w:val="00A744A6"/>
    <w:rsid w:val="00A75A4D"/>
    <w:rsid w:val="00A770AD"/>
    <w:rsid w:val="00A801A7"/>
    <w:rsid w:val="00A847DE"/>
    <w:rsid w:val="00A84B75"/>
    <w:rsid w:val="00A8522A"/>
    <w:rsid w:val="00A85806"/>
    <w:rsid w:val="00A858E6"/>
    <w:rsid w:val="00A8750F"/>
    <w:rsid w:val="00A90680"/>
    <w:rsid w:val="00A90976"/>
    <w:rsid w:val="00A90D02"/>
    <w:rsid w:val="00A9329E"/>
    <w:rsid w:val="00A93EE5"/>
    <w:rsid w:val="00A97F0E"/>
    <w:rsid w:val="00AA02D4"/>
    <w:rsid w:val="00AA1B71"/>
    <w:rsid w:val="00AA2404"/>
    <w:rsid w:val="00AA31B0"/>
    <w:rsid w:val="00AA4062"/>
    <w:rsid w:val="00AA56A4"/>
    <w:rsid w:val="00AB019D"/>
    <w:rsid w:val="00AB33A7"/>
    <w:rsid w:val="00AB4EF5"/>
    <w:rsid w:val="00AB6D27"/>
    <w:rsid w:val="00AB6FD5"/>
    <w:rsid w:val="00AC08EC"/>
    <w:rsid w:val="00AC1C33"/>
    <w:rsid w:val="00AC445C"/>
    <w:rsid w:val="00AC5CD4"/>
    <w:rsid w:val="00AC7611"/>
    <w:rsid w:val="00AD0D4D"/>
    <w:rsid w:val="00AD23D0"/>
    <w:rsid w:val="00AD2B93"/>
    <w:rsid w:val="00AD3D67"/>
    <w:rsid w:val="00AD497A"/>
    <w:rsid w:val="00AD5BBB"/>
    <w:rsid w:val="00AD6104"/>
    <w:rsid w:val="00AD63F6"/>
    <w:rsid w:val="00AD6F69"/>
    <w:rsid w:val="00AD7033"/>
    <w:rsid w:val="00AD7399"/>
    <w:rsid w:val="00AE4E5E"/>
    <w:rsid w:val="00AE731A"/>
    <w:rsid w:val="00AE7FD2"/>
    <w:rsid w:val="00AF0EC5"/>
    <w:rsid w:val="00AF15E2"/>
    <w:rsid w:val="00AF1E0E"/>
    <w:rsid w:val="00AF23DE"/>
    <w:rsid w:val="00AF3A3E"/>
    <w:rsid w:val="00AF45AC"/>
    <w:rsid w:val="00AF5290"/>
    <w:rsid w:val="00AF594A"/>
    <w:rsid w:val="00AF5E5E"/>
    <w:rsid w:val="00AF6ADB"/>
    <w:rsid w:val="00B035D1"/>
    <w:rsid w:val="00B03A28"/>
    <w:rsid w:val="00B06E77"/>
    <w:rsid w:val="00B07498"/>
    <w:rsid w:val="00B075FF"/>
    <w:rsid w:val="00B10A94"/>
    <w:rsid w:val="00B1130E"/>
    <w:rsid w:val="00B1143D"/>
    <w:rsid w:val="00B11984"/>
    <w:rsid w:val="00B11D81"/>
    <w:rsid w:val="00B1296E"/>
    <w:rsid w:val="00B12A12"/>
    <w:rsid w:val="00B12C31"/>
    <w:rsid w:val="00B1362E"/>
    <w:rsid w:val="00B142E0"/>
    <w:rsid w:val="00B15F39"/>
    <w:rsid w:val="00B16ACB"/>
    <w:rsid w:val="00B1742A"/>
    <w:rsid w:val="00B204A1"/>
    <w:rsid w:val="00B21F10"/>
    <w:rsid w:val="00B22517"/>
    <w:rsid w:val="00B2465D"/>
    <w:rsid w:val="00B2713A"/>
    <w:rsid w:val="00B27C5F"/>
    <w:rsid w:val="00B31F5D"/>
    <w:rsid w:val="00B32CDD"/>
    <w:rsid w:val="00B33034"/>
    <w:rsid w:val="00B33BD3"/>
    <w:rsid w:val="00B34FEA"/>
    <w:rsid w:val="00B401C4"/>
    <w:rsid w:val="00B402A9"/>
    <w:rsid w:val="00B41184"/>
    <w:rsid w:val="00B4234F"/>
    <w:rsid w:val="00B423FA"/>
    <w:rsid w:val="00B4289E"/>
    <w:rsid w:val="00B434A7"/>
    <w:rsid w:val="00B44434"/>
    <w:rsid w:val="00B452D0"/>
    <w:rsid w:val="00B45571"/>
    <w:rsid w:val="00B46FB3"/>
    <w:rsid w:val="00B51B8B"/>
    <w:rsid w:val="00B51D74"/>
    <w:rsid w:val="00B5229B"/>
    <w:rsid w:val="00B54ADE"/>
    <w:rsid w:val="00B55C34"/>
    <w:rsid w:val="00B56F75"/>
    <w:rsid w:val="00B57F03"/>
    <w:rsid w:val="00B619EA"/>
    <w:rsid w:val="00B61A7F"/>
    <w:rsid w:val="00B63244"/>
    <w:rsid w:val="00B636AC"/>
    <w:rsid w:val="00B64C82"/>
    <w:rsid w:val="00B65A95"/>
    <w:rsid w:val="00B66062"/>
    <w:rsid w:val="00B66D42"/>
    <w:rsid w:val="00B66E41"/>
    <w:rsid w:val="00B712A6"/>
    <w:rsid w:val="00B71CB3"/>
    <w:rsid w:val="00B721FD"/>
    <w:rsid w:val="00B7294E"/>
    <w:rsid w:val="00B72BAF"/>
    <w:rsid w:val="00B73AB7"/>
    <w:rsid w:val="00B74AEE"/>
    <w:rsid w:val="00B75348"/>
    <w:rsid w:val="00B762DB"/>
    <w:rsid w:val="00B76FD5"/>
    <w:rsid w:val="00B815FD"/>
    <w:rsid w:val="00B81725"/>
    <w:rsid w:val="00B82DAE"/>
    <w:rsid w:val="00B83520"/>
    <w:rsid w:val="00B858AE"/>
    <w:rsid w:val="00B8697F"/>
    <w:rsid w:val="00B86BC8"/>
    <w:rsid w:val="00B90A9E"/>
    <w:rsid w:val="00B941A6"/>
    <w:rsid w:val="00B95A1E"/>
    <w:rsid w:val="00B97AC6"/>
    <w:rsid w:val="00BA4166"/>
    <w:rsid w:val="00BA55A8"/>
    <w:rsid w:val="00BA6AF0"/>
    <w:rsid w:val="00BA74C6"/>
    <w:rsid w:val="00BA7A10"/>
    <w:rsid w:val="00BB1479"/>
    <w:rsid w:val="00BB1844"/>
    <w:rsid w:val="00BB1D5E"/>
    <w:rsid w:val="00BB216F"/>
    <w:rsid w:val="00BB3DB9"/>
    <w:rsid w:val="00BB407C"/>
    <w:rsid w:val="00BB4686"/>
    <w:rsid w:val="00BB4B11"/>
    <w:rsid w:val="00BB7E3F"/>
    <w:rsid w:val="00BC1EC4"/>
    <w:rsid w:val="00BC256F"/>
    <w:rsid w:val="00BC356E"/>
    <w:rsid w:val="00BC362E"/>
    <w:rsid w:val="00BC671A"/>
    <w:rsid w:val="00BC7718"/>
    <w:rsid w:val="00BC7CB0"/>
    <w:rsid w:val="00BD24D1"/>
    <w:rsid w:val="00BD2DF6"/>
    <w:rsid w:val="00BD404C"/>
    <w:rsid w:val="00BD4981"/>
    <w:rsid w:val="00BD5066"/>
    <w:rsid w:val="00BD545C"/>
    <w:rsid w:val="00BD7D7A"/>
    <w:rsid w:val="00BE0D1F"/>
    <w:rsid w:val="00BE2A8C"/>
    <w:rsid w:val="00BE328A"/>
    <w:rsid w:val="00BE371B"/>
    <w:rsid w:val="00BE3FD8"/>
    <w:rsid w:val="00BE64FC"/>
    <w:rsid w:val="00BE7999"/>
    <w:rsid w:val="00BF2325"/>
    <w:rsid w:val="00BF2A58"/>
    <w:rsid w:val="00BF31CC"/>
    <w:rsid w:val="00BF379A"/>
    <w:rsid w:val="00BF5677"/>
    <w:rsid w:val="00BF6A75"/>
    <w:rsid w:val="00BF7B2E"/>
    <w:rsid w:val="00C025F2"/>
    <w:rsid w:val="00C03E0E"/>
    <w:rsid w:val="00C04324"/>
    <w:rsid w:val="00C04E1A"/>
    <w:rsid w:val="00C06133"/>
    <w:rsid w:val="00C06595"/>
    <w:rsid w:val="00C10324"/>
    <w:rsid w:val="00C1035C"/>
    <w:rsid w:val="00C105D7"/>
    <w:rsid w:val="00C107EE"/>
    <w:rsid w:val="00C11493"/>
    <w:rsid w:val="00C14B78"/>
    <w:rsid w:val="00C16510"/>
    <w:rsid w:val="00C20838"/>
    <w:rsid w:val="00C2217B"/>
    <w:rsid w:val="00C223CD"/>
    <w:rsid w:val="00C23E02"/>
    <w:rsid w:val="00C24386"/>
    <w:rsid w:val="00C25776"/>
    <w:rsid w:val="00C27AE9"/>
    <w:rsid w:val="00C27E3E"/>
    <w:rsid w:val="00C325DA"/>
    <w:rsid w:val="00C327F3"/>
    <w:rsid w:val="00C3556B"/>
    <w:rsid w:val="00C3609F"/>
    <w:rsid w:val="00C36118"/>
    <w:rsid w:val="00C36337"/>
    <w:rsid w:val="00C3696F"/>
    <w:rsid w:val="00C37D9B"/>
    <w:rsid w:val="00C413E4"/>
    <w:rsid w:val="00C41917"/>
    <w:rsid w:val="00C426E9"/>
    <w:rsid w:val="00C4548B"/>
    <w:rsid w:val="00C50596"/>
    <w:rsid w:val="00C51ABB"/>
    <w:rsid w:val="00C53BB6"/>
    <w:rsid w:val="00C57BDD"/>
    <w:rsid w:val="00C60605"/>
    <w:rsid w:val="00C60D33"/>
    <w:rsid w:val="00C61528"/>
    <w:rsid w:val="00C61E6E"/>
    <w:rsid w:val="00C64F93"/>
    <w:rsid w:val="00C66124"/>
    <w:rsid w:val="00C667AE"/>
    <w:rsid w:val="00C70C7A"/>
    <w:rsid w:val="00C73054"/>
    <w:rsid w:val="00C733D3"/>
    <w:rsid w:val="00C73BF4"/>
    <w:rsid w:val="00C7527E"/>
    <w:rsid w:val="00C7685A"/>
    <w:rsid w:val="00C76C70"/>
    <w:rsid w:val="00C7707E"/>
    <w:rsid w:val="00C80D9D"/>
    <w:rsid w:val="00C854C5"/>
    <w:rsid w:val="00C85B2E"/>
    <w:rsid w:val="00C90015"/>
    <w:rsid w:val="00C90333"/>
    <w:rsid w:val="00C90685"/>
    <w:rsid w:val="00C90A41"/>
    <w:rsid w:val="00C93B88"/>
    <w:rsid w:val="00C94759"/>
    <w:rsid w:val="00C94EE5"/>
    <w:rsid w:val="00C95166"/>
    <w:rsid w:val="00CA08FD"/>
    <w:rsid w:val="00CA11E5"/>
    <w:rsid w:val="00CA172D"/>
    <w:rsid w:val="00CA335D"/>
    <w:rsid w:val="00CA4C51"/>
    <w:rsid w:val="00CA58E1"/>
    <w:rsid w:val="00CA5ADB"/>
    <w:rsid w:val="00CA68E7"/>
    <w:rsid w:val="00CB0EA5"/>
    <w:rsid w:val="00CB0FCE"/>
    <w:rsid w:val="00CB513A"/>
    <w:rsid w:val="00CB53F8"/>
    <w:rsid w:val="00CB5EE9"/>
    <w:rsid w:val="00CB6153"/>
    <w:rsid w:val="00CB6C02"/>
    <w:rsid w:val="00CC1280"/>
    <w:rsid w:val="00CC3A13"/>
    <w:rsid w:val="00CC3A49"/>
    <w:rsid w:val="00CC4D5E"/>
    <w:rsid w:val="00CC5132"/>
    <w:rsid w:val="00CC6071"/>
    <w:rsid w:val="00CC7248"/>
    <w:rsid w:val="00CD0605"/>
    <w:rsid w:val="00CD1436"/>
    <w:rsid w:val="00CD22F9"/>
    <w:rsid w:val="00CD2825"/>
    <w:rsid w:val="00CD343A"/>
    <w:rsid w:val="00CD3648"/>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FC4"/>
    <w:rsid w:val="00CF5117"/>
    <w:rsid w:val="00CF5E1C"/>
    <w:rsid w:val="00CF5ECB"/>
    <w:rsid w:val="00CF6383"/>
    <w:rsid w:val="00CF653E"/>
    <w:rsid w:val="00CF6F9E"/>
    <w:rsid w:val="00CF7BE0"/>
    <w:rsid w:val="00D013FD"/>
    <w:rsid w:val="00D02798"/>
    <w:rsid w:val="00D02BE8"/>
    <w:rsid w:val="00D040DA"/>
    <w:rsid w:val="00D04195"/>
    <w:rsid w:val="00D046D6"/>
    <w:rsid w:val="00D05CEF"/>
    <w:rsid w:val="00D10303"/>
    <w:rsid w:val="00D12282"/>
    <w:rsid w:val="00D13446"/>
    <w:rsid w:val="00D13817"/>
    <w:rsid w:val="00D13A24"/>
    <w:rsid w:val="00D15A4A"/>
    <w:rsid w:val="00D201DA"/>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56CC"/>
    <w:rsid w:val="00D367A9"/>
    <w:rsid w:val="00D3768D"/>
    <w:rsid w:val="00D37A5C"/>
    <w:rsid w:val="00D4093A"/>
    <w:rsid w:val="00D426BF"/>
    <w:rsid w:val="00D4281E"/>
    <w:rsid w:val="00D42BC6"/>
    <w:rsid w:val="00D4301E"/>
    <w:rsid w:val="00D4525A"/>
    <w:rsid w:val="00D506E9"/>
    <w:rsid w:val="00D519D1"/>
    <w:rsid w:val="00D553E5"/>
    <w:rsid w:val="00D5774E"/>
    <w:rsid w:val="00D60913"/>
    <w:rsid w:val="00D61B3A"/>
    <w:rsid w:val="00D62D47"/>
    <w:rsid w:val="00D64FD0"/>
    <w:rsid w:val="00D66013"/>
    <w:rsid w:val="00D67284"/>
    <w:rsid w:val="00D67679"/>
    <w:rsid w:val="00D67C8B"/>
    <w:rsid w:val="00D70AA6"/>
    <w:rsid w:val="00D7189B"/>
    <w:rsid w:val="00D72E41"/>
    <w:rsid w:val="00D73960"/>
    <w:rsid w:val="00D7398D"/>
    <w:rsid w:val="00D740A7"/>
    <w:rsid w:val="00D74E38"/>
    <w:rsid w:val="00D7522F"/>
    <w:rsid w:val="00D758EC"/>
    <w:rsid w:val="00D773D8"/>
    <w:rsid w:val="00D77699"/>
    <w:rsid w:val="00D77A17"/>
    <w:rsid w:val="00D77B3F"/>
    <w:rsid w:val="00D80224"/>
    <w:rsid w:val="00D8071D"/>
    <w:rsid w:val="00D82A8B"/>
    <w:rsid w:val="00D83AF5"/>
    <w:rsid w:val="00D84F53"/>
    <w:rsid w:val="00D85920"/>
    <w:rsid w:val="00D85D82"/>
    <w:rsid w:val="00D85FAA"/>
    <w:rsid w:val="00D865BB"/>
    <w:rsid w:val="00D877C3"/>
    <w:rsid w:val="00D9048A"/>
    <w:rsid w:val="00D92142"/>
    <w:rsid w:val="00D94A7B"/>
    <w:rsid w:val="00D95D5D"/>
    <w:rsid w:val="00DA1FCB"/>
    <w:rsid w:val="00DA397E"/>
    <w:rsid w:val="00DA4E92"/>
    <w:rsid w:val="00DB1635"/>
    <w:rsid w:val="00DB1BF7"/>
    <w:rsid w:val="00DB4E19"/>
    <w:rsid w:val="00DB5509"/>
    <w:rsid w:val="00DB5848"/>
    <w:rsid w:val="00DC1103"/>
    <w:rsid w:val="00DC46B8"/>
    <w:rsid w:val="00DC53EC"/>
    <w:rsid w:val="00DC5610"/>
    <w:rsid w:val="00DC59F9"/>
    <w:rsid w:val="00DC5EDB"/>
    <w:rsid w:val="00DC6D9D"/>
    <w:rsid w:val="00DC7CF8"/>
    <w:rsid w:val="00DD0764"/>
    <w:rsid w:val="00DD3477"/>
    <w:rsid w:val="00DD3D93"/>
    <w:rsid w:val="00DD5AAA"/>
    <w:rsid w:val="00DD6928"/>
    <w:rsid w:val="00DE042B"/>
    <w:rsid w:val="00DE0BE2"/>
    <w:rsid w:val="00DE1CF8"/>
    <w:rsid w:val="00DE2DEA"/>
    <w:rsid w:val="00DE3F40"/>
    <w:rsid w:val="00DE4AD2"/>
    <w:rsid w:val="00DE5B64"/>
    <w:rsid w:val="00DE5B7E"/>
    <w:rsid w:val="00DE61A4"/>
    <w:rsid w:val="00DE6E2C"/>
    <w:rsid w:val="00DE74E0"/>
    <w:rsid w:val="00DE75C5"/>
    <w:rsid w:val="00DF002B"/>
    <w:rsid w:val="00DF2AE4"/>
    <w:rsid w:val="00DF42DE"/>
    <w:rsid w:val="00DF47E7"/>
    <w:rsid w:val="00DF49C8"/>
    <w:rsid w:val="00DF53E5"/>
    <w:rsid w:val="00DF767C"/>
    <w:rsid w:val="00E00781"/>
    <w:rsid w:val="00E01BC1"/>
    <w:rsid w:val="00E01BEC"/>
    <w:rsid w:val="00E026DC"/>
    <w:rsid w:val="00E02E0C"/>
    <w:rsid w:val="00E036B1"/>
    <w:rsid w:val="00E04FDA"/>
    <w:rsid w:val="00E06326"/>
    <w:rsid w:val="00E06C1A"/>
    <w:rsid w:val="00E06F24"/>
    <w:rsid w:val="00E13B0E"/>
    <w:rsid w:val="00E15C59"/>
    <w:rsid w:val="00E15D7F"/>
    <w:rsid w:val="00E16261"/>
    <w:rsid w:val="00E16651"/>
    <w:rsid w:val="00E16D06"/>
    <w:rsid w:val="00E20312"/>
    <w:rsid w:val="00E20403"/>
    <w:rsid w:val="00E209B5"/>
    <w:rsid w:val="00E20DB7"/>
    <w:rsid w:val="00E2232F"/>
    <w:rsid w:val="00E2425E"/>
    <w:rsid w:val="00E26544"/>
    <w:rsid w:val="00E302BE"/>
    <w:rsid w:val="00E3075F"/>
    <w:rsid w:val="00E319E6"/>
    <w:rsid w:val="00E31F3F"/>
    <w:rsid w:val="00E321C8"/>
    <w:rsid w:val="00E32815"/>
    <w:rsid w:val="00E33AAC"/>
    <w:rsid w:val="00E40203"/>
    <w:rsid w:val="00E40D51"/>
    <w:rsid w:val="00E415A3"/>
    <w:rsid w:val="00E41A31"/>
    <w:rsid w:val="00E41AAA"/>
    <w:rsid w:val="00E443DE"/>
    <w:rsid w:val="00E46A38"/>
    <w:rsid w:val="00E4722B"/>
    <w:rsid w:val="00E50C23"/>
    <w:rsid w:val="00E52314"/>
    <w:rsid w:val="00E52942"/>
    <w:rsid w:val="00E52AE4"/>
    <w:rsid w:val="00E54F51"/>
    <w:rsid w:val="00E611A0"/>
    <w:rsid w:val="00E61AC7"/>
    <w:rsid w:val="00E631C1"/>
    <w:rsid w:val="00E638CF"/>
    <w:rsid w:val="00E64DBF"/>
    <w:rsid w:val="00E66D37"/>
    <w:rsid w:val="00E67310"/>
    <w:rsid w:val="00E71663"/>
    <w:rsid w:val="00E72050"/>
    <w:rsid w:val="00E7366F"/>
    <w:rsid w:val="00E74A9C"/>
    <w:rsid w:val="00E74CD6"/>
    <w:rsid w:val="00E751D0"/>
    <w:rsid w:val="00E8218C"/>
    <w:rsid w:val="00E8244F"/>
    <w:rsid w:val="00E8295B"/>
    <w:rsid w:val="00E83A0B"/>
    <w:rsid w:val="00E83B6C"/>
    <w:rsid w:val="00E83C20"/>
    <w:rsid w:val="00E877D7"/>
    <w:rsid w:val="00E87BF0"/>
    <w:rsid w:val="00E91FB2"/>
    <w:rsid w:val="00E9217E"/>
    <w:rsid w:val="00E93B3E"/>
    <w:rsid w:val="00E93C4D"/>
    <w:rsid w:val="00E93F42"/>
    <w:rsid w:val="00E95506"/>
    <w:rsid w:val="00E9604D"/>
    <w:rsid w:val="00E966AC"/>
    <w:rsid w:val="00E96B0E"/>
    <w:rsid w:val="00E96F9A"/>
    <w:rsid w:val="00E97B7D"/>
    <w:rsid w:val="00EA00D9"/>
    <w:rsid w:val="00EA076E"/>
    <w:rsid w:val="00EA0B15"/>
    <w:rsid w:val="00EA167E"/>
    <w:rsid w:val="00EA16B2"/>
    <w:rsid w:val="00EA3CB8"/>
    <w:rsid w:val="00EA4914"/>
    <w:rsid w:val="00EA7570"/>
    <w:rsid w:val="00EA7E87"/>
    <w:rsid w:val="00EB0871"/>
    <w:rsid w:val="00EB0B22"/>
    <w:rsid w:val="00EB1045"/>
    <w:rsid w:val="00EB18A9"/>
    <w:rsid w:val="00EB18D5"/>
    <w:rsid w:val="00EB1ADC"/>
    <w:rsid w:val="00EB36C9"/>
    <w:rsid w:val="00EB6A35"/>
    <w:rsid w:val="00EB6FF5"/>
    <w:rsid w:val="00EC30C5"/>
    <w:rsid w:val="00EC47C9"/>
    <w:rsid w:val="00EC61C4"/>
    <w:rsid w:val="00EC6461"/>
    <w:rsid w:val="00EC6A69"/>
    <w:rsid w:val="00ED0367"/>
    <w:rsid w:val="00ED1E24"/>
    <w:rsid w:val="00ED2A12"/>
    <w:rsid w:val="00ED3ACC"/>
    <w:rsid w:val="00ED4CDC"/>
    <w:rsid w:val="00ED67BD"/>
    <w:rsid w:val="00EE10D5"/>
    <w:rsid w:val="00EE1CC5"/>
    <w:rsid w:val="00EE22EE"/>
    <w:rsid w:val="00EE2FF5"/>
    <w:rsid w:val="00EE337A"/>
    <w:rsid w:val="00EE6B97"/>
    <w:rsid w:val="00EE6FBC"/>
    <w:rsid w:val="00EE7EB4"/>
    <w:rsid w:val="00EF149F"/>
    <w:rsid w:val="00EF1D9D"/>
    <w:rsid w:val="00EF52FD"/>
    <w:rsid w:val="00EF56C0"/>
    <w:rsid w:val="00EF731B"/>
    <w:rsid w:val="00EF7E88"/>
    <w:rsid w:val="00F009C1"/>
    <w:rsid w:val="00F023B2"/>
    <w:rsid w:val="00F025D4"/>
    <w:rsid w:val="00F037F8"/>
    <w:rsid w:val="00F03E93"/>
    <w:rsid w:val="00F041A6"/>
    <w:rsid w:val="00F0437A"/>
    <w:rsid w:val="00F05B2F"/>
    <w:rsid w:val="00F05F49"/>
    <w:rsid w:val="00F11341"/>
    <w:rsid w:val="00F11819"/>
    <w:rsid w:val="00F11B46"/>
    <w:rsid w:val="00F12D43"/>
    <w:rsid w:val="00F13062"/>
    <w:rsid w:val="00F1328B"/>
    <w:rsid w:val="00F146D7"/>
    <w:rsid w:val="00F14EC6"/>
    <w:rsid w:val="00F14EF2"/>
    <w:rsid w:val="00F1665D"/>
    <w:rsid w:val="00F17582"/>
    <w:rsid w:val="00F20CD4"/>
    <w:rsid w:val="00F236A0"/>
    <w:rsid w:val="00F24C7C"/>
    <w:rsid w:val="00F26503"/>
    <w:rsid w:val="00F26B75"/>
    <w:rsid w:val="00F277E6"/>
    <w:rsid w:val="00F278D2"/>
    <w:rsid w:val="00F31131"/>
    <w:rsid w:val="00F313D5"/>
    <w:rsid w:val="00F31E1E"/>
    <w:rsid w:val="00F348AE"/>
    <w:rsid w:val="00F3543A"/>
    <w:rsid w:val="00F35761"/>
    <w:rsid w:val="00F35C6B"/>
    <w:rsid w:val="00F416FF"/>
    <w:rsid w:val="00F4353D"/>
    <w:rsid w:val="00F43B30"/>
    <w:rsid w:val="00F44352"/>
    <w:rsid w:val="00F44AF7"/>
    <w:rsid w:val="00F44E60"/>
    <w:rsid w:val="00F46A1D"/>
    <w:rsid w:val="00F46DA2"/>
    <w:rsid w:val="00F5021A"/>
    <w:rsid w:val="00F511C1"/>
    <w:rsid w:val="00F52D81"/>
    <w:rsid w:val="00F54D93"/>
    <w:rsid w:val="00F56BC9"/>
    <w:rsid w:val="00F56C79"/>
    <w:rsid w:val="00F57598"/>
    <w:rsid w:val="00F57C43"/>
    <w:rsid w:val="00F61401"/>
    <w:rsid w:val="00F618D9"/>
    <w:rsid w:val="00F6248E"/>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7D0"/>
    <w:rsid w:val="00F74504"/>
    <w:rsid w:val="00F75BE7"/>
    <w:rsid w:val="00F765FE"/>
    <w:rsid w:val="00F76F26"/>
    <w:rsid w:val="00F77442"/>
    <w:rsid w:val="00F77737"/>
    <w:rsid w:val="00F82BC4"/>
    <w:rsid w:val="00F8489B"/>
    <w:rsid w:val="00F85BC6"/>
    <w:rsid w:val="00F8666A"/>
    <w:rsid w:val="00F86941"/>
    <w:rsid w:val="00F86E63"/>
    <w:rsid w:val="00F90A2B"/>
    <w:rsid w:val="00F93CC9"/>
    <w:rsid w:val="00F964B8"/>
    <w:rsid w:val="00F9750D"/>
    <w:rsid w:val="00F97F19"/>
    <w:rsid w:val="00FA0B1C"/>
    <w:rsid w:val="00FA1723"/>
    <w:rsid w:val="00FA2730"/>
    <w:rsid w:val="00FA477A"/>
    <w:rsid w:val="00FA4E3B"/>
    <w:rsid w:val="00FA59B2"/>
    <w:rsid w:val="00FA6128"/>
    <w:rsid w:val="00FA691C"/>
    <w:rsid w:val="00FA6FF9"/>
    <w:rsid w:val="00FA7683"/>
    <w:rsid w:val="00FA7E4C"/>
    <w:rsid w:val="00FB0E65"/>
    <w:rsid w:val="00FB380D"/>
    <w:rsid w:val="00FB4A30"/>
    <w:rsid w:val="00FC08BE"/>
    <w:rsid w:val="00FC375D"/>
    <w:rsid w:val="00FC5551"/>
    <w:rsid w:val="00FC5C1A"/>
    <w:rsid w:val="00FC5D48"/>
    <w:rsid w:val="00FC751A"/>
    <w:rsid w:val="00FD0A07"/>
    <w:rsid w:val="00FD0F69"/>
    <w:rsid w:val="00FD1490"/>
    <w:rsid w:val="00FD6052"/>
    <w:rsid w:val="00FD71B1"/>
    <w:rsid w:val="00FE04C4"/>
    <w:rsid w:val="00FE0938"/>
    <w:rsid w:val="00FE0C24"/>
    <w:rsid w:val="00FE22B0"/>
    <w:rsid w:val="00FE2B9B"/>
    <w:rsid w:val="00FE6E59"/>
    <w:rsid w:val="00FE6E67"/>
    <w:rsid w:val="00FF17AC"/>
    <w:rsid w:val="00FF1D02"/>
    <w:rsid w:val="00FF2A96"/>
    <w:rsid w:val="00FF306B"/>
    <w:rsid w:val="00FF4262"/>
    <w:rsid w:val="00FF64D3"/>
    <w:rsid w:val="00FF6919"/>
    <w:rsid w:val="00FF71FD"/>
    <w:rsid w:val="014260DD"/>
    <w:rsid w:val="01B219BD"/>
    <w:rsid w:val="02494520"/>
    <w:rsid w:val="028261E8"/>
    <w:rsid w:val="02962DAA"/>
    <w:rsid w:val="03545522"/>
    <w:rsid w:val="03580BDB"/>
    <w:rsid w:val="04675D9B"/>
    <w:rsid w:val="05F97E20"/>
    <w:rsid w:val="06053D22"/>
    <w:rsid w:val="06564811"/>
    <w:rsid w:val="078E636F"/>
    <w:rsid w:val="09542621"/>
    <w:rsid w:val="0B236776"/>
    <w:rsid w:val="0B906B9B"/>
    <w:rsid w:val="0BA82944"/>
    <w:rsid w:val="0BF6023B"/>
    <w:rsid w:val="0BF87840"/>
    <w:rsid w:val="0D181B66"/>
    <w:rsid w:val="0DFE249A"/>
    <w:rsid w:val="0E112789"/>
    <w:rsid w:val="0E467D81"/>
    <w:rsid w:val="0E6B6511"/>
    <w:rsid w:val="0E7D56EA"/>
    <w:rsid w:val="0E8F3013"/>
    <w:rsid w:val="0FC450F7"/>
    <w:rsid w:val="0FCD02EB"/>
    <w:rsid w:val="102E2AAA"/>
    <w:rsid w:val="1038510C"/>
    <w:rsid w:val="10910BDD"/>
    <w:rsid w:val="11B86CE7"/>
    <w:rsid w:val="11C8793A"/>
    <w:rsid w:val="11CC229E"/>
    <w:rsid w:val="12286E83"/>
    <w:rsid w:val="13086710"/>
    <w:rsid w:val="1441535B"/>
    <w:rsid w:val="168C1D14"/>
    <w:rsid w:val="169A0403"/>
    <w:rsid w:val="170236F8"/>
    <w:rsid w:val="19DD1868"/>
    <w:rsid w:val="19DE0442"/>
    <w:rsid w:val="1B122B51"/>
    <w:rsid w:val="1B747F11"/>
    <w:rsid w:val="1BA16FA5"/>
    <w:rsid w:val="1BAB51DC"/>
    <w:rsid w:val="1BF47C49"/>
    <w:rsid w:val="1C986A6C"/>
    <w:rsid w:val="1CE03BA3"/>
    <w:rsid w:val="1CE976DC"/>
    <w:rsid w:val="1D183033"/>
    <w:rsid w:val="1D1B500F"/>
    <w:rsid w:val="1DD97C85"/>
    <w:rsid w:val="1FA330C4"/>
    <w:rsid w:val="21F50845"/>
    <w:rsid w:val="222728ED"/>
    <w:rsid w:val="22577A8F"/>
    <w:rsid w:val="229630FF"/>
    <w:rsid w:val="2354517E"/>
    <w:rsid w:val="24360C5F"/>
    <w:rsid w:val="26B161AC"/>
    <w:rsid w:val="275E609C"/>
    <w:rsid w:val="28C77F98"/>
    <w:rsid w:val="292620AD"/>
    <w:rsid w:val="29FF5B5D"/>
    <w:rsid w:val="2A3A5F62"/>
    <w:rsid w:val="2ADD08D0"/>
    <w:rsid w:val="2AE35478"/>
    <w:rsid w:val="2B7C1D80"/>
    <w:rsid w:val="2BE973F6"/>
    <w:rsid w:val="2C352E1C"/>
    <w:rsid w:val="2CA512E4"/>
    <w:rsid w:val="2D9B1F73"/>
    <w:rsid w:val="2E1630E1"/>
    <w:rsid w:val="2E4F7FB1"/>
    <w:rsid w:val="2EFC27EA"/>
    <w:rsid w:val="30C557C6"/>
    <w:rsid w:val="30CE650F"/>
    <w:rsid w:val="31091460"/>
    <w:rsid w:val="32C1218A"/>
    <w:rsid w:val="344D0F52"/>
    <w:rsid w:val="3495225E"/>
    <w:rsid w:val="34B57454"/>
    <w:rsid w:val="3523755E"/>
    <w:rsid w:val="36B413D6"/>
    <w:rsid w:val="36D00D3C"/>
    <w:rsid w:val="370770F3"/>
    <w:rsid w:val="373134D9"/>
    <w:rsid w:val="37B77932"/>
    <w:rsid w:val="381E1B2E"/>
    <w:rsid w:val="38565E57"/>
    <w:rsid w:val="39274403"/>
    <w:rsid w:val="39401E50"/>
    <w:rsid w:val="3955612F"/>
    <w:rsid w:val="39E35768"/>
    <w:rsid w:val="3BE16760"/>
    <w:rsid w:val="3D607547"/>
    <w:rsid w:val="3DA06EF1"/>
    <w:rsid w:val="3DA548AD"/>
    <w:rsid w:val="3E062E7F"/>
    <w:rsid w:val="3E102019"/>
    <w:rsid w:val="40073A47"/>
    <w:rsid w:val="41454836"/>
    <w:rsid w:val="42033A2F"/>
    <w:rsid w:val="432C580D"/>
    <w:rsid w:val="438023E1"/>
    <w:rsid w:val="43A94B70"/>
    <w:rsid w:val="441D37D9"/>
    <w:rsid w:val="443E0938"/>
    <w:rsid w:val="444C276B"/>
    <w:rsid w:val="447D5EED"/>
    <w:rsid w:val="44A90D46"/>
    <w:rsid w:val="44D41630"/>
    <w:rsid w:val="45B92952"/>
    <w:rsid w:val="45D31312"/>
    <w:rsid w:val="467E376F"/>
    <w:rsid w:val="470A230D"/>
    <w:rsid w:val="48856F4F"/>
    <w:rsid w:val="48D017AD"/>
    <w:rsid w:val="49F64445"/>
    <w:rsid w:val="4A0F65AE"/>
    <w:rsid w:val="4A203E98"/>
    <w:rsid w:val="4AC214FA"/>
    <w:rsid w:val="4AF60C90"/>
    <w:rsid w:val="4B487679"/>
    <w:rsid w:val="4BD729A6"/>
    <w:rsid w:val="4BD73FEC"/>
    <w:rsid w:val="4C8E1D6E"/>
    <w:rsid w:val="4CF60ECC"/>
    <w:rsid w:val="4DBD18E5"/>
    <w:rsid w:val="4E213562"/>
    <w:rsid w:val="4E866ADB"/>
    <w:rsid w:val="4F9A4720"/>
    <w:rsid w:val="51664E84"/>
    <w:rsid w:val="51BE7A9C"/>
    <w:rsid w:val="52245AB6"/>
    <w:rsid w:val="524E41B2"/>
    <w:rsid w:val="5263640C"/>
    <w:rsid w:val="531140CC"/>
    <w:rsid w:val="53A057CE"/>
    <w:rsid w:val="53C86988"/>
    <w:rsid w:val="55637993"/>
    <w:rsid w:val="569274CE"/>
    <w:rsid w:val="56F53E01"/>
    <w:rsid w:val="57152D15"/>
    <w:rsid w:val="574C7AEE"/>
    <w:rsid w:val="57AD4027"/>
    <w:rsid w:val="59DC4E8C"/>
    <w:rsid w:val="59EF0D71"/>
    <w:rsid w:val="5A1C4040"/>
    <w:rsid w:val="5A68014F"/>
    <w:rsid w:val="5C28712D"/>
    <w:rsid w:val="5C31246D"/>
    <w:rsid w:val="5C564C95"/>
    <w:rsid w:val="5CBE2FD7"/>
    <w:rsid w:val="5CD51279"/>
    <w:rsid w:val="5D0E4BD9"/>
    <w:rsid w:val="5DF457EE"/>
    <w:rsid w:val="5E7972C5"/>
    <w:rsid w:val="5EA410AC"/>
    <w:rsid w:val="5F2A6281"/>
    <w:rsid w:val="60713545"/>
    <w:rsid w:val="60AE0C82"/>
    <w:rsid w:val="60D2475F"/>
    <w:rsid w:val="61704591"/>
    <w:rsid w:val="627C2EEE"/>
    <w:rsid w:val="63656D4A"/>
    <w:rsid w:val="645E6D54"/>
    <w:rsid w:val="64F50E50"/>
    <w:rsid w:val="64F77D1A"/>
    <w:rsid w:val="66586F8B"/>
    <w:rsid w:val="672364AD"/>
    <w:rsid w:val="67CB6F5D"/>
    <w:rsid w:val="68236DFC"/>
    <w:rsid w:val="68CA535B"/>
    <w:rsid w:val="6B534B96"/>
    <w:rsid w:val="6CE71B22"/>
    <w:rsid w:val="6E976BD5"/>
    <w:rsid w:val="6F265E86"/>
    <w:rsid w:val="6F80759F"/>
    <w:rsid w:val="70290A71"/>
    <w:rsid w:val="7310521F"/>
    <w:rsid w:val="73251B53"/>
    <w:rsid w:val="73400B56"/>
    <w:rsid w:val="73ED0452"/>
    <w:rsid w:val="75483D66"/>
    <w:rsid w:val="762F193C"/>
    <w:rsid w:val="773601B7"/>
    <w:rsid w:val="7802440A"/>
    <w:rsid w:val="78DE61EB"/>
    <w:rsid w:val="79DF3DC0"/>
    <w:rsid w:val="79E24DD2"/>
    <w:rsid w:val="7A550D23"/>
    <w:rsid w:val="7A8B5CA8"/>
    <w:rsid w:val="7B365E5F"/>
    <w:rsid w:val="7C2215F9"/>
    <w:rsid w:val="7C913CCC"/>
    <w:rsid w:val="7D076108"/>
    <w:rsid w:val="7F724EE5"/>
    <w:rsid w:val="7F8C1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4"/>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36"/>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37"/>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38"/>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39"/>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40"/>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41"/>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42"/>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style>
  <w:style w:type="paragraph" w:styleId="12">
    <w:name w:val="Normal Indent"/>
    <w:basedOn w:val="1"/>
    <w:qFormat/>
    <w:uiPriority w:val="0"/>
    <w:pPr>
      <w:ind w:firstLine="420"/>
    </w:pPr>
  </w:style>
  <w:style w:type="paragraph" w:styleId="13">
    <w:name w:val="Body Text 3"/>
    <w:basedOn w:val="1"/>
    <w:link w:val="50"/>
    <w:qFormat/>
    <w:uiPriority w:val="0"/>
    <w:rPr>
      <w:rFonts w:ascii="黑体" w:hAnsi="Arial" w:eastAsia="黑体"/>
      <w:b/>
      <w:kern w:val="0"/>
    </w:rPr>
  </w:style>
  <w:style w:type="paragraph" w:styleId="14">
    <w:name w:val="Body Text Indent"/>
    <w:basedOn w:val="1"/>
    <w:link w:val="53"/>
    <w:semiHidden/>
    <w:unhideWhenUsed/>
    <w:qFormat/>
    <w:uiPriority w:val="99"/>
    <w:pPr>
      <w:spacing w:after="120"/>
      <w:ind w:left="420" w:leftChars="200"/>
    </w:pPr>
  </w:style>
  <w:style w:type="paragraph" w:styleId="1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45"/>
    <w:qFormat/>
    <w:uiPriority w:val="0"/>
    <w:rPr>
      <w:rFonts w:ascii="宋体" w:hAnsi="Courier New" w:cs="Courier New"/>
      <w:kern w:val="0"/>
      <w:sz w:val="20"/>
      <w:szCs w:val="21"/>
    </w:rPr>
  </w:style>
  <w:style w:type="paragraph" w:styleId="17">
    <w:name w:val="Balloon Text"/>
    <w:basedOn w:val="1"/>
    <w:link w:val="52"/>
    <w:semiHidden/>
    <w:unhideWhenUsed/>
    <w:qFormat/>
    <w:uiPriority w:val="99"/>
    <w:rPr>
      <w:sz w:val="18"/>
      <w:szCs w:val="18"/>
    </w:rPr>
  </w:style>
  <w:style w:type="paragraph" w:styleId="18">
    <w:name w:val="footer"/>
    <w:basedOn w:val="1"/>
    <w:link w:val="55"/>
    <w:unhideWhenUsed/>
    <w:qFormat/>
    <w:uiPriority w:val="99"/>
    <w:pPr>
      <w:tabs>
        <w:tab w:val="center" w:pos="4153"/>
        <w:tab w:val="right" w:pos="8306"/>
      </w:tabs>
      <w:snapToGrid w:val="0"/>
      <w:jc w:val="left"/>
    </w:pPr>
    <w:rPr>
      <w:sz w:val="18"/>
      <w:szCs w:val="18"/>
    </w:rPr>
  </w:style>
  <w:style w:type="paragraph" w:styleId="19">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b/>
      <w:bCs/>
      <w:caps/>
    </w:rPr>
  </w:style>
  <w:style w:type="paragraph" w:styleId="21">
    <w:name w:val="Subtitle"/>
    <w:basedOn w:val="1"/>
    <w:next w:val="1"/>
    <w:link w:val="44"/>
    <w:qFormat/>
    <w:uiPriority w:val="0"/>
    <w:pPr>
      <w:spacing w:before="240" w:after="60" w:line="312" w:lineRule="auto"/>
      <w:jc w:val="center"/>
      <w:outlineLvl w:val="1"/>
    </w:pPr>
    <w:rPr>
      <w:rFonts w:ascii="Cambria" w:hAnsi="Cambria" w:eastAsia="方正楷体简体"/>
      <w:bCs/>
      <w:kern w:val="28"/>
      <w:sz w:val="20"/>
      <w:szCs w:val="32"/>
    </w:rPr>
  </w:style>
  <w:style w:type="paragraph" w:styleId="22">
    <w:name w:val="toc 2"/>
    <w:basedOn w:val="1"/>
    <w:next w:val="1"/>
    <w:qFormat/>
    <w:uiPriority w:val="39"/>
    <w:pPr>
      <w:ind w:left="420" w:leftChars="200"/>
    </w:pPr>
    <w:rPr>
      <w:sz w:val="24"/>
    </w:rPr>
  </w:style>
  <w:style w:type="paragraph" w:styleId="23">
    <w:name w:val="Normal (Web)"/>
    <w:basedOn w:val="1"/>
    <w:unhideWhenUsed/>
    <w:qFormat/>
    <w:uiPriority w:val="99"/>
    <w:rPr>
      <w:sz w:val="24"/>
    </w:rPr>
  </w:style>
  <w:style w:type="paragraph" w:styleId="24">
    <w:name w:val="Title"/>
    <w:basedOn w:val="1"/>
    <w:next w:val="1"/>
    <w:link w:val="43"/>
    <w:qFormat/>
    <w:uiPriority w:val="99"/>
    <w:pPr>
      <w:spacing w:before="240" w:after="60"/>
      <w:jc w:val="center"/>
      <w:outlineLvl w:val="0"/>
    </w:pPr>
    <w:rPr>
      <w:rFonts w:ascii="Cambria" w:hAnsi="Cambria" w:eastAsia="方正小标宋简体"/>
      <w:b/>
      <w:bCs/>
      <w:kern w:val="0"/>
      <w:sz w:val="44"/>
      <w:szCs w:val="32"/>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rPr>
  </w:style>
  <w:style w:type="character" w:styleId="29">
    <w:name w:val="page number"/>
    <w:basedOn w:val="27"/>
    <w:qFormat/>
    <w:uiPriority w:val="0"/>
  </w:style>
  <w:style w:type="character" w:styleId="30">
    <w:name w:val="FollowedHyperlink"/>
    <w:basedOn w:val="27"/>
    <w:semiHidden/>
    <w:unhideWhenUsed/>
    <w:qFormat/>
    <w:uiPriority w:val="99"/>
    <w:rPr>
      <w:color w:val="0D203D"/>
      <w:u w:val="none"/>
    </w:rPr>
  </w:style>
  <w:style w:type="character" w:styleId="31">
    <w:name w:val="Emphasis"/>
    <w:qFormat/>
    <w:uiPriority w:val="0"/>
    <w:rPr>
      <w:rFonts w:hint="default" w:ascii="Times New Roman" w:hAnsi="Times New Roman" w:cs="Times New Roman"/>
    </w:rPr>
  </w:style>
  <w:style w:type="character" w:styleId="32">
    <w:name w:val="Hyperlink"/>
    <w:qFormat/>
    <w:uiPriority w:val="99"/>
    <w:rPr>
      <w:color w:val="0000FF"/>
      <w:u w:val="single"/>
    </w:rPr>
  </w:style>
  <w:style w:type="paragraph" w:customStyle="1" w:styleId="33">
    <w:name w:val="列出段落1"/>
    <w:basedOn w:val="1"/>
    <w:qFormat/>
    <w:uiPriority w:val="34"/>
    <w:pPr>
      <w:ind w:firstLine="420" w:firstLineChars="200"/>
    </w:pPr>
    <w:rPr>
      <w:rFonts w:ascii="Calibri" w:hAnsi="Calibri"/>
      <w:szCs w:val="22"/>
    </w:rPr>
  </w:style>
  <w:style w:type="character" w:customStyle="1" w:styleId="34">
    <w:name w:val="标题 1 字符"/>
    <w:link w:val="3"/>
    <w:qFormat/>
    <w:uiPriority w:val="0"/>
    <w:rPr>
      <w:rFonts w:ascii="Times New Roman" w:hAnsi="Times New Roman"/>
      <w:b/>
      <w:bCs/>
      <w:kern w:val="44"/>
      <w:sz w:val="36"/>
      <w:szCs w:val="44"/>
      <w:lang w:val="zh-CN" w:eastAsia="zh-CN"/>
    </w:rPr>
  </w:style>
  <w:style w:type="character" w:customStyle="1" w:styleId="35">
    <w:name w:val="标题 2 字符"/>
    <w:link w:val="4"/>
    <w:qFormat/>
    <w:uiPriority w:val="0"/>
    <w:rPr>
      <w:rFonts w:ascii="Arial" w:hAnsi="Arial" w:eastAsia="黑体"/>
      <w:b/>
      <w:bCs/>
      <w:sz w:val="32"/>
      <w:szCs w:val="32"/>
      <w:lang w:val="zh-CN" w:eastAsia="zh-CN"/>
    </w:rPr>
  </w:style>
  <w:style w:type="character" w:customStyle="1" w:styleId="36">
    <w:name w:val="标题 3 字符"/>
    <w:link w:val="5"/>
    <w:qFormat/>
    <w:uiPriority w:val="0"/>
    <w:rPr>
      <w:rFonts w:ascii="Times New Roman" w:hAnsi="Times New Roman"/>
      <w:b/>
      <w:bCs/>
      <w:sz w:val="32"/>
      <w:szCs w:val="32"/>
    </w:rPr>
  </w:style>
  <w:style w:type="character" w:customStyle="1" w:styleId="37">
    <w:name w:val="标题 4 字符"/>
    <w:link w:val="6"/>
    <w:qFormat/>
    <w:uiPriority w:val="0"/>
    <w:rPr>
      <w:rFonts w:ascii="仿宋_GB2312" w:hAnsi="Times New Roman" w:eastAsia="仿宋_GB2312"/>
      <w:sz w:val="28"/>
      <w:szCs w:val="24"/>
    </w:rPr>
  </w:style>
  <w:style w:type="character" w:customStyle="1" w:styleId="38">
    <w:name w:val="标题 5 字符"/>
    <w:link w:val="7"/>
    <w:qFormat/>
    <w:uiPriority w:val="0"/>
    <w:rPr>
      <w:rFonts w:ascii="宋体" w:hAnsi="宋体"/>
      <w:b/>
      <w:kern w:val="21"/>
      <w:sz w:val="28"/>
      <w:lang w:eastAsia="ar-SA"/>
    </w:rPr>
  </w:style>
  <w:style w:type="character" w:customStyle="1" w:styleId="39">
    <w:name w:val="标题 6 字符"/>
    <w:link w:val="8"/>
    <w:qFormat/>
    <w:uiPriority w:val="0"/>
    <w:rPr>
      <w:rFonts w:ascii="Arial" w:hAnsi="Arial" w:eastAsia="黑体"/>
      <w:b/>
      <w:kern w:val="21"/>
      <w:sz w:val="24"/>
      <w:lang w:eastAsia="ar-SA"/>
    </w:rPr>
  </w:style>
  <w:style w:type="character" w:customStyle="1" w:styleId="40">
    <w:name w:val="标题 7 字符"/>
    <w:link w:val="9"/>
    <w:qFormat/>
    <w:uiPriority w:val="0"/>
    <w:rPr>
      <w:rFonts w:ascii="宋体" w:hAnsi="宋体"/>
      <w:b/>
      <w:kern w:val="21"/>
      <w:sz w:val="24"/>
      <w:lang w:eastAsia="ar-SA"/>
    </w:rPr>
  </w:style>
  <w:style w:type="character" w:customStyle="1" w:styleId="41">
    <w:name w:val="标题 8 字符"/>
    <w:link w:val="10"/>
    <w:qFormat/>
    <w:uiPriority w:val="0"/>
    <w:rPr>
      <w:rFonts w:ascii="Arial" w:hAnsi="Arial" w:eastAsia="黑体"/>
      <w:kern w:val="21"/>
      <w:sz w:val="24"/>
      <w:lang w:eastAsia="ar-SA"/>
    </w:rPr>
  </w:style>
  <w:style w:type="character" w:customStyle="1" w:styleId="42">
    <w:name w:val="标题 9 字符"/>
    <w:link w:val="11"/>
    <w:qFormat/>
    <w:uiPriority w:val="0"/>
    <w:rPr>
      <w:rFonts w:ascii="Arial" w:hAnsi="Arial" w:eastAsia="黑体"/>
      <w:kern w:val="21"/>
      <w:sz w:val="21"/>
      <w:lang w:eastAsia="ar-SA"/>
    </w:rPr>
  </w:style>
  <w:style w:type="character" w:customStyle="1" w:styleId="43">
    <w:name w:val="标题 字符"/>
    <w:link w:val="24"/>
    <w:qFormat/>
    <w:uiPriority w:val="99"/>
    <w:rPr>
      <w:rFonts w:ascii="Cambria" w:hAnsi="Cambria" w:eastAsia="方正小标宋简体"/>
      <w:b/>
      <w:bCs/>
      <w:sz w:val="44"/>
      <w:szCs w:val="32"/>
    </w:rPr>
  </w:style>
  <w:style w:type="character" w:customStyle="1" w:styleId="44">
    <w:name w:val="副标题 字符"/>
    <w:link w:val="21"/>
    <w:qFormat/>
    <w:uiPriority w:val="0"/>
    <w:rPr>
      <w:rFonts w:ascii="Cambria" w:hAnsi="Cambria" w:eastAsia="方正楷体简体"/>
      <w:bCs/>
      <w:kern w:val="28"/>
      <w:szCs w:val="32"/>
    </w:rPr>
  </w:style>
  <w:style w:type="character" w:customStyle="1" w:styleId="45">
    <w:name w:val="纯文本 字符"/>
    <w:link w:val="16"/>
    <w:qFormat/>
    <w:uiPriority w:val="99"/>
    <w:rPr>
      <w:rFonts w:ascii="宋体" w:hAnsi="Courier New" w:cs="Courier New"/>
      <w:szCs w:val="21"/>
    </w:rPr>
  </w:style>
  <w:style w:type="paragraph" w:styleId="46">
    <w:name w:val="No Spacing"/>
    <w:link w:val="47"/>
    <w:qFormat/>
    <w:uiPriority w:val="0"/>
    <w:rPr>
      <w:rFonts w:ascii="Calibri" w:hAnsi="Calibri" w:eastAsia="宋体" w:cs="Times New Roman"/>
      <w:sz w:val="22"/>
      <w:lang w:val="en-US" w:eastAsia="zh-CN" w:bidi="ar-SA"/>
    </w:rPr>
  </w:style>
  <w:style w:type="character" w:customStyle="1" w:styleId="47">
    <w:name w:val="无间隔 字符"/>
    <w:link w:val="46"/>
    <w:qFormat/>
    <w:uiPriority w:val="0"/>
    <w:rPr>
      <w:sz w:val="22"/>
    </w:rPr>
  </w:style>
  <w:style w:type="paragraph" w:styleId="48">
    <w:name w:val="List Paragraph"/>
    <w:basedOn w:val="1"/>
    <w:qFormat/>
    <w:uiPriority w:val="34"/>
    <w:pPr>
      <w:ind w:firstLine="420" w:firstLineChars="200"/>
    </w:pPr>
    <w:rPr>
      <w:szCs w:val="21"/>
    </w:rPr>
  </w:style>
  <w:style w:type="paragraph" w:customStyle="1" w:styleId="4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0">
    <w:name w:val="正文文本 3 字符"/>
    <w:link w:val="13"/>
    <w:qFormat/>
    <w:uiPriority w:val="0"/>
    <w:rPr>
      <w:rFonts w:ascii="黑体" w:hAnsi="Arial" w:eastAsia="黑体"/>
      <w:b/>
      <w:sz w:val="28"/>
    </w:rPr>
  </w:style>
  <w:style w:type="character" w:customStyle="1" w:styleId="51">
    <w:name w:val="正文文本 3 Char1"/>
    <w:basedOn w:val="27"/>
    <w:semiHidden/>
    <w:qFormat/>
    <w:uiPriority w:val="99"/>
    <w:rPr>
      <w:rFonts w:ascii="Times New Roman" w:hAnsi="Times New Roman"/>
      <w:kern w:val="2"/>
      <w:sz w:val="16"/>
      <w:szCs w:val="16"/>
    </w:rPr>
  </w:style>
  <w:style w:type="character" w:customStyle="1" w:styleId="52">
    <w:name w:val="批注框文本 字符"/>
    <w:basedOn w:val="27"/>
    <w:link w:val="17"/>
    <w:semiHidden/>
    <w:qFormat/>
    <w:uiPriority w:val="99"/>
    <w:rPr>
      <w:rFonts w:ascii="Times New Roman" w:hAnsi="Times New Roman"/>
      <w:kern w:val="2"/>
      <w:sz w:val="18"/>
      <w:szCs w:val="18"/>
    </w:rPr>
  </w:style>
  <w:style w:type="character" w:customStyle="1" w:styleId="53">
    <w:name w:val="正文文本缩进 字符"/>
    <w:basedOn w:val="27"/>
    <w:link w:val="14"/>
    <w:semiHidden/>
    <w:qFormat/>
    <w:uiPriority w:val="99"/>
    <w:rPr>
      <w:rFonts w:ascii="Times New Roman" w:hAnsi="Times New Roman"/>
      <w:kern w:val="2"/>
      <w:sz w:val="28"/>
    </w:rPr>
  </w:style>
  <w:style w:type="character" w:customStyle="1" w:styleId="54">
    <w:name w:val="页眉 字符"/>
    <w:basedOn w:val="27"/>
    <w:link w:val="19"/>
    <w:qFormat/>
    <w:uiPriority w:val="99"/>
    <w:rPr>
      <w:rFonts w:ascii="Times New Roman" w:hAnsi="Times New Roman"/>
      <w:kern w:val="2"/>
      <w:sz w:val="18"/>
      <w:szCs w:val="18"/>
    </w:rPr>
  </w:style>
  <w:style w:type="character" w:customStyle="1" w:styleId="55">
    <w:name w:val="页脚 字符"/>
    <w:basedOn w:val="27"/>
    <w:link w:val="18"/>
    <w:qFormat/>
    <w:uiPriority w:val="99"/>
    <w:rPr>
      <w:rFonts w:ascii="Times New Roman" w:hAnsi="Times New Roman"/>
      <w:kern w:val="2"/>
      <w:sz w:val="18"/>
      <w:szCs w:val="18"/>
    </w:rPr>
  </w:style>
  <w:style w:type="paragraph" w:customStyle="1" w:styleId="56">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纯文本1"/>
    <w:basedOn w:val="1"/>
    <w:qFormat/>
    <w:uiPriority w:val="0"/>
    <w:rPr>
      <w:rFonts w:ascii="宋体" w:hAnsi="Courier New"/>
    </w:rPr>
  </w:style>
  <w:style w:type="character" w:customStyle="1" w:styleId="59">
    <w:name w:val="纯文本 Char"/>
    <w:qFormat/>
    <w:uiPriority w:val="0"/>
    <w:rPr>
      <w:rFonts w:ascii="宋体" w:hAnsi="Courier New" w:eastAsia="宋体" w:cs="Courier New"/>
      <w:szCs w:val="21"/>
    </w:rPr>
  </w:style>
  <w:style w:type="paragraph" w:customStyle="1" w:styleId="60">
    <w:name w:val="Body Text 21"/>
    <w:basedOn w:val="1"/>
    <w:qFormat/>
    <w:uiPriority w:val="0"/>
    <w:pPr>
      <w:spacing w:after="120" w:line="480" w:lineRule="auto"/>
    </w:pPr>
    <w:rPr>
      <w:rFonts w:ascii="Calibri" w:hAnsi="Calibri"/>
    </w:rPr>
  </w:style>
  <w:style w:type="paragraph" w:customStyle="1" w:styleId="61">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customStyle="1" w:styleId="62">
    <w:name w:val="Normal_1"/>
    <w:qFormat/>
    <w:uiPriority w:val="0"/>
    <w:rPr>
      <w:rFonts w:asciiTheme="minorHAnsi" w:hAnsiTheme="minorHAnsi" w:eastAsiaTheme="minorEastAsia" w:cstheme="minorBidi"/>
      <w:sz w:val="24"/>
      <w:szCs w:val="24"/>
      <w:lang w:val="en-US" w:eastAsia="zh-CN" w:bidi="ar-SA"/>
    </w:rPr>
  </w:style>
  <w:style w:type="character" w:customStyle="1" w:styleId="63">
    <w:name w:val="NormalCharacter"/>
    <w:link w:val="1"/>
    <w:qFormat/>
    <w:uiPriority w:val="0"/>
    <w:rPr>
      <w:rFonts w:ascii="Times New Roman" w:hAnsi="Times New Roman" w:eastAsia="宋体" w:cs="Times New Roman"/>
      <w:kern w:val="2"/>
      <w:sz w:val="28"/>
      <w:lang w:val="en-US" w:eastAsia="zh-CN" w:bidi="ar-SA"/>
    </w:rPr>
  </w:style>
  <w:style w:type="paragraph" w:customStyle="1" w:styleId="64">
    <w:name w:val="列出段落2"/>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86A04-244A-41B2-874D-FFD6E37C200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4512</Words>
  <Characters>25720</Characters>
  <Lines>214</Lines>
  <Paragraphs>60</Paragraphs>
  <TotalTime>54</TotalTime>
  <ScaleCrop>false</ScaleCrop>
  <LinksUpToDate>false</LinksUpToDate>
  <CharactersWithSpaces>30172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2020-02-25T14:03:00Z</dcterms:created>
  <dc:creator>Administrator</dc:creator>
  <cp:lastModifiedBy>♔ ゛S</cp:lastModifiedBy>
  <cp:lastPrinted>2020-03-19T09:55:00Z</cp:lastPrinted>
  <dcterms:modified xsi:type="dcterms:W3CDTF">2020-04-08T08:51:22Z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