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color w:val="000000"/>
          <w:spacing w:val="36"/>
          <w:w w:val="66"/>
          <w:sz w:val="52"/>
          <w:szCs w:val="52"/>
        </w:rPr>
      </w:pPr>
      <w:r>
        <w:rPr>
          <w:rFonts w:hint="eastAsia" w:ascii="宋体" w:hAnsi="宋体"/>
          <w:b/>
          <w:bCs/>
          <w:color w:val="000000"/>
          <w:spacing w:val="36"/>
          <w:w w:val="66"/>
          <w:sz w:val="52"/>
          <w:szCs w:val="52"/>
        </w:rPr>
        <w:t>鄂尔多斯市鄂托克前旗公共资源交易中心</w:t>
      </w: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color w:val="000000"/>
          <w:sz w:val="72"/>
          <w:szCs w:val="72"/>
        </w:rPr>
        <w:t>竞争性谈判文件</w:t>
      </w:r>
    </w:p>
    <w:p>
      <w:pPr>
        <w:tabs>
          <w:tab w:val="left" w:pos="315"/>
          <w:tab w:val="left" w:pos="8820"/>
        </w:tabs>
        <w:spacing w:line="360" w:lineRule="auto"/>
        <w:ind w:right="356" w:rightChars="127"/>
        <w:rPr>
          <w:rFonts w:ascii="宋体" w:hAnsi="宋体"/>
          <w:b/>
          <w:color w:val="000000"/>
          <w:kern w:val="0"/>
          <w:szCs w:val="28"/>
          <w:lang w:val="zh-CN"/>
        </w:rPr>
      </w:pPr>
    </w:p>
    <w:p>
      <w:pPr>
        <w:pStyle w:val="2"/>
        <w:rPr>
          <w:rFonts w:ascii="宋体" w:hAnsi="宋体"/>
          <w:b/>
          <w:color w:val="000000"/>
          <w:kern w:val="0"/>
          <w:szCs w:val="28"/>
          <w:lang w:val="zh-CN"/>
        </w:rPr>
      </w:pPr>
    </w:p>
    <w:p>
      <w:pPr>
        <w:pStyle w:val="2"/>
        <w:rPr>
          <w:rFonts w:ascii="宋体" w:hAnsi="宋体"/>
          <w:b/>
          <w:color w:val="000000"/>
          <w:kern w:val="0"/>
          <w:szCs w:val="28"/>
          <w:lang w:val="zh-CN"/>
        </w:rPr>
      </w:pPr>
    </w:p>
    <w:p>
      <w:pPr>
        <w:pStyle w:val="2"/>
        <w:rPr>
          <w:rFonts w:ascii="宋体" w:hAnsi="宋体"/>
          <w:b/>
          <w:color w:val="000000"/>
          <w:kern w:val="0"/>
          <w:szCs w:val="28"/>
          <w:lang w:val="zh-CN"/>
        </w:rPr>
      </w:pPr>
    </w:p>
    <w:p>
      <w:pPr>
        <w:tabs>
          <w:tab w:val="left" w:pos="315"/>
          <w:tab w:val="left" w:pos="8820"/>
        </w:tabs>
        <w:spacing w:line="360" w:lineRule="auto"/>
        <w:ind w:right="356" w:rightChars="127"/>
        <w:rPr>
          <w:rFonts w:ascii="宋体" w:hAnsi="宋体"/>
          <w:b/>
          <w:bCs/>
          <w:color w:val="000000"/>
          <w:szCs w:val="28"/>
        </w:rPr>
      </w:pPr>
    </w:p>
    <w:p>
      <w:pPr>
        <w:tabs>
          <w:tab w:val="left" w:pos="315"/>
          <w:tab w:val="left" w:pos="8820"/>
        </w:tabs>
        <w:spacing w:line="360" w:lineRule="auto"/>
        <w:ind w:right="356" w:rightChars="127"/>
        <w:jc w:val="center"/>
        <w:rPr>
          <w:rFonts w:ascii="宋体" w:hAnsi="宋体"/>
          <w:color w:val="000000"/>
          <w:szCs w:val="28"/>
        </w:rPr>
      </w:pPr>
      <w:r>
        <w:rPr>
          <w:rFonts w:ascii="宋体" w:hAnsi="宋体"/>
          <w:color w:val="000000"/>
          <w:szCs w:val="28"/>
        </w:rPr>
        <w:drawing>
          <wp:inline distT="0" distB="0" distL="0" distR="0">
            <wp:extent cx="2237105" cy="1677670"/>
            <wp:effectExtent l="0" t="0" r="10795" b="17780"/>
            <wp:docPr id="2" name="图片 2"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终稿"/>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rPr>
          <w:rFonts w:ascii="宋体" w:hAnsi="宋体"/>
          <w:color w:val="000000"/>
          <w:szCs w:val="28"/>
        </w:rPr>
      </w:pPr>
    </w:p>
    <w:p>
      <w:pPr>
        <w:tabs>
          <w:tab w:val="left" w:pos="315"/>
          <w:tab w:val="left" w:pos="8820"/>
        </w:tabs>
        <w:spacing w:line="360" w:lineRule="auto"/>
        <w:ind w:right="356" w:rightChars="127"/>
        <w:rPr>
          <w:rFonts w:ascii="宋体" w:hAnsi="宋体"/>
          <w:color w:val="000000"/>
          <w:szCs w:val="28"/>
        </w:rPr>
      </w:pPr>
      <w:r>
        <w:rPr>
          <w:rFonts w:hint="eastAsia" w:ascii="宋体" w:hAnsi="宋体"/>
          <w:color w:val="000000"/>
          <w:szCs w:val="28"/>
        </w:rPr>
        <w:t xml:space="preserve">    </w:t>
      </w:r>
    </w:p>
    <w:p>
      <w:pPr>
        <w:pStyle w:val="5"/>
        <w:spacing w:line="360" w:lineRule="auto"/>
        <w:ind w:left="2476" w:leftChars="337" w:hanging="1532" w:hangingChars="545"/>
        <w:rPr>
          <w:rFonts w:hint="eastAsia" w:ascii="宋体" w:hAnsi="宋体" w:eastAsia="宋体"/>
          <w:color w:val="000000"/>
          <w:sz w:val="24"/>
          <w:szCs w:val="24"/>
          <w:lang w:eastAsia="zh-CN"/>
        </w:rPr>
      </w:pPr>
      <w:r>
        <w:rPr>
          <w:rFonts w:hint="eastAsia" w:ascii="宋体" w:hAnsi="宋体" w:eastAsia="宋体"/>
          <w:color w:val="000000"/>
          <w:szCs w:val="28"/>
        </w:rPr>
        <w:t>项目名称：</w:t>
      </w:r>
      <w:r>
        <w:rPr>
          <w:rFonts w:hint="eastAsia" w:ascii="宋体" w:hAnsi="宋体" w:eastAsia="宋体"/>
          <w:color w:val="000000"/>
          <w:szCs w:val="28"/>
          <w:lang w:eastAsia="zh-CN"/>
        </w:rPr>
        <w:t>鄂托克前旗文物保护管理所采购电动密集架项目</w:t>
      </w:r>
    </w:p>
    <w:p>
      <w:pPr>
        <w:pStyle w:val="5"/>
        <w:spacing w:line="360" w:lineRule="auto"/>
        <w:ind w:left="2476" w:leftChars="337" w:hanging="1532" w:hangingChars="545"/>
        <w:rPr>
          <w:rFonts w:hint="eastAsia" w:ascii="宋体" w:hAnsi="宋体" w:eastAsia="宋体"/>
          <w:color w:val="000000"/>
          <w:szCs w:val="28"/>
          <w:lang w:eastAsia="zh-CN"/>
        </w:rPr>
      </w:pPr>
      <w:r>
        <w:rPr>
          <w:rFonts w:hint="eastAsia" w:ascii="宋体" w:hAnsi="宋体" w:eastAsia="宋体"/>
          <w:color w:val="000000"/>
          <w:szCs w:val="28"/>
        </w:rPr>
        <w:t>项目编号：</w:t>
      </w:r>
      <w:r>
        <w:rPr>
          <w:rFonts w:hint="eastAsia" w:ascii="宋体" w:hAnsi="宋体" w:eastAsia="宋体"/>
          <w:color w:val="000000"/>
          <w:szCs w:val="28"/>
          <w:lang w:eastAsia="zh-CN"/>
        </w:rPr>
        <w:t>CG2020HTP071</w:t>
      </w:r>
    </w:p>
    <w:p>
      <w:pPr>
        <w:pStyle w:val="5"/>
        <w:spacing w:line="360" w:lineRule="auto"/>
        <w:ind w:left="2335" w:leftChars="337" w:hanging="1391" w:hangingChars="495"/>
        <w:rPr>
          <w:rFonts w:ascii="宋体" w:hAnsi="宋体" w:eastAsia="宋体"/>
          <w:color w:val="000000"/>
          <w:szCs w:val="28"/>
        </w:rPr>
      </w:pPr>
    </w:p>
    <w:p>
      <w:pPr>
        <w:pStyle w:val="5"/>
        <w:spacing w:line="360" w:lineRule="auto"/>
        <w:rPr>
          <w:rFonts w:ascii="宋体" w:hAnsi="宋体" w:eastAsia="宋体"/>
          <w:color w:val="000000"/>
          <w:szCs w:val="28"/>
        </w:rPr>
      </w:pPr>
    </w:p>
    <w:p>
      <w:pPr>
        <w:pStyle w:val="5"/>
        <w:spacing w:line="360" w:lineRule="auto"/>
        <w:jc w:val="center"/>
        <w:rPr>
          <w:rFonts w:hint="eastAsia" w:ascii="宋体" w:hAnsi="宋体" w:eastAsia="宋体"/>
          <w:color w:val="000000"/>
          <w:szCs w:val="28"/>
          <w:lang w:eastAsia="zh-CN"/>
        </w:rPr>
      </w:pPr>
      <w:bookmarkStart w:id="0" w:name="_Toc266431005"/>
      <w:bookmarkStart w:id="1" w:name="_Toc266431113"/>
      <w:r>
        <w:rPr>
          <w:rFonts w:hint="eastAsia" w:ascii="宋体" w:hAnsi="宋体" w:eastAsia="宋体"/>
          <w:color w:val="000000"/>
          <w:szCs w:val="28"/>
          <w:lang w:eastAsia="zh-CN"/>
        </w:rPr>
        <w:t>2020年03月16日</w:t>
      </w:r>
    </w:p>
    <w:p>
      <w:pPr>
        <w:jc w:val="center"/>
        <w:rPr>
          <w:rFonts w:ascii="宋体" w:hAnsi="宋体"/>
          <w:color w:val="000000"/>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737" w:right="1247" w:bottom="737" w:left="1247" w:header="851" w:footer="992" w:gutter="0"/>
          <w:pgNumType w:start="1"/>
          <w:cols w:space="720" w:num="1"/>
          <w:titlePg/>
          <w:docGrid w:linePitch="312" w:charSpace="0"/>
        </w:sectPr>
      </w:pPr>
    </w:p>
    <w:p>
      <w:pPr>
        <w:pStyle w:val="2"/>
        <w:rPr>
          <w:lang w:val="zh-CN"/>
        </w:rPr>
      </w:pPr>
    </w:p>
    <w:p>
      <w:pPr>
        <w:pStyle w:val="2"/>
        <w:rPr>
          <w:lang w:val="zh-CN"/>
        </w:rPr>
      </w:pPr>
    </w:p>
    <w:p>
      <w:pPr>
        <w:pStyle w:val="23"/>
        <w:keepNext w:val="0"/>
        <w:keepLines w:val="0"/>
        <w:spacing w:before="0" w:line="360" w:lineRule="auto"/>
        <w:jc w:val="center"/>
        <w:rPr>
          <w:rFonts w:ascii="宋体" w:hAnsi="宋体"/>
          <w:color w:val="000000"/>
        </w:rPr>
      </w:pPr>
      <w:r>
        <w:rPr>
          <w:rFonts w:hint="eastAsia" w:ascii="宋体" w:hAnsi="宋体"/>
          <w:color w:val="000000"/>
        </w:rPr>
        <w:t>目   录</w:t>
      </w:r>
    </w:p>
    <w:p>
      <w:pPr>
        <w:pStyle w:val="12"/>
        <w:tabs>
          <w:tab w:val="right" w:leader="dot" w:pos="9412"/>
        </w:tabs>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"_Toc1557" </w:instrText>
      </w:r>
      <w:r>
        <w:fldChar w:fldCharType="separate"/>
      </w:r>
      <w:r>
        <w:rPr>
          <w:rFonts w:hint="eastAsia" w:ascii="宋体" w:hAnsi="宋体"/>
          <w:szCs w:val="28"/>
        </w:rPr>
        <w:t>第一章 采购公告</w:t>
      </w:r>
      <w:r>
        <w:tab/>
      </w:r>
      <w:r>
        <w:fldChar w:fldCharType="begin"/>
      </w:r>
      <w:r>
        <w:instrText xml:space="preserve"> PAGEREF _Toc1557 </w:instrText>
      </w:r>
      <w:r>
        <w:fldChar w:fldCharType="separate"/>
      </w:r>
      <w:r>
        <w:t>3</w:t>
      </w:r>
      <w:r>
        <w:fldChar w:fldCharType="end"/>
      </w:r>
      <w:r>
        <w:fldChar w:fldCharType="end"/>
      </w:r>
    </w:p>
    <w:p>
      <w:pPr>
        <w:pStyle w:val="12"/>
        <w:tabs>
          <w:tab w:val="right" w:leader="dot" w:pos="9412"/>
        </w:tabs>
      </w:pPr>
      <w:r>
        <w:fldChar w:fldCharType="begin"/>
      </w:r>
      <w:r>
        <w:instrText xml:space="preserve"> HYPERLINK \l "_Toc10230" </w:instrText>
      </w:r>
      <w:r>
        <w:fldChar w:fldCharType="separate"/>
      </w:r>
      <w:r>
        <w:rPr>
          <w:rFonts w:hint="eastAsia" w:ascii="宋体" w:hAnsi="宋体"/>
          <w:szCs w:val="24"/>
        </w:rPr>
        <w:t>第二章 供应商须知</w:t>
      </w:r>
      <w:r>
        <w:tab/>
      </w:r>
      <w:r>
        <w:fldChar w:fldCharType="begin"/>
      </w:r>
      <w:r>
        <w:instrText xml:space="preserve"> PAGEREF _Toc10230 </w:instrText>
      </w:r>
      <w:r>
        <w:fldChar w:fldCharType="separate"/>
      </w:r>
      <w:r>
        <w:t>5</w:t>
      </w:r>
      <w:r>
        <w:fldChar w:fldCharType="end"/>
      </w:r>
      <w:r>
        <w:fldChar w:fldCharType="end"/>
      </w:r>
    </w:p>
    <w:p>
      <w:pPr>
        <w:pStyle w:val="12"/>
        <w:tabs>
          <w:tab w:val="right" w:leader="dot" w:pos="9412"/>
        </w:tabs>
      </w:pPr>
      <w:r>
        <w:fldChar w:fldCharType="begin"/>
      </w:r>
      <w:r>
        <w:instrText xml:space="preserve"> HYPERLINK \l "_Toc2452" </w:instrText>
      </w:r>
      <w:r>
        <w:fldChar w:fldCharType="separate"/>
      </w:r>
      <w:r>
        <w:rPr>
          <w:rFonts w:hint="eastAsia" w:ascii="宋体" w:hAnsi="宋体" w:cs="宋体"/>
          <w:bCs w:val="0"/>
          <w:szCs w:val="24"/>
        </w:rPr>
        <w:t>第三章 合同与验收</w:t>
      </w:r>
      <w:r>
        <w:tab/>
      </w:r>
      <w:r>
        <w:fldChar w:fldCharType="begin"/>
      </w:r>
      <w:r>
        <w:instrText xml:space="preserve"> PAGEREF _Toc2452 </w:instrText>
      </w:r>
      <w:r>
        <w:fldChar w:fldCharType="separate"/>
      </w:r>
      <w:r>
        <w:t>15</w:t>
      </w:r>
      <w:r>
        <w:fldChar w:fldCharType="end"/>
      </w:r>
      <w:r>
        <w:fldChar w:fldCharType="end"/>
      </w:r>
    </w:p>
    <w:p>
      <w:pPr>
        <w:pStyle w:val="12"/>
        <w:tabs>
          <w:tab w:val="right" w:leader="dot" w:pos="9412"/>
        </w:tabs>
      </w:pPr>
      <w:r>
        <w:fldChar w:fldCharType="begin"/>
      </w:r>
      <w:r>
        <w:instrText xml:space="preserve"> HYPERLINK \l "_Toc29929" </w:instrText>
      </w:r>
      <w:r>
        <w:fldChar w:fldCharType="separate"/>
      </w:r>
      <w:r>
        <w:rPr>
          <w:rFonts w:hint="eastAsia" w:ascii="宋体" w:hAnsi="宋体"/>
          <w:szCs w:val="24"/>
        </w:rPr>
        <w:t>第四章 谈判内容与技术要求</w:t>
      </w:r>
      <w:r>
        <w:tab/>
      </w:r>
      <w:r>
        <w:fldChar w:fldCharType="begin"/>
      </w:r>
      <w:r>
        <w:instrText xml:space="preserve"> PAGEREF _Toc29929 </w:instrText>
      </w:r>
      <w:r>
        <w:fldChar w:fldCharType="separate"/>
      </w:r>
      <w:r>
        <w:t>18</w:t>
      </w:r>
      <w:r>
        <w:fldChar w:fldCharType="end"/>
      </w:r>
      <w:r>
        <w:fldChar w:fldCharType="end"/>
      </w:r>
    </w:p>
    <w:p>
      <w:pPr>
        <w:pStyle w:val="12"/>
        <w:tabs>
          <w:tab w:val="right" w:leader="dot" w:pos="9412"/>
        </w:tabs>
      </w:pPr>
      <w:r>
        <w:fldChar w:fldCharType="begin"/>
      </w:r>
      <w:r>
        <w:instrText xml:space="preserve"> HYPERLINK \l "_Toc4241" </w:instrText>
      </w:r>
      <w:r>
        <w:fldChar w:fldCharType="separate"/>
      </w:r>
      <w:r>
        <w:rPr>
          <w:rFonts w:hint="eastAsia" w:ascii="宋体" w:hAnsi="宋体"/>
          <w:szCs w:val="24"/>
        </w:rPr>
        <w:t>第五章 供应商资格证明及相关文件要求</w:t>
      </w:r>
      <w:r>
        <w:tab/>
      </w:r>
      <w:r>
        <w:fldChar w:fldCharType="begin"/>
      </w:r>
      <w:r>
        <w:instrText xml:space="preserve"> PAGEREF _Toc4241 </w:instrText>
      </w:r>
      <w:r>
        <w:fldChar w:fldCharType="separate"/>
      </w:r>
      <w:r>
        <w:t>18</w:t>
      </w:r>
      <w:r>
        <w:fldChar w:fldCharType="end"/>
      </w:r>
      <w:r>
        <w:fldChar w:fldCharType="end"/>
      </w:r>
    </w:p>
    <w:p>
      <w:pPr>
        <w:pStyle w:val="12"/>
        <w:tabs>
          <w:tab w:val="right" w:leader="dot" w:pos="9412"/>
        </w:tabs>
      </w:pPr>
      <w:r>
        <w:fldChar w:fldCharType="begin"/>
      </w:r>
      <w:r>
        <w:instrText xml:space="preserve"> HYPERLINK \l "_Toc14867" </w:instrText>
      </w:r>
      <w:r>
        <w:fldChar w:fldCharType="separate"/>
      </w:r>
      <w:r>
        <w:rPr>
          <w:rFonts w:hint="eastAsia" w:ascii="宋体" w:hAnsi="宋体"/>
          <w:szCs w:val="24"/>
        </w:rPr>
        <w:t>第六章 谈判程序及方法</w:t>
      </w:r>
      <w:r>
        <w:tab/>
      </w:r>
      <w:r>
        <w:fldChar w:fldCharType="begin"/>
      </w:r>
      <w:r>
        <w:instrText xml:space="preserve"> PAGEREF _Toc14867 </w:instrText>
      </w:r>
      <w:r>
        <w:fldChar w:fldCharType="separate"/>
      </w:r>
      <w:r>
        <w:t>21</w:t>
      </w:r>
      <w:r>
        <w:fldChar w:fldCharType="end"/>
      </w:r>
      <w:r>
        <w:fldChar w:fldCharType="end"/>
      </w:r>
    </w:p>
    <w:p>
      <w:pPr>
        <w:pStyle w:val="12"/>
        <w:tabs>
          <w:tab w:val="right" w:leader="dot" w:pos="9412"/>
        </w:tabs>
      </w:pPr>
      <w:r>
        <w:fldChar w:fldCharType="begin"/>
      </w:r>
      <w:r>
        <w:instrText xml:space="preserve"> HYPERLINK \l "_Toc18377" </w:instrText>
      </w:r>
      <w:r>
        <w:fldChar w:fldCharType="separate"/>
      </w:r>
      <w:r>
        <w:rPr>
          <w:rFonts w:hint="eastAsia" w:ascii="宋体" w:hAnsi="宋体"/>
          <w:szCs w:val="24"/>
        </w:rPr>
        <w:t>第七章 响应文件格式与要求</w:t>
      </w:r>
      <w:r>
        <w:tab/>
      </w:r>
      <w:r>
        <w:fldChar w:fldCharType="begin"/>
      </w:r>
      <w:r>
        <w:instrText xml:space="preserve"> PAGEREF _Toc18377 </w:instrText>
      </w:r>
      <w:r>
        <w:fldChar w:fldCharType="separate"/>
      </w:r>
      <w:r>
        <w:t>25</w:t>
      </w:r>
      <w:r>
        <w:fldChar w:fldCharType="end"/>
      </w:r>
      <w:r>
        <w:fldChar w:fldCharType="end"/>
      </w:r>
    </w:p>
    <w:p>
      <w:pPr>
        <w:pStyle w:val="12"/>
        <w:tabs>
          <w:tab w:val="right" w:leader="dot" w:pos="9412"/>
        </w:tabs>
      </w:pPr>
      <w:r>
        <w:fldChar w:fldCharType="begin"/>
      </w:r>
      <w:r>
        <w:instrText xml:space="preserve"> HYPERLINK \l "_Toc16614" </w:instrText>
      </w:r>
      <w:r>
        <w:fldChar w:fldCharType="separate"/>
      </w:r>
      <w:r>
        <w:rPr>
          <w:rFonts w:hint="eastAsia" w:ascii="宋体" w:hAnsi="宋体"/>
          <w:szCs w:val="24"/>
        </w:rPr>
        <w:t>第八章 温馨提示</w:t>
      </w:r>
      <w:r>
        <w:tab/>
      </w:r>
      <w:r>
        <w:fldChar w:fldCharType="begin"/>
      </w:r>
      <w:r>
        <w:instrText xml:space="preserve"> PAGEREF _Toc16614 </w:instrText>
      </w:r>
      <w:r>
        <w:fldChar w:fldCharType="separate"/>
      </w:r>
      <w:r>
        <w:t>53</w:t>
      </w:r>
      <w:r>
        <w:fldChar w:fldCharType="end"/>
      </w:r>
      <w:r>
        <w:fldChar w:fldCharType="end"/>
      </w:r>
    </w:p>
    <w:p>
      <w:pPr>
        <w:widowControl/>
        <w:ind w:firstLine="3220" w:firstLineChars="1150"/>
        <w:jc w:val="left"/>
        <w:rPr>
          <w:rFonts w:ascii="宋体" w:hAnsi="宋体"/>
          <w:b/>
          <w:color w:val="000000"/>
          <w:szCs w:val="28"/>
        </w:rPr>
      </w:pPr>
      <w:r>
        <w:rPr>
          <w:rFonts w:ascii="宋体" w:hAnsi="宋体"/>
          <w:color w:val="000000"/>
          <w:szCs w:val="28"/>
        </w:rPr>
        <w:fldChar w:fldCharType="end"/>
      </w:r>
      <w:bookmarkEnd w:id="0"/>
      <w:bookmarkEnd w:id="1"/>
      <w:bookmarkStart w:id="2" w:name="_Toc266431116"/>
      <w:bookmarkStart w:id="3" w:name="_Toc253045125"/>
      <w:r>
        <w:rPr>
          <w:rFonts w:ascii="宋体" w:hAnsi="宋体"/>
          <w:b/>
          <w:color w:val="000000"/>
          <w:szCs w:val="28"/>
        </w:rPr>
        <w:br w:type="page"/>
      </w:r>
    </w:p>
    <w:p>
      <w:pPr>
        <w:widowControl/>
        <w:ind w:firstLine="3233" w:firstLineChars="1150"/>
        <w:jc w:val="left"/>
        <w:outlineLvl w:val="0"/>
        <w:rPr>
          <w:rFonts w:ascii="宋体" w:hAnsi="宋体"/>
          <w:b/>
          <w:color w:val="000000"/>
          <w:szCs w:val="28"/>
        </w:rPr>
      </w:pPr>
      <w:bookmarkStart w:id="4" w:name="_Toc1557"/>
      <w:r>
        <w:rPr>
          <w:rFonts w:hint="eastAsia" w:ascii="宋体" w:hAnsi="宋体"/>
          <w:b/>
          <w:color w:val="000000"/>
          <w:szCs w:val="28"/>
        </w:rPr>
        <w:t>第一章 采购公告</w:t>
      </w:r>
      <w:bookmarkEnd w:id="4"/>
    </w:p>
    <w:p>
      <w:pPr>
        <w:widowControl/>
        <w:jc w:val="center"/>
        <w:rPr>
          <w:rFonts w:hint="default" w:ascii="宋体" w:hAnsi="宋体"/>
          <w:bCs/>
          <w:color w:val="000000"/>
          <w:kern w:val="44"/>
          <w:szCs w:val="28"/>
          <w:lang w:val="en-US"/>
        </w:rPr>
      </w:pPr>
      <w:r>
        <w:rPr>
          <w:rFonts w:hint="eastAsia" w:ascii="宋体" w:hAnsi="宋体"/>
          <w:b/>
          <w:sz w:val="24"/>
          <w:szCs w:val="24"/>
          <w:lang w:eastAsia="zh-CN"/>
        </w:rPr>
        <w:t>鄂托克前旗文物保护管理所采购电动密集架项目</w:t>
      </w:r>
      <w:r>
        <w:rPr>
          <w:rFonts w:hint="eastAsia" w:ascii="宋体" w:hAnsi="宋体"/>
          <w:b/>
          <w:sz w:val="24"/>
          <w:szCs w:val="24"/>
          <w:lang w:val="en-US" w:eastAsia="zh-CN"/>
        </w:rPr>
        <w:t>竞争性谈判公告</w:t>
      </w:r>
    </w:p>
    <w:p>
      <w:pPr>
        <w:spacing w:line="360" w:lineRule="auto"/>
        <w:ind w:firstLine="480" w:firstLineChars="200"/>
        <w:rPr>
          <w:rFonts w:ascii="宋体" w:hAnsi="宋体"/>
          <w:color w:val="000000"/>
          <w:sz w:val="24"/>
          <w:szCs w:val="24"/>
        </w:rPr>
      </w:pPr>
      <w:r>
        <w:rPr>
          <w:rFonts w:hint="eastAsia" w:ascii="宋体" w:hAnsi="宋体"/>
          <w:sz w:val="24"/>
          <w:szCs w:val="24"/>
        </w:rPr>
        <w:t>鄂尔多斯市鄂托克前旗公共资源交易中心受</w:t>
      </w:r>
      <w:r>
        <w:rPr>
          <w:rFonts w:hint="eastAsia" w:ascii="宋体" w:hAnsi="宋体"/>
          <w:sz w:val="24"/>
          <w:szCs w:val="24"/>
          <w:lang w:eastAsia="zh-CN"/>
        </w:rPr>
        <w:t>鄂托克前旗文物保护管理所</w:t>
      </w:r>
      <w:r>
        <w:rPr>
          <w:rFonts w:hint="eastAsia" w:ascii="宋体" w:hAnsi="宋体"/>
          <w:sz w:val="24"/>
          <w:szCs w:val="24"/>
        </w:rPr>
        <w:t>委托，按照采管办审批（竞争性谈判）方式组织采购</w:t>
      </w:r>
      <w:r>
        <w:rPr>
          <w:rFonts w:hint="eastAsia" w:ascii="宋体" w:hAnsi="宋体"/>
          <w:sz w:val="24"/>
          <w:szCs w:val="24"/>
          <w:lang w:eastAsia="zh-CN"/>
        </w:rPr>
        <w:t>电动密集架项目</w:t>
      </w:r>
      <w:r>
        <w:rPr>
          <w:rFonts w:hint="eastAsia" w:ascii="宋体" w:hAnsi="宋体"/>
          <w:color w:val="000000"/>
          <w:sz w:val="24"/>
          <w:szCs w:val="24"/>
        </w:rPr>
        <w:t>。欢迎符合资格条件的供应商前来报名参加。</w:t>
      </w:r>
    </w:p>
    <w:p>
      <w:pPr>
        <w:pStyle w:val="24"/>
        <w:spacing w:line="360" w:lineRule="auto"/>
        <w:ind w:firstLine="482"/>
        <w:rPr>
          <w:rFonts w:ascii="宋体" w:hAnsi="宋体"/>
          <w:b/>
          <w:color w:val="000000"/>
          <w:sz w:val="24"/>
          <w:szCs w:val="24"/>
        </w:rPr>
      </w:pPr>
      <w:r>
        <w:rPr>
          <w:rFonts w:hint="eastAsia" w:ascii="宋体" w:hAnsi="宋体"/>
          <w:b/>
          <w:color w:val="000000"/>
          <w:sz w:val="24"/>
          <w:szCs w:val="24"/>
        </w:rPr>
        <w:t>一.项目概述</w:t>
      </w:r>
    </w:p>
    <w:p>
      <w:pPr>
        <w:pStyle w:val="24"/>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sz w:val="24"/>
          <w:szCs w:val="24"/>
        </w:rPr>
        <w:t>项目名称：</w:t>
      </w:r>
      <w:r>
        <w:rPr>
          <w:rFonts w:hint="eastAsia" w:ascii="宋体" w:hAnsi="宋体"/>
          <w:sz w:val="24"/>
          <w:szCs w:val="24"/>
          <w:lang w:eastAsia="zh-CN"/>
        </w:rPr>
        <w:t>鄂托克前旗文物保护管理所采购电动密集架项目</w:t>
      </w:r>
    </w:p>
    <w:p>
      <w:pPr>
        <w:spacing w:line="360" w:lineRule="auto"/>
        <w:ind w:firstLine="480" w:firstLineChars="200"/>
        <w:jc w:val="left"/>
        <w:rPr>
          <w:rFonts w:ascii="宋体" w:hAnsi="宋体"/>
          <w:sz w:val="24"/>
          <w:szCs w:val="24"/>
        </w:rPr>
      </w:pPr>
      <w:r>
        <w:rPr>
          <w:rFonts w:hint="eastAsia" w:ascii="宋体" w:hAnsi="宋体"/>
          <w:color w:val="000000"/>
          <w:sz w:val="24"/>
          <w:szCs w:val="24"/>
        </w:rPr>
        <w:t>批准文件编号：</w:t>
      </w:r>
      <w:r>
        <w:rPr>
          <w:rFonts w:hint="eastAsia" w:ascii="宋体" w:hAnsi="宋体"/>
          <w:sz w:val="24"/>
          <w:szCs w:val="24"/>
          <w:highlight w:val="none"/>
          <w:lang w:eastAsia="zh-CN"/>
        </w:rPr>
        <w:t>鄂</w:t>
      </w:r>
      <w:r>
        <w:rPr>
          <w:rFonts w:hint="eastAsia" w:ascii="宋体" w:hAnsi="宋体"/>
          <w:sz w:val="24"/>
          <w:szCs w:val="24"/>
          <w:highlight w:val="none"/>
          <w:lang w:val="en-US" w:eastAsia="zh-CN"/>
        </w:rPr>
        <w:t>财购备</w:t>
      </w:r>
      <w:r>
        <w:rPr>
          <w:rFonts w:hint="eastAsia" w:ascii="宋体" w:hAnsi="宋体"/>
          <w:sz w:val="24"/>
          <w:szCs w:val="24"/>
          <w:highlight w:val="none"/>
          <w:lang w:eastAsia="zh-CN"/>
        </w:rPr>
        <w:t>字（</w:t>
      </w:r>
      <w:r>
        <w:rPr>
          <w:rFonts w:hint="eastAsia" w:ascii="宋体" w:hAnsi="宋体"/>
          <w:sz w:val="24"/>
          <w:szCs w:val="24"/>
          <w:highlight w:val="none"/>
          <w:lang w:val="en-US" w:eastAsia="zh-CN"/>
        </w:rPr>
        <w:t>电子</w:t>
      </w:r>
      <w:r>
        <w:rPr>
          <w:rFonts w:hint="eastAsia" w:ascii="宋体" w:hAnsi="宋体"/>
          <w:sz w:val="24"/>
          <w:szCs w:val="24"/>
          <w:highlight w:val="none"/>
          <w:lang w:eastAsia="zh-CN"/>
        </w:rPr>
        <w:t>）【</w:t>
      </w:r>
      <w:r>
        <w:rPr>
          <w:rFonts w:hint="eastAsia" w:ascii="宋体" w:hAnsi="宋体"/>
          <w:sz w:val="24"/>
          <w:szCs w:val="24"/>
          <w:highlight w:val="none"/>
          <w:lang w:val="en-US" w:eastAsia="zh-CN"/>
        </w:rPr>
        <w:t>2020</w:t>
      </w:r>
      <w:r>
        <w:rPr>
          <w:rFonts w:hint="eastAsia" w:ascii="宋体" w:hAnsi="宋体"/>
          <w:sz w:val="24"/>
          <w:szCs w:val="24"/>
          <w:highlight w:val="none"/>
          <w:lang w:eastAsia="zh-CN"/>
        </w:rPr>
        <w:t>】</w:t>
      </w:r>
      <w:r>
        <w:rPr>
          <w:rFonts w:hint="eastAsia" w:ascii="宋体" w:hAnsi="宋体"/>
          <w:sz w:val="24"/>
          <w:szCs w:val="24"/>
          <w:highlight w:val="none"/>
          <w:lang w:val="en-US" w:eastAsia="zh-CN"/>
        </w:rPr>
        <w:t>QQ00028</w:t>
      </w:r>
      <w:r>
        <w:rPr>
          <w:rFonts w:hint="eastAsia" w:ascii="宋体" w:hAnsi="宋体"/>
          <w:sz w:val="24"/>
          <w:szCs w:val="24"/>
          <w:highlight w:val="none"/>
        </w:rPr>
        <w:t>号</w:t>
      </w:r>
    </w:p>
    <w:p>
      <w:pPr>
        <w:spacing w:line="360" w:lineRule="auto"/>
        <w:ind w:firstLine="480" w:firstLineChars="200"/>
        <w:jc w:val="left"/>
        <w:rPr>
          <w:rFonts w:hint="eastAsia" w:ascii="宋体" w:hAnsi="宋体" w:eastAsia="宋体"/>
          <w:color w:val="FF0000"/>
          <w:sz w:val="24"/>
          <w:szCs w:val="24"/>
          <w:lang w:eastAsia="zh-CN"/>
        </w:rPr>
      </w:pPr>
      <w:r>
        <w:rPr>
          <w:rFonts w:hint="eastAsia" w:ascii="宋体" w:hAnsi="宋体"/>
          <w:color w:val="000000"/>
          <w:sz w:val="24"/>
          <w:szCs w:val="24"/>
        </w:rPr>
        <w:t>谈判文件编号：</w:t>
      </w:r>
      <w:r>
        <w:rPr>
          <w:rFonts w:hint="eastAsia" w:ascii="宋体" w:hAnsi="宋体"/>
          <w:color w:val="000000"/>
          <w:sz w:val="24"/>
          <w:szCs w:val="24"/>
          <w:lang w:eastAsia="zh-CN"/>
        </w:rPr>
        <w:t>CG2020HTP071</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p>
    <w:tbl>
      <w:tblPr>
        <w:tblStyle w:val="16"/>
        <w:tblW w:w="91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00"/>
        <w:gridCol w:w="825"/>
        <w:gridCol w:w="960"/>
        <w:gridCol w:w="279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735" w:type="dxa"/>
            <w:vAlign w:val="top"/>
          </w:tcPr>
          <w:p>
            <w:pPr>
              <w:keepNext w:val="0"/>
              <w:keepLines w:val="0"/>
              <w:suppressLineNumbers w:val="0"/>
              <w:spacing w:before="0" w:beforeAutospacing="0" w:after="0" w:afterAutospacing="0" w:line="560" w:lineRule="exact"/>
              <w:ind w:left="0" w:leftChars="0" w:right="0" w:rightChars="0"/>
              <w:jc w:val="center"/>
              <w:rPr>
                <w:rFonts w:hAnsi="宋体"/>
                <w:b/>
                <w:sz w:val="21"/>
                <w:szCs w:val="21"/>
              </w:rPr>
            </w:pPr>
            <w:r>
              <w:rPr>
                <w:rFonts w:hint="eastAsia" w:hAnsi="宋体"/>
                <w:b/>
                <w:sz w:val="21"/>
                <w:szCs w:val="21"/>
              </w:rPr>
              <w:t>包号</w:t>
            </w:r>
          </w:p>
        </w:tc>
        <w:tc>
          <w:tcPr>
            <w:tcW w:w="2100" w:type="dxa"/>
            <w:vAlign w:val="top"/>
          </w:tcPr>
          <w:p>
            <w:pPr>
              <w:keepNext w:val="0"/>
              <w:keepLines w:val="0"/>
              <w:suppressLineNumbers w:val="0"/>
              <w:spacing w:before="0" w:beforeAutospacing="0" w:after="0" w:afterAutospacing="0" w:line="560" w:lineRule="exact"/>
              <w:ind w:left="0" w:leftChars="0" w:right="0" w:rightChars="0"/>
              <w:jc w:val="center"/>
              <w:rPr>
                <w:rFonts w:hAnsi="宋体"/>
                <w:b/>
                <w:sz w:val="21"/>
                <w:szCs w:val="21"/>
              </w:rPr>
            </w:pPr>
            <w:r>
              <w:rPr>
                <w:rFonts w:hint="eastAsia" w:hAnsi="宋体"/>
                <w:b/>
                <w:sz w:val="21"/>
                <w:szCs w:val="21"/>
              </w:rPr>
              <w:t>采购名称</w:t>
            </w:r>
          </w:p>
        </w:tc>
        <w:tc>
          <w:tcPr>
            <w:tcW w:w="825" w:type="dxa"/>
            <w:vAlign w:val="top"/>
          </w:tcPr>
          <w:p>
            <w:pPr>
              <w:keepNext w:val="0"/>
              <w:keepLines w:val="0"/>
              <w:suppressLineNumbers w:val="0"/>
              <w:spacing w:before="0" w:beforeAutospacing="0" w:after="0" w:afterAutospacing="0" w:line="560" w:lineRule="exact"/>
              <w:ind w:left="0" w:leftChars="0" w:right="0" w:rightChars="0"/>
              <w:jc w:val="center"/>
              <w:rPr>
                <w:rFonts w:hint="eastAsia" w:hAnsi="宋体" w:eastAsia="宋体"/>
                <w:b/>
                <w:sz w:val="21"/>
                <w:szCs w:val="21"/>
                <w:lang w:eastAsia="zh-CN"/>
              </w:rPr>
            </w:pPr>
            <w:r>
              <w:rPr>
                <w:rFonts w:hint="eastAsia" w:hAnsi="宋体"/>
                <w:b/>
                <w:sz w:val="21"/>
                <w:szCs w:val="21"/>
                <w:lang w:eastAsia="zh-CN"/>
              </w:rPr>
              <w:t>单位</w:t>
            </w:r>
          </w:p>
        </w:tc>
        <w:tc>
          <w:tcPr>
            <w:tcW w:w="960" w:type="dxa"/>
            <w:vAlign w:val="top"/>
          </w:tcPr>
          <w:p>
            <w:pPr>
              <w:keepNext w:val="0"/>
              <w:keepLines w:val="0"/>
              <w:suppressLineNumbers w:val="0"/>
              <w:spacing w:before="0" w:beforeAutospacing="0" w:after="0" w:afterAutospacing="0" w:line="560" w:lineRule="exact"/>
              <w:ind w:left="0" w:leftChars="0" w:right="0" w:rightChars="0"/>
              <w:jc w:val="center"/>
              <w:rPr>
                <w:rFonts w:hAnsi="宋体"/>
                <w:b/>
                <w:sz w:val="21"/>
                <w:szCs w:val="21"/>
              </w:rPr>
            </w:pPr>
            <w:r>
              <w:rPr>
                <w:rFonts w:hint="eastAsia" w:hAnsi="宋体"/>
                <w:b/>
                <w:sz w:val="21"/>
                <w:szCs w:val="21"/>
              </w:rPr>
              <w:t>数量</w:t>
            </w:r>
          </w:p>
        </w:tc>
        <w:tc>
          <w:tcPr>
            <w:tcW w:w="2790" w:type="dxa"/>
            <w:vAlign w:val="top"/>
          </w:tcPr>
          <w:p>
            <w:pPr>
              <w:keepNext w:val="0"/>
              <w:keepLines w:val="0"/>
              <w:suppressLineNumbers w:val="0"/>
              <w:spacing w:before="0" w:beforeAutospacing="0" w:after="0" w:afterAutospacing="0" w:line="560" w:lineRule="exact"/>
              <w:ind w:left="0" w:leftChars="0" w:right="0" w:rightChars="0"/>
              <w:jc w:val="center"/>
              <w:rPr>
                <w:rFonts w:hAnsi="宋体"/>
                <w:b/>
                <w:sz w:val="21"/>
                <w:szCs w:val="21"/>
              </w:rPr>
            </w:pPr>
            <w:r>
              <w:rPr>
                <w:rFonts w:hint="eastAsia" w:hAnsi="宋体"/>
                <w:b/>
                <w:sz w:val="21"/>
                <w:szCs w:val="21"/>
              </w:rPr>
              <w:t>技术规格、参数及要求</w:t>
            </w:r>
          </w:p>
        </w:tc>
        <w:tc>
          <w:tcPr>
            <w:tcW w:w="1770" w:type="dxa"/>
            <w:vAlign w:val="top"/>
          </w:tcPr>
          <w:p>
            <w:pPr>
              <w:keepNext w:val="0"/>
              <w:keepLines w:val="0"/>
              <w:suppressLineNumbers w:val="0"/>
              <w:spacing w:before="0" w:beforeAutospacing="0" w:after="0" w:afterAutospacing="0" w:line="560" w:lineRule="exact"/>
              <w:ind w:left="0" w:leftChars="0" w:right="0" w:rightChars="0"/>
              <w:jc w:val="center"/>
              <w:rPr>
                <w:rFonts w:hAnsi="宋体"/>
                <w:b/>
                <w:sz w:val="21"/>
                <w:szCs w:val="21"/>
              </w:rPr>
            </w:pPr>
            <w:r>
              <w:rPr>
                <w:rFonts w:hint="eastAsia" w:hAnsi="宋体"/>
                <w:b/>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35" w:type="dxa"/>
            <w:vAlign w:val="center"/>
          </w:tcPr>
          <w:p>
            <w:pPr>
              <w:keepNext w:val="0"/>
              <w:keepLines w:val="0"/>
              <w:suppressLineNumbers w:val="0"/>
              <w:spacing w:before="0" w:beforeAutospacing="0" w:after="0" w:afterAutospacing="0" w:line="560" w:lineRule="exact"/>
              <w:ind w:left="0" w:leftChars="0" w:right="0" w:rightChars="0"/>
              <w:jc w:val="center"/>
              <w:rPr>
                <w:rFonts w:hAnsi="宋体"/>
                <w:b/>
                <w:sz w:val="21"/>
                <w:szCs w:val="21"/>
              </w:rPr>
            </w:pPr>
            <w:r>
              <w:rPr>
                <w:rFonts w:hint="eastAsia" w:hAnsi="宋体"/>
                <w:b/>
                <w:sz w:val="21"/>
                <w:szCs w:val="21"/>
              </w:rPr>
              <w:t>1</w:t>
            </w:r>
          </w:p>
        </w:tc>
        <w:tc>
          <w:tcPr>
            <w:tcW w:w="2100" w:type="dxa"/>
            <w:vAlign w:val="center"/>
          </w:tcPr>
          <w:p>
            <w:pPr>
              <w:keepNext w:val="0"/>
              <w:keepLines w:val="0"/>
              <w:suppressLineNumbers w:val="0"/>
              <w:spacing w:before="0" w:beforeAutospacing="0" w:after="0" w:afterAutospacing="0" w:line="560" w:lineRule="exact"/>
              <w:ind w:left="0" w:leftChars="0" w:right="0" w:rightChars="0"/>
              <w:jc w:val="center"/>
              <w:rPr>
                <w:rFonts w:hint="eastAsia" w:hAnsi="宋体" w:eastAsia="宋体"/>
                <w:b/>
                <w:sz w:val="21"/>
                <w:szCs w:val="21"/>
                <w:lang w:eastAsia="zh-CN"/>
              </w:rPr>
            </w:pPr>
            <w:r>
              <w:rPr>
                <w:rFonts w:hint="eastAsia" w:hAnsi="宋体"/>
                <w:b/>
                <w:sz w:val="21"/>
                <w:szCs w:val="21"/>
                <w:lang w:eastAsia="zh-CN"/>
              </w:rPr>
              <w:t>电动密集架项目</w:t>
            </w:r>
          </w:p>
        </w:tc>
        <w:tc>
          <w:tcPr>
            <w:tcW w:w="825" w:type="dxa"/>
            <w:vAlign w:val="center"/>
          </w:tcPr>
          <w:p>
            <w:pPr>
              <w:keepNext w:val="0"/>
              <w:keepLines w:val="0"/>
              <w:suppressLineNumbers w:val="0"/>
              <w:spacing w:before="0" w:beforeAutospacing="0" w:after="0" w:afterAutospacing="0" w:line="560" w:lineRule="exact"/>
              <w:ind w:left="0" w:leftChars="0" w:right="0" w:rightChars="0"/>
              <w:jc w:val="center"/>
              <w:rPr>
                <w:rFonts w:hint="default" w:hAnsi="宋体"/>
                <w:b/>
                <w:sz w:val="21"/>
                <w:szCs w:val="21"/>
                <w:lang w:val="en-US" w:eastAsia="zh-CN"/>
              </w:rPr>
            </w:pPr>
            <w:r>
              <w:rPr>
                <w:rFonts w:hint="eastAsia" w:hAnsi="宋体"/>
                <w:b/>
                <w:sz w:val="21"/>
                <w:szCs w:val="21"/>
                <w:lang w:val="en-US" w:eastAsia="zh-CN"/>
              </w:rPr>
              <w:t>批</w:t>
            </w:r>
          </w:p>
        </w:tc>
        <w:tc>
          <w:tcPr>
            <w:tcW w:w="960" w:type="dxa"/>
            <w:vAlign w:val="center"/>
          </w:tcPr>
          <w:p>
            <w:pPr>
              <w:keepNext w:val="0"/>
              <w:keepLines w:val="0"/>
              <w:suppressLineNumbers w:val="0"/>
              <w:spacing w:before="0" w:beforeAutospacing="0" w:after="0" w:afterAutospacing="0" w:line="560" w:lineRule="exact"/>
              <w:ind w:left="0" w:leftChars="0" w:right="0" w:rightChars="0"/>
              <w:jc w:val="center"/>
              <w:rPr>
                <w:rFonts w:hint="default" w:hAnsi="宋体" w:eastAsia="宋体"/>
                <w:b/>
                <w:sz w:val="21"/>
                <w:szCs w:val="21"/>
                <w:lang w:val="en-US" w:eastAsia="zh-CN"/>
              </w:rPr>
            </w:pPr>
            <w:r>
              <w:rPr>
                <w:rFonts w:hint="eastAsia" w:hAnsi="宋体"/>
                <w:b/>
                <w:sz w:val="21"/>
                <w:szCs w:val="21"/>
                <w:lang w:val="en-US" w:eastAsia="zh-CN"/>
              </w:rPr>
              <w:t>1</w:t>
            </w:r>
          </w:p>
        </w:tc>
        <w:tc>
          <w:tcPr>
            <w:tcW w:w="2790" w:type="dxa"/>
            <w:vAlign w:val="center"/>
          </w:tcPr>
          <w:p>
            <w:pPr>
              <w:keepNext w:val="0"/>
              <w:keepLines w:val="0"/>
              <w:suppressLineNumbers w:val="0"/>
              <w:spacing w:before="0" w:beforeAutospacing="0" w:after="0" w:afterAutospacing="0" w:line="560" w:lineRule="exact"/>
              <w:ind w:left="0" w:leftChars="0" w:right="0" w:rightChars="0"/>
              <w:jc w:val="center"/>
              <w:rPr>
                <w:rFonts w:hint="eastAsia" w:hAnsi="宋体" w:eastAsia="宋体"/>
                <w:b/>
                <w:sz w:val="21"/>
                <w:szCs w:val="21"/>
                <w:lang w:eastAsia="zh-CN"/>
              </w:rPr>
            </w:pPr>
            <w:r>
              <w:rPr>
                <w:rFonts w:hint="eastAsia" w:hAnsi="宋体"/>
                <w:b/>
                <w:sz w:val="21"/>
                <w:szCs w:val="21"/>
              </w:rPr>
              <w:t>详见</w:t>
            </w:r>
            <w:r>
              <w:rPr>
                <w:rFonts w:hint="eastAsia" w:hAnsi="宋体"/>
                <w:b/>
                <w:sz w:val="21"/>
                <w:szCs w:val="21"/>
                <w:lang w:val="en-US" w:eastAsia="zh-CN"/>
              </w:rPr>
              <w:t>谈判文件第四章</w:t>
            </w:r>
          </w:p>
        </w:tc>
        <w:tc>
          <w:tcPr>
            <w:tcW w:w="1770" w:type="dxa"/>
            <w:vAlign w:val="center"/>
          </w:tcPr>
          <w:p>
            <w:pPr>
              <w:keepNext w:val="0"/>
              <w:keepLines w:val="0"/>
              <w:suppressLineNumbers w:val="0"/>
              <w:spacing w:before="0" w:beforeAutospacing="0" w:after="0" w:afterAutospacing="0" w:line="560" w:lineRule="exact"/>
              <w:ind w:left="0" w:leftChars="0" w:right="0" w:rightChars="0"/>
              <w:jc w:val="center"/>
              <w:rPr>
                <w:rFonts w:hAnsi="宋体"/>
                <w:b/>
                <w:sz w:val="21"/>
                <w:szCs w:val="21"/>
              </w:rPr>
            </w:pPr>
            <w:r>
              <w:rPr>
                <w:rFonts w:hint="eastAsia" w:hAnsi="宋体"/>
                <w:b/>
                <w:sz w:val="21"/>
                <w:szCs w:val="21"/>
                <w:lang w:val="en-US" w:eastAsia="zh-CN"/>
              </w:rPr>
              <w:t>459101</w:t>
            </w:r>
            <w:r>
              <w:rPr>
                <w:rFonts w:hint="eastAsia" w:hAnsi="宋体"/>
                <w:b/>
                <w:sz w:val="21"/>
                <w:szCs w:val="21"/>
              </w:rPr>
              <w:t>.00</w:t>
            </w:r>
          </w:p>
        </w:tc>
      </w:tr>
    </w:tbl>
    <w:p>
      <w:pPr>
        <w:pStyle w:val="24"/>
        <w:spacing w:line="360" w:lineRule="auto"/>
        <w:ind w:firstLine="482"/>
        <w:rPr>
          <w:rFonts w:ascii="宋体" w:hAnsi="宋体"/>
          <w:b/>
          <w:sz w:val="24"/>
          <w:szCs w:val="24"/>
        </w:rPr>
      </w:pPr>
      <w:r>
        <w:rPr>
          <w:rFonts w:hint="eastAsia" w:ascii="宋体" w:hAnsi="宋体"/>
          <w:b/>
          <w:sz w:val="24"/>
          <w:szCs w:val="24"/>
        </w:rPr>
        <w:t>二.供应商的资格要求</w:t>
      </w:r>
    </w:p>
    <w:p>
      <w:pPr>
        <w:autoSpaceDE w:val="0"/>
        <w:autoSpaceDN w:val="0"/>
        <w:adjustRightInd w:val="0"/>
        <w:snapToGrid w:val="0"/>
        <w:spacing w:line="240" w:lineRule="auto"/>
        <w:ind w:right="0" w:firstLine="480" w:firstLineChars="200"/>
        <w:rPr>
          <w:rFonts w:hint="eastAsia" w:ascii="宋体" w:hAnsi="宋体" w:cs="宋体"/>
          <w:sz w:val="24"/>
          <w:szCs w:val="24"/>
        </w:rPr>
      </w:pPr>
      <w:r>
        <w:rPr>
          <w:rFonts w:hint="eastAsia" w:ascii="宋体" w:hAnsi="宋体" w:cs="宋体"/>
          <w:sz w:val="24"/>
          <w:szCs w:val="24"/>
        </w:rPr>
        <w:t>1、供应商应符合《中华人民共和国政府采购法》第二十二条规定的条件；</w:t>
      </w:r>
    </w:p>
    <w:p>
      <w:pPr>
        <w:pStyle w:val="2"/>
        <w:spacing w:line="24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投标人须具备有效的中国环境标志产品认证证书；</w:t>
      </w:r>
    </w:p>
    <w:p>
      <w:pPr>
        <w:pStyle w:val="2"/>
        <w:spacing w:line="240" w:lineRule="auto"/>
        <w:ind w:firstLine="480" w:firstLineChars="200"/>
        <w:rPr>
          <w:rFonts w:ascii="Verdana" w:hAnsi="Verdana" w:cs="Verdana"/>
          <w:color w:val="000000"/>
          <w:sz w:val="21"/>
          <w:szCs w:val="21"/>
          <w:shd w:val="clear" w:color="auto" w:fill="FFFFFF"/>
        </w:rPr>
      </w:pPr>
      <w:r>
        <w:rPr>
          <w:rFonts w:hint="eastAsia" w:ascii="宋体" w:hAnsi="宋体" w:cs="宋体"/>
          <w:sz w:val="24"/>
          <w:szCs w:val="24"/>
          <w:lang w:val="en-US" w:eastAsia="zh-CN"/>
        </w:rPr>
        <w:t>3、</w:t>
      </w:r>
      <w:r>
        <w:rPr>
          <w:rFonts w:hint="eastAsia" w:ascii="宋体" w:hAnsi="宋体" w:cs="宋体"/>
          <w:sz w:val="24"/>
          <w:szCs w:val="24"/>
        </w:rPr>
        <w:t>本项目不接受联合体投标。</w:t>
      </w:r>
    </w:p>
    <w:p>
      <w:pPr>
        <w:spacing w:line="360" w:lineRule="auto"/>
        <w:ind w:firstLine="482" w:firstLineChars="200"/>
        <w:textAlignment w:val="baseline"/>
        <w:rPr>
          <w:rFonts w:ascii="宋体" w:hAnsi="宋体"/>
          <w:b/>
          <w:color w:val="000000"/>
          <w:sz w:val="24"/>
          <w:szCs w:val="24"/>
        </w:rPr>
      </w:pPr>
      <w:r>
        <w:rPr>
          <w:rFonts w:hint="eastAsia" w:ascii="宋体" w:hAnsi="宋体"/>
          <w:b/>
          <w:color w:val="000000"/>
          <w:sz w:val="24"/>
          <w:szCs w:val="24"/>
        </w:rPr>
        <w:t>三.获取谈判文件的时间、地点、方式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符合上述条件的供应商可于</w:t>
      </w:r>
      <w:r>
        <w:rPr>
          <w:rFonts w:hint="eastAsia" w:ascii="宋体" w:hAnsi="宋体"/>
          <w:sz w:val="24"/>
          <w:szCs w:val="24"/>
          <w:lang w:eastAsia="zh-CN"/>
        </w:rPr>
        <w:t>2020年03月16日</w:t>
      </w:r>
      <w:r>
        <w:rPr>
          <w:rFonts w:hint="eastAsia" w:ascii="宋体" w:hAnsi="宋体"/>
          <w:sz w:val="24"/>
          <w:szCs w:val="24"/>
        </w:rPr>
        <w:t>起登录内蒙古自治区政府采购网、内蒙古自治区公共资源交易网、鄂尔多斯市政府采购网、鄂尔多斯市公共资源交易网、鄂尔多斯市鄂托克前旗公共资源交易中心网、鄂托克前旗人民政府网站获取谈判文件。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1.内蒙古自治区政府采购网（http://www.nmgp.gov.cn）。登录网站页面，在“盟市旗县采购公告”中查询采购信息，点击信息公告页面下方的“相关附件”即可浏览、下载谈判文件。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3.鄂尔多斯市政府采购网（http://www.ordoscg.gov.cn）。登陆网站页面，点击“政府采购公告”，查询采购信息，点击信息公告页面中“下载谈判文件”可浏览、下载谈判文件。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4.鄂尔多斯市公共资源交易网（http://www.ordosggzyjy.org.cn）。登陆网站页面，点击“政府采购”中的“信息公告”栏，查询采购信息，点击信息公告页面左下角“附件”即可浏览、下载谈判文件。</w:t>
      </w:r>
    </w:p>
    <w:p>
      <w:pPr>
        <w:spacing w:line="500" w:lineRule="exact"/>
        <w:ind w:firstLine="480" w:firstLineChars="200"/>
        <w:rPr>
          <w:rFonts w:ascii="宋体" w:hAnsi="宋体"/>
          <w:bCs/>
          <w:sz w:val="24"/>
          <w:szCs w:val="24"/>
        </w:rPr>
      </w:pPr>
      <w:r>
        <w:rPr>
          <w:rFonts w:hint="eastAsia" w:ascii="宋体" w:hAnsi="宋体"/>
          <w:sz w:val="24"/>
          <w:szCs w:val="24"/>
        </w:rPr>
        <w:t>5.</w:t>
      </w:r>
      <w:r>
        <w:rPr>
          <w:rFonts w:hint="eastAsia" w:ascii="宋体" w:hAnsi="宋体"/>
          <w:bCs/>
          <w:sz w:val="24"/>
          <w:szCs w:val="24"/>
        </w:rPr>
        <w:t>鄂尔多斯市鄂托克前旗公共资源交易网（http://www.ordosggzyjy.org.cn/TPFront_etkqq/）。登陆网站页面，点击“政府采购”中的“信息公告”栏，查询采购信息，点击信息公告页面左下角“附件”即可浏览、下载</w:t>
      </w:r>
      <w:r>
        <w:rPr>
          <w:rFonts w:hint="eastAsia" w:ascii="宋体" w:hAnsi="宋体"/>
          <w:bCs/>
          <w:sz w:val="24"/>
          <w:szCs w:val="24"/>
          <w:lang w:eastAsia="zh-CN"/>
        </w:rPr>
        <w:t>谈判文件</w:t>
      </w:r>
      <w:r>
        <w:rPr>
          <w:rFonts w:hint="eastAsia" w:ascii="宋体" w:hAnsi="宋体"/>
          <w:bCs/>
          <w:sz w:val="24"/>
          <w:szCs w:val="24"/>
        </w:rPr>
        <w:t>。</w:t>
      </w:r>
    </w:p>
    <w:p>
      <w:pPr>
        <w:spacing w:line="500" w:lineRule="exact"/>
        <w:ind w:firstLine="480" w:firstLineChars="200"/>
        <w:rPr>
          <w:rFonts w:ascii="宋体" w:hAnsi="宋体"/>
          <w:bCs/>
          <w:sz w:val="24"/>
          <w:szCs w:val="24"/>
        </w:rPr>
      </w:pPr>
      <w:r>
        <w:rPr>
          <w:rFonts w:hint="eastAsia" w:ascii="宋体" w:hAnsi="宋体"/>
          <w:bCs/>
          <w:sz w:val="24"/>
          <w:szCs w:val="24"/>
        </w:rPr>
        <w:t>6. 报名时间：</w:t>
      </w:r>
      <w:r>
        <w:rPr>
          <w:rFonts w:hint="eastAsia" w:ascii="宋体" w:hAnsi="宋体"/>
          <w:bCs/>
          <w:sz w:val="24"/>
          <w:szCs w:val="24"/>
          <w:lang w:eastAsia="zh-CN"/>
        </w:rPr>
        <w:t>2020年03月16日</w:t>
      </w:r>
      <w:r>
        <w:rPr>
          <w:rFonts w:hint="eastAsia" w:ascii="宋体" w:hAnsi="宋体"/>
          <w:bCs/>
          <w:sz w:val="24"/>
          <w:szCs w:val="24"/>
        </w:rPr>
        <w:t>至</w:t>
      </w:r>
      <w:r>
        <w:rPr>
          <w:rFonts w:hint="eastAsia" w:ascii="宋体" w:hAnsi="宋体"/>
          <w:bCs/>
          <w:sz w:val="24"/>
          <w:szCs w:val="24"/>
          <w:lang w:eastAsia="zh-CN"/>
        </w:rPr>
        <w:t>2020年03月20日</w:t>
      </w:r>
      <w:r>
        <w:rPr>
          <w:rFonts w:hint="eastAsia" w:ascii="宋体" w:hAnsi="宋体"/>
          <w:bCs/>
          <w:sz w:val="24"/>
          <w:szCs w:val="24"/>
        </w:rPr>
        <w:t>下午17时30分止。。</w:t>
      </w:r>
    </w:p>
    <w:p>
      <w:pPr>
        <w:spacing w:line="360" w:lineRule="auto"/>
        <w:ind w:firstLine="482" w:firstLineChars="200"/>
        <w:textAlignment w:val="baseline"/>
        <w:rPr>
          <w:rFonts w:ascii="宋体" w:hAnsi="宋体"/>
          <w:b/>
          <w:sz w:val="24"/>
          <w:szCs w:val="24"/>
        </w:rPr>
      </w:pPr>
      <w:r>
        <w:rPr>
          <w:rFonts w:hint="eastAsia" w:ascii="宋体" w:hAnsi="宋体"/>
          <w:b/>
          <w:sz w:val="24"/>
          <w:szCs w:val="24"/>
        </w:rPr>
        <w:t>四.谈判文件售价</w:t>
      </w:r>
    </w:p>
    <w:p>
      <w:pPr>
        <w:spacing w:line="360" w:lineRule="auto"/>
        <w:ind w:firstLine="480" w:firstLineChars="200"/>
        <w:rPr>
          <w:rFonts w:ascii="宋体" w:hAnsi="宋体"/>
          <w:sz w:val="24"/>
          <w:szCs w:val="24"/>
        </w:rPr>
      </w:pPr>
      <w:r>
        <w:rPr>
          <w:rFonts w:hint="eastAsia" w:ascii="宋体" w:hAnsi="宋体"/>
          <w:sz w:val="24"/>
          <w:szCs w:val="24"/>
        </w:rPr>
        <w:t>本次谈判文件的售价为0元人民币。</w:t>
      </w:r>
    </w:p>
    <w:p>
      <w:pPr>
        <w:spacing w:line="360" w:lineRule="auto"/>
        <w:ind w:firstLine="482" w:firstLineChars="200"/>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递交投标（响应）文件截止时间：</w:t>
      </w:r>
      <w:r>
        <w:rPr>
          <w:rFonts w:hint="eastAsia" w:ascii="宋体" w:hAnsi="宋体"/>
          <w:sz w:val="24"/>
          <w:szCs w:val="24"/>
          <w:lang w:eastAsia="zh-CN"/>
        </w:rPr>
        <w:t>2020年03月27日下午15时00分</w:t>
      </w:r>
    </w:p>
    <w:p>
      <w:pPr>
        <w:spacing w:line="360" w:lineRule="auto"/>
        <w:ind w:firstLine="480" w:firstLineChars="200"/>
        <w:rPr>
          <w:rFonts w:ascii="宋体" w:hAnsi="宋体"/>
          <w:sz w:val="24"/>
          <w:szCs w:val="24"/>
        </w:rPr>
      </w:pPr>
      <w:r>
        <w:rPr>
          <w:rFonts w:hint="eastAsia" w:ascii="宋体" w:hAnsi="宋体"/>
          <w:sz w:val="24"/>
          <w:szCs w:val="24"/>
        </w:rPr>
        <w:t>投标地点：鄂尔多斯市鄂托克前旗公共资源交易中心开标二室（鄂托克前旗公园西路文化产业园东区C2座）</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开标时间：</w:t>
      </w:r>
      <w:r>
        <w:rPr>
          <w:rFonts w:hint="eastAsia" w:ascii="宋体" w:hAnsi="宋体"/>
          <w:sz w:val="24"/>
          <w:szCs w:val="24"/>
          <w:lang w:eastAsia="zh-CN"/>
        </w:rPr>
        <w:t>2020年03月27日下午15时00分</w:t>
      </w:r>
    </w:p>
    <w:p>
      <w:pPr>
        <w:spacing w:line="360" w:lineRule="auto"/>
        <w:ind w:firstLine="480" w:firstLineChars="200"/>
        <w:rPr>
          <w:rFonts w:ascii="宋体" w:hAnsi="宋体"/>
          <w:sz w:val="24"/>
          <w:szCs w:val="24"/>
        </w:rPr>
      </w:pPr>
      <w:r>
        <w:rPr>
          <w:rFonts w:hint="eastAsia" w:ascii="宋体" w:hAnsi="宋体"/>
          <w:sz w:val="24"/>
          <w:szCs w:val="24"/>
        </w:rPr>
        <w:t>开标地点：鄂尔多斯市鄂托克前旗公共资源交易中心开标二室（鄂托克前旗公园西路文化产业园东区C2座）</w:t>
      </w:r>
    </w:p>
    <w:p>
      <w:pPr>
        <w:spacing w:line="360" w:lineRule="auto"/>
        <w:ind w:firstLine="482" w:firstLineChars="200"/>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采购代理机构名称：鄂尔多斯市鄂托克前旗公共资源交易中心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鄂托克前旗公园西路文化产业园东区C2座</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ascii="宋体" w:hAnsi="宋体"/>
          <w:color w:val="000000"/>
          <w:sz w:val="24"/>
          <w:szCs w:val="24"/>
        </w:rPr>
      </w:pPr>
      <w:r>
        <w:rPr>
          <w:rFonts w:hint="eastAsia" w:ascii="宋体" w:hAnsi="宋体"/>
          <w:sz w:val="24"/>
          <w:szCs w:val="24"/>
        </w:rPr>
        <w:t>联系人：宋晨宏     联系电话：0477-7621750</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鄂托克前旗文物保护管理所</w:t>
      </w:r>
    </w:p>
    <w:p>
      <w:pPr>
        <w:spacing w:line="360" w:lineRule="auto"/>
        <w:ind w:firstLine="480" w:firstLineChars="200"/>
        <w:rPr>
          <w:rFonts w:ascii="宋体" w:hAnsi="宋体"/>
          <w:sz w:val="24"/>
          <w:szCs w:val="24"/>
        </w:rPr>
      </w:pPr>
      <w:r>
        <w:rPr>
          <w:rFonts w:hint="eastAsia" w:ascii="宋体" w:hAnsi="宋体"/>
          <w:sz w:val="24"/>
          <w:szCs w:val="24"/>
        </w:rPr>
        <w:t>地址：</w:t>
      </w:r>
      <w:r>
        <w:rPr>
          <w:rFonts w:hint="eastAsia" w:ascii="宋体" w:hAnsi="宋体"/>
          <w:sz w:val="24"/>
          <w:szCs w:val="24"/>
          <w:lang w:eastAsia="zh-CN"/>
        </w:rPr>
        <w:t>鄂托克前旗敖勒召其镇</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联系人：</w:t>
      </w:r>
      <w:r>
        <w:rPr>
          <w:rFonts w:hint="eastAsia" w:ascii="宋体" w:hAnsi="宋体"/>
          <w:color w:val="auto"/>
          <w:sz w:val="24"/>
          <w:szCs w:val="24"/>
          <w:lang w:eastAsia="zh-CN"/>
        </w:rPr>
        <w:t>李余飞</w:t>
      </w:r>
      <w:r>
        <w:rPr>
          <w:rFonts w:hint="eastAsia" w:ascii="宋体" w:hAnsi="宋体"/>
          <w:color w:val="auto"/>
          <w:sz w:val="24"/>
          <w:szCs w:val="24"/>
        </w:rPr>
        <w:t xml:space="preserve">       联系电话：</w:t>
      </w:r>
      <w:r>
        <w:rPr>
          <w:rFonts w:hint="eastAsia" w:ascii="宋体" w:hAnsi="宋体"/>
          <w:color w:val="auto"/>
          <w:sz w:val="24"/>
          <w:szCs w:val="24"/>
          <w:lang w:eastAsia="zh-CN"/>
        </w:rPr>
        <w:t>13948373537</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鄂尔多斯市鄂托克前旗公共资源交易中心</w:t>
      </w:r>
    </w:p>
    <w:p>
      <w:pPr>
        <w:spacing w:line="360" w:lineRule="auto"/>
        <w:ind w:firstLine="4680" w:firstLineChars="1950"/>
        <w:rPr>
          <w:rFonts w:hint="eastAsia" w:eastAsia="宋体"/>
          <w:lang w:eastAsia="zh-CN"/>
        </w:rPr>
      </w:pPr>
      <w:r>
        <w:rPr>
          <w:rFonts w:hint="eastAsia" w:ascii="宋体" w:hAnsi="宋体"/>
          <w:sz w:val="24"/>
          <w:szCs w:val="24"/>
        </w:rPr>
        <w:t xml:space="preserve">  </w:t>
      </w:r>
      <w:r>
        <w:rPr>
          <w:rFonts w:hint="eastAsia" w:ascii="宋体" w:hAnsi="宋体"/>
          <w:sz w:val="24"/>
          <w:szCs w:val="24"/>
          <w:lang w:eastAsia="zh-CN"/>
        </w:rPr>
        <w:t>2020年03月16日</w:t>
      </w:r>
    </w:p>
    <w:p>
      <w:pPr>
        <w:pStyle w:val="14"/>
        <w:spacing w:line="360" w:lineRule="auto"/>
        <w:rPr>
          <w:rFonts w:ascii="宋体" w:hAnsi="宋体" w:eastAsia="宋体"/>
          <w:color w:val="000000"/>
          <w:sz w:val="24"/>
          <w:szCs w:val="24"/>
        </w:rPr>
      </w:pPr>
      <w:bookmarkStart w:id="5" w:name="_Toc10230"/>
    </w:p>
    <w:p>
      <w:pPr>
        <w:pStyle w:val="14"/>
        <w:spacing w:line="360" w:lineRule="auto"/>
        <w:rPr>
          <w:rFonts w:hint="eastAsia" w:ascii="宋体" w:hAnsi="宋体" w:eastAsia="宋体"/>
          <w:color w:val="000000"/>
          <w:sz w:val="24"/>
          <w:szCs w:val="24"/>
        </w:rPr>
      </w:pPr>
    </w:p>
    <w:p>
      <w:pPr>
        <w:pStyle w:val="14"/>
        <w:spacing w:line="360" w:lineRule="auto"/>
        <w:rPr>
          <w:rFonts w:hint="eastAsia" w:ascii="宋体" w:hAnsi="宋体" w:eastAsia="宋体"/>
          <w:color w:val="000000"/>
          <w:sz w:val="24"/>
          <w:szCs w:val="24"/>
        </w:rPr>
      </w:pPr>
    </w:p>
    <w:p>
      <w:pPr>
        <w:pStyle w:val="14"/>
        <w:spacing w:line="360" w:lineRule="auto"/>
        <w:rPr>
          <w:rFonts w:ascii="宋体" w:hAnsi="宋体" w:eastAsia="宋体"/>
          <w:color w:val="000000"/>
          <w:sz w:val="24"/>
          <w:szCs w:val="24"/>
        </w:rPr>
      </w:pPr>
      <w:r>
        <w:rPr>
          <w:rFonts w:hint="eastAsia" w:ascii="宋体" w:hAnsi="宋体" w:eastAsia="宋体"/>
          <w:color w:val="000000"/>
          <w:sz w:val="24"/>
          <w:szCs w:val="24"/>
        </w:rPr>
        <w:t>第二章 供应商须知</w:t>
      </w:r>
      <w:bookmarkEnd w:id="5"/>
    </w:p>
    <w:p>
      <w:pPr>
        <w:spacing w:line="360" w:lineRule="auto"/>
        <w:rPr>
          <w:rFonts w:ascii="宋体" w:hAnsi="宋体"/>
          <w:b/>
          <w:sz w:val="24"/>
          <w:szCs w:val="24"/>
        </w:rPr>
      </w:pPr>
      <w:r>
        <w:rPr>
          <w:rFonts w:hint="eastAsia" w:ascii="宋体" w:hAnsi="宋体"/>
          <w:b/>
          <w:sz w:val="24"/>
          <w:szCs w:val="24"/>
        </w:rPr>
        <w:t>一.前附表</w:t>
      </w:r>
    </w:p>
    <w:tbl>
      <w:tblPr>
        <w:tblStyle w:val="15"/>
        <w:tblW w:w="99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235"/>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序号</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条款名称</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采购人</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hint="eastAsia" w:ascii="宋体" w:hAnsi="宋体"/>
                <w:sz w:val="24"/>
                <w:szCs w:val="24"/>
                <w:lang w:eastAsia="zh-CN"/>
              </w:rPr>
            </w:pPr>
            <w:r>
              <w:rPr>
                <w:rFonts w:hint="eastAsia" w:ascii="宋体" w:hAnsi="宋体"/>
                <w:sz w:val="24"/>
                <w:szCs w:val="24"/>
                <w:lang w:eastAsia="zh-CN"/>
              </w:rPr>
              <w:t>鄂托克前旗文物保护管理所</w:t>
            </w:r>
          </w:p>
          <w:p>
            <w:pPr>
              <w:keepNext w:val="0"/>
              <w:keepLines w:val="0"/>
              <w:suppressLineNumbers w:val="0"/>
              <w:spacing w:before="0" w:beforeAutospacing="0" w:after="0" w:afterAutospacing="0" w:line="360" w:lineRule="auto"/>
              <w:ind w:left="0" w:right="-140" w:rightChars="-50"/>
              <w:rPr>
                <w:rFonts w:hint="eastAsia" w:ascii="宋体" w:hAnsi="宋体" w:eastAsia="宋体"/>
                <w:color w:val="auto"/>
                <w:sz w:val="24"/>
                <w:szCs w:val="24"/>
                <w:lang w:eastAsia="zh-CN"/>
              </w:rPr>
            </w:pPr>
            <w:r>
              <w:rPr>
                <w:rFonts w:hint="eastAsia" w:ascii="宋体" w:hAnsi="宋体"/>
                <w:color w:val="auto"/>
                <w:sz w:val="24"/>
                <w:szCs w:val="24"/>
              </w:rPr>
              <w:t>联系人：</w:t>
            </w:r>
            <w:r>
              <w:rPr>
                <w:rFonts w:hint="eastAsia" w:ascii="宋体" w:hAnsi="宋体"/>
                <w:color w:val="auto"/>
                <w:sz w:val="24"/>
                <w:szCs w:val="24"/>
                <w:lang w:eastAsia="zh-CN"/>
              </w:rPr>
              <w:t>李余飞</w:t>
            </w:r>
            <w:r>
              <w:rPr>
                <w:rFonts w:hint="eastAsia" w:ascii="宋体" w:hAnsi="宋体"/>
                <w:color w:val="auto"/>
                <w:sz w:val="24"/>
                <w:szCs w:val="24"/>
              </w:rPr>
              <w:t xml:space="preserve">       联系电话：</w:t>
            </w:r>
            <w:r>
              <w:rPr>
                <w:rFonts w:hint="eastAsia" w:ascii="宋体" w:hAnsi="宋体"/>
                <w:color w:val="auto"/>
                <w:sz w:val="24"/>
                <w:szCs w:val="24"/>
                <w:lang w:eastAsia="zh-CN"/>
              </w:rPr>
              <w:t>13948373537</w:t>
            </w:r>
          </w:p>
          <w:p>
            <w:pPr>
              <w:keepNext w:val="0"/>
              <w:keepLines w:val="0"/>
              <w:suppressLineNumbers w:val="0"/>
              <w:spacing w:before="0" w:beforeAutospacing="0" w:after="0" w:afterAutospacing="0" w:line="360" w:lineRule="auto"/>
              <w:ind w:left="0" w:right="-140" w:rightChars="-50"/>
              <w:rPr>
                <w:rFonts w:hint="eastAsia" w:ascii="宋体" w:hAnsi="宋体" w:eastAsia="宋体"/>
                <w:sz w:val="24"/>
                <w:szCs w:val="24"/>
                <w:lang w:eastAsia="zh-CN"/>
              </w:rPr>
            </w:pPr>
            <w:r>
              <w:rPr>
                <w:rFonts w:hint="eastAsia" w:ascii="宋体" w:hAnsi="宋体"/>
                <w:sz w:val="24"/>
                <w:szCs w:val="24"/>
              </w:rPr>
              <w:t>地址：</w:t>
            </w:r>
            <w:r>
              <w:rPr>
                <w:rFonts w:hint="eastAsia" w:ascii="宋体" w:hAnsi="宋体"/>
                <w:sz w:val="24"/>
                <w:szCs w:val="24"/>
                <w:lang w:eastAsia="zh-CN"/>
              </w:rPr>
              <w:t>鄂托克前旗敖勒召其镇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采购代理机构</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ascii="宋体" w:hAnsi="宋体"/>
                <w:sz w:val="24"/>
                <w:szCs w:val="24"/>
              </w:rPr>
            </w:pPr>
            <w:r>
              <w:rPr>
                <w:rFonts w:hint="eastAsia" w:ascii="宋体" w:hAnsi="宋体"/>
                <w:sz w:val="24"/>
                <w:szCs w:val="24"/>
              </w:rPr>
              <w:t xml:space="preserve">鄂尔多斯市鄂托克前旗公共资源交易中心 </w:t>
            </w:r>
          </w:p>
          <w:p>
            <w:pPr>
              <w:keepNext w:val="0"/>
              <w:keepLines w:val="0"/>
              <w:suppressLineNumbers w:val="0"/>
              <w:spacing w:before="0" w:beforeAutospacing="0" w:after="0" w:afterAutospacing="0" w:line="360" w:lineRule="auto"/>
              <w:ind w:left="0" w:right="-140" w:rightChars="-50"/>
              <w:rPr>
                <w:rFonts w:ascii="宋体" w:hAnsi="宋体"/>
                <w:sz w:val="24"/>
                <w:szCs w:val="24"/>
              </w:rPr>
            </w:pPr>
            <w:r>
              <w:rPr>
                <w:rFonts w:hint="eastAsia" w:ascii="宋体" w:hAnsi="宋体"/>
                <w:sz w:val="24"/>
                <w:szCs w:val="24"/>
              </w:rPr>
              <w:t>联系人：宋晨宏       联系电话：0477-7621750</w:t>
            </w:r>
          </w:p>
          <w:p>
            <w:pPr>
              <w:keepNext w:val="0"/>
              <w:keepLines w:val="0"/>
              <w:suppressLineNumbers w:val="0"/>
              <w:spacing w:before="0" w:beforeAutospacing="0" w:after="0" w:afterAutospacing="0" w:line="360" w:lineRule="auto"/>
              <w:ind w:left="0" w:right="-140" w:rightChars="-50"/>
              <w:rPr>
                <w:rFonts w:ascii="宋体" w:hAnsi="宋体"/>
                <w:sz w:val="24"/>
                <w:szCs w:val="24"/>
              </w:rPr>
            </w:pPr>
            <w:r>
              <w:rPr>
                <w:rFonts w:hint="eastAsia" w:ascii="宋体" w:hAnsi="宋体"/>
                <w:sz w:val="24"/>
                <w:szCs w:val="24"/>
              </w:rPr>
              <w:t>地址：</w:t>
            </w:r>
            <w:r>
              <w:rPr>
                <w:rFonts w:hint="eastAsia" w:ascii="宋体" w:hAnsi="宋体"/>
                <w:color w:val="000000"/>
                <w:sz w:val="24"/>
                <w:szCs w:val="24"/>
              </w:rPr>
              <w:t>鄂托克前旗公园西路文化产业园东区C2座</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项目内容及要求</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line="360" w:lineRule="auto"/>
              <w:ind w:left="0" w:right="0"/>
              <w:textAlignment w:val="baseline"/>
              <w:rPr>
                <w:rFonts w:ascii="宋体" w:hAnsi="宋体"/>
                <w:sz w:val="24"/>
                <w:szCs w:val="24"/>
              </w:rPr>
            </w:pPr>
            <w:r>
              <w:rPr>
                <w:rFonts w:hint="eastAsia" w:ascii="宋体" w:hAnsi="宋体"/>
                <w:sz w:val="24"/>
                <w:szCs w:val="24"/>
              </w:rPr>
              <w:t>详见谈判文件第四章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采购预算</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sz w:val="24"/>
                <w:szCs w:val="24"/>
                <w:u w:val="single"/>
              </w:rPr>
              <w:t xml:space="preserve"> </w:t>
            </w:r>
            <w:bookmarkStart w:id="58" w:name="_GoBack"/>
            <w:bookmarkEnd w:id="58"/>
            <w:r>
              <w:rPr>
                <w:rFonts w:hint="eastAsia" w:ascii="宋体" w:hAnsi="宋体"/>
                <w:sz w:val="24"/>
                <w:szCs w:val="24"/>
                <w:u w:val="single"/>
                <w:lang w:val="en-US" w:eastAsia="zh-CN"/>
              </w:rPr>
              <w:t>459101</w:t>
            </w:r>
            <w:r>
              <w:rPr>
                <w:rFonts w:hint="eastAsia" w:ascii="宋体" w:hAnsi="宋体"/>
                <w:sz w:val="24"/>
                <w:szCs w:val="24"/>
                <w:u w:val="single"/>
              </w:rPr>
              <w:t xml:space="preserve">.00  </w:t>
            </w:r>
            <w:r>
              <w:rPr>
                <w:rFonts w:hint="eastAsia" w:ascii="宋体" w:hAnsi="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分包情况</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sz w:val="24"/>
                <w:szCs w:val="24"/>
              </w:rPr>
              <w:t>☑一整包、□共</w:t>
            </w:r>
            <w:r>
              <w:rPr>
                <w:rFonts w:hint="eastAsia" w:ascii="宋体" w:hAnsi="宋体"/>
                <w:sz w:val="24"/>
                <w:szCs w:val="24"/>
                <w:u w:val="single"/>
              </w:rPr>
              <w:t xml:space="preserve">  </w:t>
            </w:r>
            <w:r>
              <w:rPr>
                <w:rFonts w:hint="eastAsia" w:ascii="宋体" w:hAnsi="宋体"/>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付款方式</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采购方式</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sz w:val="24"/>
                <w:szCs w:val="24"/>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评标办法</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sz w:val="24"/>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谈判小组数量</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rPr>
                <w:rFonts w:ascii="宋体" w:hAnsi="宋体"/>
                <w:sz w:val="24"/>
                <w:szCs w:val="24"/>
              </w:rPr>
            </w:pPr>
            <w:r>
              <w:rPr>
                <w:rFonts w:hint="eastAsia" w:ascii="宋体" w:hAnsi="宋体"/>
                <w:sz w:val="24"/>
                <w:szCs w:val="24"/>
              </w:rPr>
              <w:t>谈判小组依法组建，由采购人代表和评审专家组成共</w:t>
            </w:r>
            <w:r>
              <w:rPr>
                <w:rFonts w:hint="eastAsia" w:ascii="宋体" w:hAnsi="宋体"/>
                <w:sz w:val="24"/>
                <w:szCs w:val="24"/>
                <w:u w:val="single"/>
              </w:rPr>
              <w:t xml:space="preserve"> 3 </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成交供应商确定</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ascii="宋体" w:hAnsi="宋体"/>
                <w:sz w:val="24"/>
                <w:szCs w:val="24"/>
              </w:rPr>
            </w:pPr>
            <w:r>
              <w:rPr>
                <w:rFonts w:hint="eastAsia" w:ascii="宋体" w:hAnsi="宋体"/>
                <w:sz w:val="24"/>
                <w:szCs w:val="24"/>
                <w:lang w:eastAsia="zh-CN"/>
              </w:rPr>
              <w:t>□</w:t>
            </w:r>
            <w:r>
              <w:rPr>
                <w:rFonts w:hint="eastAsia" w:ascii="宋体" w:hAnsi="宋体"/>
                <w:sz w:val="24"/>
                <w:szCs w:val="24"/>
              </w:rPr>
              <w:t>采购人授权谈判小组直接确定成交供应商</w:t>
            </w:r>
          </w:p>
          <w:p>
            <w:pPr>
              <w:keepNext w:val="0"/>
              <w:keepLines w:val="0"/>
              <w:suppressLineNumbers w:val="0"/>
              <w:spacing w:before="0" w:beforeAutospacing="0" w:after="0" w:afterAutospacing="0" w:line="360" w:lineRule="auto"/>
              <w:ind w:left="-140" w:leftChars="-50" w:right="-140" w:rightChars="-50" w:firstLine="120" w:firstLineChars="50"/>
              <w:rPr>
                <w:rFonts w:ascii="宋体" w:hAnsi="宋体"/>
                <w:sz w:val="24"/>
                <w:szCs w:val="24"/>
              </w:rPr>
            </w:pPr>
            <w:r>
              <w:rPr>
                <w:rFonts w:hint="eastAsia" w:ascii="宋体" w:hAnsi="宋体"/>
                <w:sz w:val="24"/>
                <w:szCs w:val="24"/>
                <w:lang w:eastAsia="zh-CN"/>
              </w:rPr>
              <w:t>☑</w:t>
            </w:r>
            <w:r>
              <w:rPr>
                <w:rFonts w:hint="eastAsia" w:ascii="宋体" w:hAnsi="宋体"/>
                <w:sz w:val="24"/>
                <w:szCs w:val="24"/>
              </w:rPr>
              <w:t>采购人按照谈判报告中推荐的成交候选人确定成交供应商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供应商资格要求</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75" w:firstLineChars="73"/>
              <w:rPr>
                <w:rFonts w:ascii="宋体" w:hAnsi="宋体"/>
                <w:sz w:val="24"/>
                <w:szCs w:val="24"/>
              </w:rPr>
            </w:pPr>
            <w:r>
              <w:rPr>
                <w:rFonts w:hint="eastAsia" w:ascii="宋体" w:hAnsi="宋体"/>
                <w:sz w:val="24"/>
                <w:szCs w:val="24"/>
              </w:rPr>
              <w:t>详见谈判公告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57"/>
              <w:jc w:val="center"/>
              <w:rPr>
                <w:rFonts w:ascii="宋体" w:hAnsi="宋体"/>
                <w:sz w:val="24"/>
                <w:szCs w:val="24"/>
              </w:rPr>
            </w:pPr>
            <w:r>
              <w:rPr>
                <w:rFonts w:hint="eastAsia" w:ascii="宋体" w:hAnsi="宋体"/>
                <w:sz w:val="24"/>
                <w:szCs w:val="24"/>
              </w:rPr>
              <w:t>12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投标有效期</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75" w:firstLineChars="73"/>
              <w:rPr>
                <w:rFonts w:ascii="宋体" w:hAnsi="宋体"/>
                <w:sz w:val="24"/>
                <w:szCs w:val="24"/>
              </w:rPr>
            </w:pPr>
            <w:r>
              <w:rPr>
                <w:rFonts w:hint="eastAsia" w:ascii="宋体" w:hAnsi="宋体"/>
                <w:sz w:val="24"/>
                <w:szCs w:val="24"/>
              </w:rPr>
              <w:t>开标之日起90日历天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sz w:val="24"/>
                <w:szCs w:val="24"/>
              </w:rPr>
              <w:t>响应文件递交时间</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2020年03月27日</w:t>
            </w:r>
            <w:r>
              <w:rPr>
                <w:rFonts w:hint="eastAsia" w:ascii="宋体" w:hAnsi="宋体"/>
                <w:sz w:val="24"/>
                <w:szCs w:val="24"/>
                <w:lang w:val="en-US" w:eastAsia="zh-CN"/>
              </w:rPr>
              <w:t>下</w:t>
            </w:r>
            <w:r>
              <w:rPr>
                <w:rFonts w:hint="eastAsia" w:ascii="宋体" w:hAnsi="宋体"/>
                <w:sz w:val="24"/>
                <w:szCs w:val="24"/>
                <w:lang w:eastAsia="zh-CN"/>
              </w:rPr>
              <w:t>午</w:t>
            </w:r>
            <w:r>
              <w:rPr>
                <w:rFonts w:hint="eastAsia" w:ascii="宋体" w:hAnsi="宋体"/>
                <w:sz w:val="24"/>
                <w:szCs w:val="24"/>
                <w:lang w:val="en-US" w:eastAsia="zh-CN"/>
              </w:rPr>
              <w:t>14</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w:t>
            </w:r>
            <w:r>
              <w:rPr>
                <w:rFonts w:hint="eastAsia" w:ascii="宋体" w:hAnsi="宋体"/>
                <w:sz w:val="24"/>
                <w:szCs w:val="24"/>
                <w:lang w:val="en-US" w:eastAsia="zh-CN"/>
              </w:rPr>
              <w:t>15</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w:t>
            </w:r>
            <w:r>
              <w:rPr>
                <w:rFonts w:hint="eastAsia" w:ascii="宋体" w:hAnsi="宋体"/>
                <w:sz w:val="24"/>
                <w:szCs w:val="24"/>
                <w:lang w:val="en-US" w:eastAsia="zh-CN"/>
              </w:rPr>
              <w:t>截止。</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开标时间</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2020年03月27日下午15时00分</w:t>
            </w:r>
            <w:r>
              <w:rPr>
                <w:rFonts w:hint="eastAsia" w:ascii="宋体" w:hAnsi="宋体"/>
                <w:sz w:val="24"/>
                <w:szCs w:val="24"/>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开标地点（响应文件递交地点）</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rPr>
                <w:rFonts w:ascii="宋体" w:hAnsi="宋体"/>
                <w:sz w:val="24"/>
                <w:szCs w:val="24"/>
              </w:rPr>
            </w:pPr>
            <w:r>
              <w:rPr>
                <w:rFonts w:hint="eastAsia" w:ascii="宋体" w:hAnsi="宋体"/>
                <w:sz w:val="24"/>
                <w:szCs w:val="24"/>
              </w:rPr>
              <w:t>鄂尔多斯市鄂托克前旗公共资源交易中心（鄂托克前旗公园西路文化产业园东区C2座）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响应文件数量</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rPr>
                <w:rFonts w:ascii="宋体" w:hAnsi="宋体"/>
                <w:sz w:val="24"/>
                <w:szCs w:val="24"/>
              </w:rPr>
            </w:pPr>
            <w:r>
              <w:rPr>
                <w:rFonts w:hint="eastAsia" w:ascii="宋体" w:hAnsi="宋体"/>
                <w:sz w:val="24"/>
                <w:szCs w:val="24"/>
              </w:rPr>
              <w:t>正本1份、副本 2份，电子U盘1份（U盘上标明供应商名称）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cs="宋体"/>
                <w:sz w:val="24"/>
                <w:szCs w:val="24"/>
              </w:rPr>
            </w:pPr>
            <w:r>
              <w:rPr>
                <w:rFonts w:hint="eastAsia" w:ascii="宋体" w:hAnsi="宋体" w:cs="宋体"/>
                <w:sz w:val="24"/>
                <w:szCs w:val="24"/>
              </w:rPr>
              <w:t>实物样品（演示）</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contextualSpacing/>
              <w:rPr>
                <w:rFonts w:ascii="宋体" w:hAnsi="宋体"/>
                <w:sz w:val="24"/>
                <w:szCs w:val="24"/>
              </w:rPr>
            </w:pPr>
            <w:r>
              <w:rPr>
                <w:rFonts w:hint="eastAsia" w:ascii="宋体" w:hAnsi="宋体"/>
                <w:sz w:val="24"/>
                <w:szCs w:val="24"/>
                <w:lang w:val="en-US" w:eastAsia="zh-CN"/>
              </w:rPr>
              <w:t>无</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现场踏勘</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ascii="宋体" w:hAnsi="宋体" w:cs="宋体"/>
                <w:sz w:val="24"/>
                <w:szCs w:val="24"/>
                <w:u w:val="single"/>
              </w:rPr>
            </w:pPr>
            <w:r>
              <w:rPr>
                <w:rFonts w:hint="eastAsia" w:ascii="宋体" w:hAnsi="宋体" w:cs="宋体"/>
                <w:sz w:val="24"/>
                <w:szCs w:val="22"/>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备选方案</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联合体投标</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ascii="宋体" w:hAnsi="宋体"/>
                <w:sz w:val="24"/>
                <w:szCs w:val="24"/>
              </w:rPr>
            </w:pPr>
            <w:r>
              <w:rPr>
                <w:rFonts w:hint="eastAsia" w:ascii="宋体" w:hAnsi="宋体"/>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履约保证金</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采购机构代理费用</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投标保证金</w:t>
            </w:r>
          </w:p>
        </w:tc>
        <w:tc>
          <w:tcPr>
            <w:tcW w:w="69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rPr>
            </w:pPr>
            <w:r>
              <w:rPr>
                <w:rFonts w:hint="eastAsia" w:ascii="宋体" w:hAnsi="宋体"/>
                <w:b/>
                <w:sz w:val="24"/>
                <w:szCs w:val="24"/>
                <w:lang w:val="en-US" w:eastAsia="zh-CN"/>
              </w:rPr>
              <w:t>该项目无需缴纳投标保证金</w:t>
            </w:r>
            <w:r>
              <w:rPr>
                <w:rFonts w:hint="eastAsia" w:ascii="宋体" w:hAnsi="宋体"/>
                <w:b/>
                <w:sz w:val="24"/>
                <w:szCs w:val="24"/>
              </w:rPr>
              <w:t>。</w:t>
            </w:r>
          </w:p>
        </w:tc>
      </w:tr>
    </w:tbl>
    <w:p>
      <w:pPr>
        <w:spacing w:line="360" w:lineRule="auto"/>
        <w:ind w:firstLine="482" w:firstLineChars="200"/>
        <w:rPr>
          <w:rFonts w:ascii="宋体" w:hAnsi="宋体"/>
          <w:b/>
          <w:sz w:val="24"/>
          <w:szCs w:val="24"/>
        </w:rPr>
      </w:pPr>
      <w:r>
        <w:rPr>
          <w:rFonts w:hint="eastAsia" w:ascii="宋体" w:hAnsi="宋体"/>
          <w:b/>
          <w:sz w:val="24"/>
          <w:szCs w:val="24"/>
        </w:rPr>
        <w:t>二.报名须知</w:t>
      </w:r>
    </w:p>
    <w:p>
      <w:pPr>
        <w:widowControl/>
        <w:spacing w:line="500" w:lineRule="exact"/>
        <w:ind w:firstLine="480" w:firstLineChars="200"/>
        <w:textAlignment w:val="baseline"/>
        <w:rPr>
          <w:rFonts w:ascii="宋体" w:hAnsi="宋体"/>
          <w:sz w:val="24"/>
          <w:szCs w:val="24"/>
        </w:rPr>
      </w:pPr>
      <w:r>
        <w:rPr>
          <w:rFonts w:hint="eastAsia" w:ascii="宋体" w:hAnsi="宋体"/>
          <w:sz w:val="24"/>
          <w:szCs w:val="24"/>
        </w:rPr>
        <w:t>1、报名方式采用网上报名。</w:t>
      </w:r>
    </w:p>
    <w:p>
      <w:pPr>
        <w:widowControl/>
        <w:spacing w:line="5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rPr>
        <w:t>2、</w:t>
      </w:r>
      <w:r>
        <w:rPr>
          <w:rFonts w:hint="eastAsia" w:ascii="宋体" w:hAnsi="宋体"/>
          <w:sz w:val="24"/>
          <w:szCs w:val="24"/>
          <w:lang w:val="en-US" w:eastAsia="zh-CN"/>
        </w:rPr>
        <w:t>该项目无需缴纳保证金。</w:t>
      </w:r>
    </w:p>
    <w:p>
      <w:pPr>
        <w:widowControl/>
        <w:spacing w:line="500" w:lineRule="exact"/>
        <w:ind w:firstLine="480" w:firstLineChars="200"/>
        <w:textAlignment w:val="baseline"/>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、网上报名成功而放弃参加竞标的竞标人，请在递交响应文件前以书面形式并加盖单位公章（扫描件发送至</w:t>
      </w:r>
      <w:r>
        <w:fldChar w:fldCharType="begin"/>
      </w:r>
      <w:r>
        <w:instrText xml:space="preserve"> HYPERLINK "javascript:;" </w:instrText>
      </w:r>
      <w:r>
        <w:fldChar w:fldCharType="separate"/>
      </w:r>
      <w:r>
        <w:rPr>
          <w:rStyle w:val="21"/>
          <w:rFonts w:hint="eastAsia" w:ascii="宋体" w:hAnsi="宋体"/>
          <w:b/>
          <w:bCs/>
          <w:sz w:val="24"/>
          <w:szCs w:val="24"/>
          <w:shd w:val="clear" w:color="auto" w:fill="FFFFFF"/>
          <w:lang w:eastAsia="zh-CN"/>
        </w:rPr>
        <w:t>453167618</w:t>
      </w:r>
      <w:r>
        <w:rPr>
          <w:rStyle w:val="21"/>
          <w:rFonts w:hint="eastAsia" w:ascii="宋体" w:hAnsi="宋体"/>
          <w:b/>
          <w:bCs/>
          <w:sz w:val="24"/>
          <w:szCs w:val="24"/>
          <w:shd w:val="clear" w:color="auto" w:fill="FFFFFF"/>
        </w:rPr>
        <w:t>@qq</w:t>
      </w:r>
      <w:r>
        <w:rPr>
          <w:rStyle w:val="21"/>
          <w:rFonts w:ascii="宋体" w:hAnsi="宋体"/>
          <w:b/>
          <w:bCs/>
          <w:sz w:val="24"/>
          <w:szCs w:val="24"/>
          <w:shd w:val="clear" w:color="auto" w:fill="FFFFFF"/>
        </w:rPr>
        <w:t>.com</w:t>
      </w:r>
      <w:r>
        <w:rPr>
          <w:rStyle w:val="21"/>
          <w:rFonts w:ascii="宋体" w:hAnsi="宋体"/>
          <w:b/>
          <w:bCs/>
          <w:sz w:val="24"/>
          <w:szCs w:val="24"/>
          <w:shd w:val="clear" w:color="auto" w:fill="FFFFFF"/>
        </w:rPr>
        <w:fldChar w:fldCharType="end"/>
      </w:r>
      <w:r>
        <w:rPr>
          <w:rFonts w:hint="eastAsia" w:ascii="宋体" w:hAnsi="宋体"/>
          <w:sz w:val="24"/>
          <w:szCs w:val="24"/>
        </w:rPr>
        <w:t>或书面送达）通知鄂尔多斯市鄂托克前旗公共资源交易中心。放弃投标未予告知的，鄂尔多斯市鄂托克前旗公共资源交易中心将给予不诚信行为记录。</w:t>
      </w:r>
    </w:p>
    <w:p>
      <w:pPr>
        <w:spacing w:line="360" w:lineRule="auto"/>
        <w:ind w:firstLine="482" w:firstLineChars="200"/>
        <w:rPr>
          <w:rFonts w:ascii="宋体" w:hAnsi="宋体"/>
          <w:b/>
          <w:sz w:val="24"/>
          <w:szCs w:val="24"/>
        </w:rPr>
      </w:pPr>
      <w:r>
        <w:rPr>
          <w:rFonts w:hint="eastAsia" w:ascii="宋体" w:hAnsi="宋体"/>
          <w:b/>
          <w:sz w:val="24"/>
          <w:szCs w:val="24"/>
        </w:rPr>
        <w:t>5.报名及</w:t>
      </w:r>
      <w:r>
        <w:rPr>
          <w:rFonts w:hint="eastAsia" w:ascii="宋体" w:hAnsi="宋体"/>
          <w:b/>
          <w:sz w:val="24"/>
          <w:szCs w:val="24"/>
          <w:lang w:val="en-US" w:eastAsia="zh-CN"/>
        </w:rPr>
        <w:t>投标保证金缴纳</w:t>
      </w:r>
      <w:r>
        <w:rPr>
          <w:rFonts w:hint="eastAsia" w:ascii="宋体" w:hAnsi="宋体"/>
          <w:b/>
          <w:sz w:val="24"/>
          <w:szCs w:val="24"/>
        </w:rPr>
        <w:t>截止时间</w:t>
      </w:r>
    </w:p>
    <w:p>
      <w:pPr>
        <w:spacing w:line="360" w:lineRule="auto"/>
        <w:ind w:firstLine="480" w:firstLineChars="200"/>
        <w:rPr>
          <w:rFonts w:ascii="宋体" w:hAnsi="宋体"/>
          <w:sz w:val="24"/>
          <w:szCs w:val="24"/>
        </w:rPr>
      </w:pPr>
      <w:r>
        <w:rPr>
          <w:rFonts w:hint="eastAsia" w:ascii="宋体" w:hAnsi="宋体"/>
          <w:sz w:val="24"/>
          <w:szCs w:val="24"/>
        </w:rPr>
        <w:t>5.1报名时间（谈判文件提供期限）：</w:t>
      </w:r>
      <w:r>
        <w:rPr>
          <w:rFonts w:hint="eastAsia" w:ascii="宋体" w:hAnsi="宋体"/>
          <w:sz w:val="24"/>
          <w:szCs w:val="24"/>
          <w:lang w:eastAsia="zh-CN"/>
        </w:rPr>
        <w:t>2020年03月16日</w:t>
      </w:r>
      <w:r>
        <w:rPr>
          <w:rFonts w:hint="eastAsia" w:ascii="宋体" w:hAnsi="宋体"/>
          <w:sz w:val="24"/>
          <w:szCs w:val="24"/>
        </w:rPr>
        <w:t>至</w:t>
      </w:r>
      <w:r>
        <w:rPr>
          <w:rFonts w:hint="eastAsia" w:ascii="宋体" w:hAnsi="宋体"/>
          <w:sz w:val="24"/>
          <w:szCs w:val="24"/>
          <w:lang w:eastAsia="zh-CN"/>
        </w:rPr>
        <w:t>2020年03月20日</w:t>
      </w:r>
      <w:r>
        <w:rPr>
          <w:rFonts w:hint="eastAsia" w:ascii="宋体" w:hAnsi="宋体"/>
          <w:sz w:val="24"/>
          <w:szCs w:val="24"/>
        </w:rPr>
        <w:t>下午17时30分止。</w:t>
      </w:r>
    </w:p>
    <w:p>
      <w:pPr>
        <w:spacing w:line="240" w:lineRule="auto"/>
        <w:ind w:firstLine="480" w:firstLineChars="200"/>
        <w:rPr>
          <w:rFonts w:ascii="宋体" w:hAnsi="宋体"/>
          <w:sz w:val="24"/>
          <w:szCs w:val="24"/>
        </w:rPr>
      </w:pPr>
      <w:r>
        <w:rPr>
          <w:rFonts w:hint="eastAsia" w:ascii="宋体" w:hAnsi="宋体"/>
          <w:sz w:val="24"/>
          <w:szCs w:val="24"/>
        </w:rPr>
        <w:t>5.2</w:t>
      </w:r>
      <w:r>
        <w:rPr>
          <w:rFonts w:hint="eastAsia" w:ascii="宋体" w:hAnsi="宋体"/>
          <w:sz w:val="24"/>
          <w:szCs w:val="24"/>
          <w:lang w:val="en-US" w:eastAsia="zh-CN"/>
        </w:rPr>
        <w:t>该项目无需缴纳投标保证金。</w:t>
      </w:r>
    </w:p>
    <w:p>
      <w:pPr>
        <w:spacing w:line="360" w:lineRule="auto"/>
        <w:ind w:firstLine="482" w:firstLineChars="200"/>
        <w:rPr>
          <w:rFonts w:ascii="宋体" w:hAnsi="宋体"/>
          <w:b/>
          <w:sz w:val="24"/>
          <w:szCs w:val="24"/>
        </w:rPr>
      </w:pPr>
      <w:r>
        <w:rPr>
          <w:rFonts w:hint="eastAsia" w:ascii="宋体" w:hAnsi="宋体"/>
          <w:b/>
          <w:sz w:val="24"/>
          <w:szCs w:val="24"/>
        </w:rPr>
        <w:t>三.说明</w:t>
      </w:r>
    </w:p>
    <w:p>
      <w:pPr>
        <w:spacing w:line="360" w:lineRule="auto"/>
        <w:ind w:firstLine="482" w:firstLineChars="200"/>
        <w:rPr>
          <w:rFonts w:ascii="宋体" w:hAnsi="宋体" w:cs="宋体"/>
          <w:b/>
          <w:sz w:val="24"/>
          <w:szCs w:val="24"/>
        </w:rPr>
      </w:pPr>
      <w:r>
        <w:rPr>
          <w:rFonts w:hint="eastAsia" w:ascii="宋体" w:hAnsi="宋体" w:cs="宋体"/>
          <w:b/>
          <w:sz w:val="24"/>
          <w:szCs w:val="24"/>
        </w:rPr>
        <w:t>1.总则</w:t>
      </w:r>
    </w:p>
    <w:p>
      <w:pPr>
        <w:spacing w:line="360" w:lineRule="auto"/>
        <w:ind w:firstLine="480" w:firstLineChars="200"/>
        <w:rPr>
          <w:rFonts w:ascii="宋体" w:hAnsi="宋体"/>
          <w:sz w:val="24"/>
          <w:szCs w:val="24"/>
        </w:rPr>
      </w:pPr>
      <w:r>
        <w:rPr>
          <w:rFonts w:hint="eastAsia" w:ascii="宋体" w:hAnsi="宋体"/>
          <w:sz w:val="24"/>
          <w:szCs w:val="24"/>
        </w:rPr>
        <w:t>本谈判文件依据《中华人民共和国政府采购法》、《中华人民共和国政府采购法实施条例》和《政府采购非招标采购方管理办法》（财政部令第74号）、《政府采购质疑和投诉办法（财政部令第94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供应商应仔细阅读本谈判文件的所有内容（包括答疑、补充、澄清以及修改等），按照谈判文件要求以及格式编制响应文件，并保证其真实性，否则一切后果自负。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政府采购方式为竞争性谈判，指采购人或者采购代理机构以谈判公告的方式邀请不特定的法人或其他组织参加投标，以能够最大限度地满足谈判文件中规定的各项综合评价标准、满足谈判文件的实质性要求，按照本</w:t>
      </w:r>
      <w:r>
        <w:rPr>
          <w:rFonts w:hint="eastAsia" w:ascii="宋体" w:hAnsi="宋体"/>
          <w:sz w:val="24"/>
          <w:szCs w:val="24"/>
          <w:lang w:val="en-US" w:eastAsia="zh-CN"/>
        </w:rPr>
        <w:t>采购</w:t>
      </w:r>
      <w:r>
        <w:rPr>
          <w:rFonts w:hint="eastAsia" w:ascii="宋体" w:hAnsi="宋体"/>
          <w:sz w:val="24"/>
          <w:szCs w:val="24"/>
        </w:rPr>
        <w:t>文件的谈判办法确定成交供应商或推荐成交候选人的采购方式。</w:t>
      </w:r>
    </w:p>
    <w:p>
      <w:pPr>
        <w:pStyle w:val="8"/>
        <w:adjustRightInd w:val="0"/>
        <w:snapToGrid w:val="0"/>
        <w:spacing w:line="360" w:lineRule="auto"/>
        <w:ind w:firstLine="484" w:firstLineChars="201"/>
        <w:rPr>
          <w:rFonts w:hAnsi="宋体"/>
          <w:b/>
          <w:kern w:val="2"/>
          <w:sz w:val="24"/>
          <w:szCs w:val="24"/>
        </w:rPr>
      </w:pPr>
      <w:r>
        <w:rPr>
          <w:rFonts w:hint="eastAsia" w:hAnsi="宋体"/>
          <w:b/>
          <w:kern w:val="2"/>
          <w:sz w:val="24"/>
          <w:szCs w:val="24"/>
        </w:rPr>
        <w:t>2.适用范围</w:t>
      </w:r>
    </w:p>
    <w:p>
      <w:pPr>
        <w:spacing w:line="360" w:lineRule="auto"/>
        <w:ind w:firstLine="482" w:firstLineChars="201"/>
        <w:rPr>
          <w:rFonts w:ascii="宋体" w:hAnsi="宋体" w:cs="宋体"/>
          <w:sz w:val="24"/>
          <w:szCs w:val="24"/>
        </w:rPr>
      </w:pPr>
      <w:r>
        <w:rPr>
          <w:rFonts w:hint="eastAsia" w:ascii="宋体" w:hAnsi="宋体" w:cs="宋体"/>
          <w:sz w:val="24"/>
          <w:szCs w:val="24"/>
        </w:rPr>
        <w:t>本谈判文件仅适用于本次谈判公告中所涉及的项目和内容。</w:t>
      </w:r>
    </w:p>
    <w:p>
      <w:pPr>
        <w:pStyle w:val="8"/>
        <w:adjustRightInd w:val="0"/>
        <w:snapToGrid w:val="0"/>
        <w:spacing w:line="360" w:lineRule="auto"/>
        <w:ind w:firstLine="482" w:firstLineChars="200"/>
        <w:rPr>
          <w:rFonts w:hAnsi="宋体"/>
          <w:b/>
          <w:sz w:val="24"/>
          <w:szCs w:val="24"/>
        </w:rPr>
      </w:pPr>
      <w:r>
        <w:rPr>
          <w:rFonts w:hint="eastAsia" w:hAnsi="宋体"/>
          <w:b/>
          <w:sz w:val="24"/>
          <w:szCs w:val="24"/>
        </w:rPr>
        <w:t>3.投标费用</w:t>
      </w:r>
    </w:p>
    <w:p>
      <w:pPr>
        <w:pStyle w:val="8"/>
        <w:adjustRightInd w:val="0"/>
        <w:snapToGrid w:val="0"/>
        <w:spacing w:line="360" w:lineRule="auto"/>
        <w:ind w:firstLine="480" w:firstLineChars="200"/>
        <w:rPr>
          <w:rFonts w:hAnsi="宋体"/>
          <w:sz w:val="24"/>
          <w:szCs w:val="24"/>
        </w:rPr>
      </w:pPr>
      <w:r>
        <w:rPr>
          <w:rFonts w:hint="eastAsia" w:hAnsi="宋体"/>
          <w:sz w:val="24"/>
          <w:szCs w:val="24"/>
        </w:rPr>
        <w:t>3.1供应商应承担所有与准备和参加投标有关的费用。不论投标结果如何，鄂尔多斯市鄂托克前旗公共资源交易中心和采购人均无义务和责任承担相关费用。</w:t>
      </w:r>
    </w:p>
    <w:p>
      <w:pPr>
        <w:spacing w:line="360" w:lineRule="auto"/>
        <w:ind w:firstLine="482" w:firstLineChars="200"/>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right="-140" w:rightChars="-5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依法进行政府采购的国家机关、事业单位、团体组织。本谈判文件的采购人特指</w:t>
      </w:r>
      <w:r>
        <w:rPr>
          <w:rFonts w:hint="eastAsia" w:ascii="宋体" w:hAnsi="宋体"/>
          <w:sz w:val="24"/>
          <w:szCs w:val="24"/>
          <w:lang w:eastAsia="zh-CN"/>
        </w:rPr>
        <w:t>鄂托克前旗文物保护管理所</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4.2“集中采购机构”是指人民政府依法设立的代理集中采购项目的执行机构。本谈判文件的集中采购机构特指鄂尔多斯市鄂托克前旗公共资源交易中心（以下简称旗公共资源交易中心）。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4.3“供应商”是指向采购人提供货物、工程或者服务的法人、其他组织或者自然人。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4.4“谈判小组”是指根据《中华人民共和国政府采购法》等法律法规规定，由采购人代表和有关专家组成以确定成交供应商或者推荐成交候选人的临时组织。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4.5“成交供应商”是指经谈判小组评审确定的对谈判文件做出实质性响应，取得与采购人签订合同资格的供应商。</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5.合格的供应商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5.1具有独立承担民事责任的能力、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5.2 符合本谈判文件规定的资格要求，并按照要求提供相关证明材料。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5.3单位负责人为同一人或者存在直接控股、管理关系的不同供应商，不得参加同一合同项下的政府采购活动。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5.4为采购项目提供整体设计、规范编制或者项目管理、监理、检测等服务的供应商，不得再参加该采购项目的其他采购活动。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5.5由于法人分支机构不能独立承担民事责任，不能以分支机构的身份参加政府采购，只能以法人身份参加。</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6.以联合体形式投标的，应符合以下规定：</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6.1联合体各方应签订联合体协议书，明确联合体牵头人和各方权利义务，并装订至响应文件中。</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6.3联合体成员存在不良信用记录的，视同联合体存在不良信用记录。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6.4联合体各方中至少应当有一方符合采购人规定的资格要求。由同一资质条件的供应商组成的联合体，应当按照资质等级较低的供应商确定联合体资质等级。</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color w:val="000000"/>
          <w:sz w:val="24"/>
          <w:szCs w:val="24"/>
        </w:rPr>
        <w:t>6.7 投标报名时，应以联合体协议中确定的主体方名义报名，以主体方名义缴纳投标保证金，对联合体各方均具有约束力。</w:t>
      </w:r>
    </w:p>
    <w:p>
      <w:pPr>
        <w:spacing w:line="360" w:lineRule="auto"/>
        <w:ind w:firstLine="482" w:firstLineChars="200"/>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ind w:firstLine="482" w:firstLineChars="200"/>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8.1谈判文件规定组织踏勘现场的，采购人按谈判文件规定的时间、地点组织供应商踏勘项目现场。 </w:t>
      </w:r>
    </w:p>
    <w:p>
      <w:pPr>
        <w:spacing w:line="360" w:lineRule="auto"/>
        <w:ind w:firstLine="480" w:firstLineChars="200"/>
        <w:rPr>
          <w:rFonts w:ascii="宋体" w:hAnsi="宋体"/>
          <w:sz w:val="24"/>
          <w:szCs w:val="24"/>
        </w:rPr>
      </w:pPr>
      <w:r>
        <w:rPr>
          <w:rFonts w:hint="eastAsia" w:ascii="宋体" w:hAnsi="宋体"/>
          <w:sz w:val="24"/>
          <w:szCs w:val="24"/>
        </w:rPr>
        <w:t>8.2供应商自行承担踏勘现场发生的责任、风险和自身费用。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8.3采购人在踏勘现场中提供的资料和数据，仅供供应商在编制响应文件时参考，采购人不对供应商据此作出的判断和决策负责。</w:t>
      </w:r>
    </w:p>
    <w:p>
      <w:pPr>
        <w:spacing w:line="360" w:lineRule="auto"/>
        <w:ind w:firstLine="482" w:firstLineChars="200"/>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无论成交与否供应商递交的响应文件均不予退还。</w:t>
      </w:r>
    </w:p>
    <w:p>
      <w:pPr>
        <w:spacing w:line="360" w:lineRule="auto"/>
        <w:ind w:firstLine="482" w:firstLineChars="200"/>
        <w:rPr>
          <w:rFonts w:ascii="宋体" w:hAnsi="宋体"/>
          <w:b/>
          <w:sz w:val="24"/>
          <w:szCs w:val="24"/>
        </w:rPr>
      </w:pPr>
      <w:r>
        <w:rPr>
          <w:rFonts w:hint="eastAsia" w:ascii="宋体" w:hAnsi="宋体"/>
          <w:b/>
          <w:sz w:val="24"/>
          <w:szCs w:val="24"/>
        </w:rPr>
        <w:t>四.谈判文件</w:t>
      </w:r>
    </w:p>
    <w:p>
      <w:pPr>
        <w:spacing w:line="360" w:lineRule="auto"/>
        <w:ind w:firstLine="482" w:firstLineChars="200"/>
        <w:rPr>
          <w:rFonts w:ascii="宋体" w:hAnsi="宋体"/>
          <w:b/>
          <w:sz w:val="24"/>
          <w:szCs w:val="24"/>
        </w:rPr>
      </w:pPr>
      <w:r>
        <w:rPr>
          <w:rFonts w:hint="eastAsia" w:ascii="宋体" w:hAnsi="宋体"/>
          <w:b/>
          <w:sz w:val="24"/>
          <w:szCs w:val="24"/>
        </w:rPr>
        <w:t>1.谈判文件的构成</w:t>
      </w:r>
    </w:p>
    <w:p>
      <w:pPr>
        <w:spacing w:line="360" w:lineRule="auto"/>
        <w:ind w:firstLine="480" w:firstLineChars="200"/>
        <w:rPr>
          <w:rFonts w:ascii="宋体" w:hAnsi="宋体"/>
          <w:b/>
          <w:sz w:val="24"/>
          <w:szCs w:val="24"/>
        </w:rPr>
      </w:pPr>
      <w:r>
        <w:rPr>
          <w:rFonts w:hint="eastAsia" w:ascii="宋体" w:hAnsi="宋体"/>
          <w:sz w:val="24"/>
          <w:szCs w:val="24"/>
        </w:rPr>
        <w:t>（1）谈判公告；</w:t>
      </w:r>
    </w:p>
    <w:p>
      <w:pPr>
        <w:spacing w:line="360" w:lineRule="auto"/>
        <w:ind w:firstLine="480" w:firstLineChars="200"/>
        <w:rPr>
          <w:rFonts w:ascii="宋体" w:hAnsi="宋体"/>
          <w:sz w:val="24"/>
          <w:szCs w:val="24"/>
        </w:rPr>
      </w:pPr>
      <w:r>
        <w:rPr>
          <w:rFonts w:hint="eastAsia" w:ascii="宋体" w:hAnsi="宋体"/>
          <w:sz w:val="24"/>
          <w:szCs w:val="24"/>
        </w:rPr>
        <w:t>（2）供应商须知；</w:t>
      </w:r>
    </w:p>
    <w:p>
      <w:pPr>
        <w:spacing w:line="360" w:lineRule="auto"/>
        <w:ind w:firstLine="480" w:firstLineChars="200"/>
        <w:rPr>
          <w:rFonts w:ascii="宋体" w:hAnsi="宋体"/>
          <w:sz w:val="24"/>
          <w:szCs w:val="24"/>
        </w:rPr>
      </w:pPr>
      <w:r>
        <w:rPr>
          <w:rFonts w:hint="eastAsia" w:ascii="宋体" w:hAnsi="宋体"/>
          <w:sz w:val="24"/>
          <w:szCs w:val="24"/>
        </w:rPr>
        <w:t>（3）合同条款和格式；</w:t>
      </w:r>
    </w:p>
    <w:p>
      <w:pPr>
        <w:spacing w:line="360" w:lineRule="auto"/>
        <w:ind w:firstLine="480" w:firstLineChars="200"/>
        <w:rPr>
          <w:rFonts w:ascii="宋体" w:hAnsi="宋体"/>
          <w:sz w:val="24"/>
          <w:szCs w:val="24"/>
        </w:rPr>
      </w:pPr>
      <w:r>
        <w:rPr>
          <w:rFonts w:hint="eastAsia" w:ascii="宋体" w:hAnsi="宋体"/>
          <w:sz w:val="24"/>
          <w:szCs w:val="24"/>
        </w:rPr>
        <w:t>（4）谈判内容和技术要求；</w:t>
      </w:r>
    </w:p>
    <w:p>
      <w:pPr>
        <w:spacing w:line="360" w:lineRule="auto"/>
        <w:ind w:firstLine="480" w:firstLineChars="200"/>
        <w:rPr>
          <w:rFonts w:ascii="宋体" w:hAnsi="宋体"/>
          <w:sz w:val="24"/>
          <w:szCs w:val="24"/>
        </w:rPr>
      </w:pPr>
      <w:r>
        <w:rPr>
          <w:rFonts w:hint="eastAsia" w:ascii="宋体" w:hAnsi="宋体"/>
          <w:sz w:val="24"/>
          <w:szCs w:val="24"/>
        </w:rPr>
        <w:t>（5）谈判程序及方法；</w:t>
      </w:r>
    </w:p>
    <w:p>
      <w:pPr>
        <w:spacing w:line="360" w:lineRule="auto"/>
        <w:ind w:firstLine="480" w:firstLineChars="200"/>
        <w:rPr>
          <w:rFonts w:ascii="宋体" w:hAnsi="宋体"/>
          <w:sz w:val="24"/>
          <w:szCs w:val="24"/>
        </w:rPr>
      </w:pPr>
      <w:r>
        <w:rPr>
          <w:rFonts w:hint="eastAsia" w:ascii="宋体" w:hAnsi="宋体"/>
          <w:sz w:val="24"/>
          <w:szCs w:val="24"/>
        </w:rPr>
        <w:t>（6）响应文件格式。</w:t>
      </w:r>
    </w:p>
    <w:p>
      <w:pPr>
        <w:spacing w:line="360" w:lineRule="auto"/>
        <w:ind w:firstLine="482" w:firstLineChars="200"/>
        <w:rPr>
          <w:rFonts w:ascii="宋体" w:hAnsi="宋体"/>
          <w:b/>
          <w:sz w:val="24"/>
          <w:szCs w:val="24"/>
        </w:rPr>
      </w:pPr>
      <w:r>
        <w:rPr>
          <w:rFonts w:hint="eastAsia" w:ascii="宋体" w:hAnsi="宋体"/>
          <w:b/>
          <w:sz w:val="24"/>
          <w:szCs w:val="24"/>
        </w:rPr>
        <w:t>2.谈判文件的澄清或者修改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采购人或采购代理机构需对谈判文件作实质性变动的，应当在规定的截止时间前3个工作日以公告形式告知所有参加谈判的供应商，</w:t>
      </w:r>
      <w:r>
        <w:rPr>
          <w:rFonts w:ascii="宋体" w:hAnsi="宋体"/>
          <w:sz w:val="24"/>
          <w:szCs w:val="24"/>
        </w:rPr>
        <w:t>不足3个工作日的，顺延提交首次响应文件截止之日</w:t>
      </w:r>
      <w:r>
        <w:rPr>
          <w:rFonts w:hint="eastAsia" w:ascii="宋体" w:hAnsi="宋体"/>
          <w:sz w:val="24"/>
          <w:szCs w:val="24"/>
        </w:rPr>
        <w:t>，同时在“内蒙古自治区政府采购网”、“内蒙古自治区公共资源交易网”、“鄂尔多斯市政府采购网”、“鄂尔多斯市公共资源交易网”和“鄂尔多斯市鄂托克前旗公共资源交易中心网”上发布澄清或者变更公告。澄清或者变更公告的内容为谈判文件的组成部分，供应商应自行上网查询，采购人或鄂尔多斯市鄂托克前旗公共资源交易中心不承担供应商未及时关注相关信息的责任。</w:t>
      </w:r>
    </w:p>
    <w:p>
      <w:pPr>
        <w:spacing w:line="360" w:lineRule="auto"/>
        <w:ind w:firstLine="482" w:firstLineChars="200"/>
        <w:rPr>
          <w:rFonts w:ascii="宋体" w:hAnsi="宋体"/>
          <w:b/>
          <w:sz w:val="24"/>
          <w:szCs w:val="24"/>
        </w:rPr>
      </w:pPr>
      <w:r>
        <w:rPr>
          <w:rFonts w:hint="eastAsia" w:ascii="宋体" w:hAnsi="宋体"/>
          <w:b/>
          <w:sz w:val="24"/>
          <w:szCs w:val="24"/>
        </w:rPr>
        <w:t>五.响应文件</w:t>
      </w:r>
    </w:p>
    <w:p>
      <w:pPr>
        <w:spacing w:line="360" w:lineRule="auto"/>
        <w:ind w:firstLine="482" w:firstLineChars="200"/>
        <w:rPr>
          <w:rFonts w:ascii="宋体" w:hAnsi="宋体"/>
          <w:b/>
          <w:sz w:val="24"/>
          <w:szCs w:val="24"/>
        </w:rPr>
      </w:pPr>
      <w:r>
        <w:rPr>
          <w:rFonts w:hint="eastAsia" w:ascii="宋体" w:hAnsi="宋体"/>
          <w:b/>
          <w:sz w:val="24"/>
          <w:szCs w:val="24"/>
        </w:rPr>
        <w:t>1.响应文件的构成</w:t>
      </w:r>
    </w:p>
    <w:p>
      <w:pPr>
        <w:spacing w:line="360" w:lineRule="auto"/>
        <w:ind w:firstLine="480" w:firstLineChars="200"/>
        <w:rPr>
          <w:rFonts w:ascii="宋体" w:hAnsi="宋体"/>
          <w:sz w:val="24"/>
          <w:szCs w:val="24"/>
        </w:rPr>
      </w:pPr>
      <w:r>
        <w:rPr>
          <w:rFonts w:hint="eastAsia" w:ascii="宋体" w:hAnsi="宋体"/>
          <w:sz w:val="24"/>
          <w:szCs w:val="24"/>
        </w:rPr>
        <w:t>响应文件应按照谈判文件第七章“响应文件格式”进行编写（可以增加附页），作为响应文件的组成部分。</w:t>
      </w:r>
    </w:p>
    <w:p>
      <w:pPr>
        <w:spacing w:line="360" w:lineRule="auto"/>
        <w:ind w:firstLine="482" w:firstLineChars="200"/>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供应商应按照“第四章谈判内容与要求”的供货内容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。投标总价中不得包含谈判文件要求以外的内容，否则，在评审时不予核减。</w:t>
      </w:r>
    </w:p>
    <w:p>
      <w:pPr>
        <w:autoSpaceDE w:val="0"/>
        <w:autoSpaceDN w:val="0"/>
        <w:adjustRightInd w:val="0"/>
        <w:snapToGrid w:val="0"/>
        <w:spacing w:line="360" w:lineRule="auto"/>
        <w:ind w:right="-147" w:firstLine="482" w:firstLineChars="200"/>
        <w:rPr>
          <w:rFonts w:ascii="宋体" w:hAnsi="宋体"/>
          <w:b/>
          <w:bCs/>
          <w:kern w:val="0"/>
          <w:sz w:val="24"/>
          <w:szCs w:val="24"/>
        </w:rPr>
      </w:pPr>
      <w:r>
        <w:rPr>
          <w:rFonts w:hint="eastAsia" w:ascii="宋体" w:hAnsi="宋体"/>
          <w:b/>
          <w:bCs/>
          <w:kern w:val="0"/>
          <w:sz w:val="24"/>
          <w:szCs w:val="24"/>
        </w:rPr>
        <w:t xml:space="preserve">2.2 </w:t>
      </w:r>
      <w:r>
        <w:rPr>
          <w:rFonts w:hint="eastAsia" w:ascii="宋体" w:hAnsi="宋体"/>
          <w:b/>
          <w:bCs/>
          <w:sz w:val="24"/>
          <w:szCs w:val="24"/>
        </w:rPr>
        <w:t>投标报价的范</w:t>
      </w:r>
      <w:r>
        <w:rPr>
          <w:rFonts w:hint="eastAsia" w:ascii="宋体" w:hAnsi="宋体"/>
          <w:b/>
          <w:bCs/>
          <w:kern w:val="0"/>
          <w:sz w:val="24"/>
          <w:szCs w:val="24"/>
        </w:rPr>
        <w:t>围：本项目实行两轮报价，第一轮为响应性报价，第二轮为谈判后报价（也是最后报价），必要时可进行第三轮报价。投标报价含本采购文件要求、合同履约需要及供货过程中所产生的全部费用。</w:t>
      </w:r>
    </w:p>
    <w:p>
      <w:pPr>
        <w:tabs>
          <w:tab w:val="left" w:pos="567"/>
        </w:tabs>
        <w:spacing w:line="360" w:lineRule="auto"/>
        <w:ind w:firstLine="480" w:firstLineChars="200"/>
        <w:rPr>
          <w:rFonts w:ascii="宋体" w:hAnsi="宋体"/>
          <w:color w:val="0070C0"/>
          <w:sz w:val="24"/>
          <w:szCs w:val="24"/>
        </w:rPr>
      </w:pPr>
      <w:r>
        <w:rPr>
          <w:rFonts w:hint="eastAsia" w:ascii="宋体" w:hAnsi="宋体"/>
          <w:sz w:val="24"/>
          <w:szCs w:val="24"/>
        </w:rPr>
        <w:t>2.3投标报价不得有选择性报价和附有条件的报价，每一种规格的货物只允许有一个报价，不得缺项、漏项、不得高于预算价，否则按无效投标处理。</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pPr>
        <w:widowControl/>
        <w:spacing w:line="360" w:lineRule="auto"/>
        <w:ind w:firstLine="482" w:firstLineChars="201"/>
        <w:rPr>
          <w:rFonts w:ascii="宋体" w:hAnsi="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大写金额和小写金额不一致的，以大写金额为准；</w:t>
      </w:r>
    </w:p>
    <w:p>
      <w:pPr>
        <w:spacing w:line="360" w:lineRule="auto"/>
        <w:ind w:firstLine="482" w:firstLineChars="201"/>
        <w:rPr>
          <w:rFonts w:ascii="宋体" w:hAnsi="宋体" w:cs="宋体"/>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kern w:val="0"/>
          <w:sz w:val="24"/>
          <w:szCs w:val="24"/>
        </w:rPr>
        <w:t>单价金额之和与总价不符的，应以总价为准。</w:t>
      </w:r>
    </w:p>
    <w:p>
      <w:pPr>
        <w:spacing w:line="360" w:lineRule="auto"/>
        <w:ind w:firstLine="482" w:firstLineChars="200"/>
        <w:rPr>
          <w:rFonts w:ascii="宋体" w:hAnsi="宋体"/>
          <w:b/>
          <w:sz w:val="24"/>
          <w:szCs w:val="24"/>
        </w:rPr>
      </w:pPr>
      <w:r>
        <w:rPr>
          <w:rFonts w:hint="eastAsia" w:ascii="宋体" w:hAnsi="宋体"/>
          <w:b/>
          <w:sz w:val="24"/>
          <w:szCs w:val="24"/>
        </w:rPr>
        <w:t>3.响应文件的编制要求</w:t>
      </w:r>
    </w:p>
    <w:p>
      <w:pPr>
        <w:spacing w:line="360" w:lineRule="auto"/>
        <w:ind w:firstLine="480" w:firstLineChars="200"/>
        <w:rPr>
          <w:rFonts w:ascii="宋体" w:hAnsi="宋体"/>
          <w:sz w:val="24"/>
          <w:szCs w:val="24"/>
        </w:rPr>
      </w:pPr>
      <w:r>
        <w:rPr>
          <w:rFonts w:hint="eastAsia" w:ascii="宋体" w:hAnsi="宋体"/>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3.2电子版响应文件编制要求：提供PDF格式和word格式电子文档一份，内容必须一致，在电子文档上标明供应商全称。（电子文档须使用U盘）</w:t>
      </w:r>
    </w:p>
    <w:p>
      <w:pPr>
        <w:spacing w:line="360" w:lineRule="auto"/>
        <w:ind w:firstLine="480" w:firstLineChars="200"/>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spacing w:line="360" w:lineRule="auto"/>
        <w:ind w:firstLine="480" w:firstLineChars="200"/>
        <w:rPr>
          <w:rFonts w:ascii="宋体" w:hAnsi="宋体"/>
          <w:sz w:val="24"/>
          <w:szCs w:val="24"/>
        </w:rPr>
      </w:pPr>
      <w:r>
        <w:rPr>
          <w:rFonts w:hint="eastAsia" w:ascii="宋体" w:hAnsi="宋体"/>
          <w:sz w:val="24"/>
          <w:szCs w:val="24"/>
        </w:rPr>
        <w:t>3.4响应文件的密封。供应商</w:t>
      </w:r>
      <w:r>
        <w:rPr>
          <w:rFonts w:ascii="宋体" w:hAnsi="宋体"/>
          <w:sz w:val="24"/>
          <w:szCs w:val="24"/>
        </w:rPr>
        <w:t>应使用密封袋将</w:t>
      </w:r>
      <w:r>
        <w:rPr>
          <w:rFonts w:hint="eastAsia" w:ascii="宋体" w:hAnsi="宋体"/>
          <w:sz w:val="24"/>
          <w:szCs w:val="24"/>
        </w:rPr>
        <w:t>响应文件</w:t>
      </w:r>
      <w:r>
        <w:rPr>
          <w:rFonts w:ascii="宋体" w:hAnsi="宋体"/>
          <w:sz w:val="24"/>
          <w:szCs w:val="24"/>
        </w:rPr>
        <w:t>密封</w:t>
      </w:r>
      <w:r>
        <w:rPr>
          <w:rFonts w:hint="eastAsia" w:ascii="宋体" w:hAnsi="宋体"/>
          <w:sz w:val="24"/>
          <w:szCs w:val="24"/>
        </w:rPr>
        <w:t>，电子文档可密封至响应文件中也可单独密封。密封封面上需注明“项目名称”、“项目编号”、“分包号”、“供应商全称”和《谈判文件》或《电子版》字样，并在密封包装上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3.5供应商按上述规定进行密封和标记后，将响应文件按照谈判文件的要求送达指定地点。如果未按上述规定进行密封和标记，鄂尔多斯市鄂托克前旗公共资源交易中心对误投或提前启封概不负责。</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：1、供应商在响应文件及相关书面文件中的单位公章（包括印章、公章等）均指与供应商名称全称一致的标准公章，不得使用其他形式（如带有“专用章”、“财务章”、“业务章”等）的印章。</w:t>
      </w:r>
    </w:p>
    <w:p>
      <w:pPr>
        <w:pStyle w:val="2"/>
        <w:ind w:firstLine="480" w:firstLineChars="200"/>
      </w:pPr>
      <w:r>
        <w:rPr>
          <w:rFonts w:hint="eastAsia" w:ascii="宋体" w:hAnsi="宋体"/>
          <w:sz w:val="24"/>
          <w:szCs w:val="24"/>
        </w:rPr>
        <w:t>2、供应商应单独密封、单独递交一份《开标一览表》，用于唱标时使用。</w:t>
      </w:r>
    </w:p>
    <w:p>
      <w:pPr>
        <w:spacing w:line="360" w:lineRule="auto"/>
        <w:ind w:firstLine="482" w:firstLineChars="200"/>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hint="eastAsia" w:ascii="宋体" w:hAnsi="宋体"/>
          <w:sz w:val="24"/>
          <w:szCs w:val="24"/>
        </w:rPr>
      </w:pPr>
      <w:r>
        <w:rPr>
          <w:rFonts w:hint="eastAsia" w:ascii="宋体" w:hAnsi="宋体"/>
          <w:sz w:val="24"/>
          <w:szCs w:val="24"/>
        </w:rPr>
        <w:t>4.1投标有效期从提交响应文件的截止之日起算。响应文件中承诺的投标有效期应当不少于谈判文件中载明的投标有效期。</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4.2出现特殊情况需要延长投标有效期的，采购人以书面形式通知所有供应商延长投标有效期。供应商不得要求或被允许修改或撤销其响应文件。</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5.投标保证金</w:t>
      </w:r>
    </w:p>
    <w:p>
      <w:pPr>
        <w:spacing w:line="360" w:lineRule="auto"/>
        <w:ind w:firstLine="528" w:firstLineChars="220"/>
        <w:rPr>
          <w:rFonts w:hint="default" w:eastAsia="宋体"/>
          <w:lang w:val="en-US" w:eastAsia="zh-CN"/>
        </w:rPr>
      </w:pPr>
      <w:r>
        <w:rPr>
          <w:rFonts w:hint="eastAsia" w:ascii="宋体" w:hAnsi="宋体"/>
          <w:color w:val="000000"/>
          <w:sz w:val="24"/>
          <w:szCs w:val="24"/>
          <w:lang w:val="en-US" w:eastAsia="zh-CN"/>
        </w:rPr>
        <w:t>5.1</w:t>
      </w:r>
      <w:r>
        <w:rPr>
          <w:rFonts w:hint="eastAsia" w:ascii="宋体" w:hAnsi="宋体"/>
          <w:sz w:val="24"/>
          <w:szCs w:val="24"/>
          <w:lang w:val="en-US" w:eastAsia="zh-CN"/>
        </w:rPr>
        <w:t>本项目无需缴纳保证金。</w:t>
      </w:r>
    </w:p>
    <w:p>
      <w:pPr>
        <w:spacing w:line="360" w:lineRule="auto"/>
        <w:ind w:firstLine="482" w:firstLineChars="200"/>
        <w:rPr>
          <w:rFonts w:ascii="宋体" w:hAnsi="宋体"/>
          <w:color w:val="000000"/>
          <w:sz w:val="24"/>
          <w:szCs w:val="24"/>
        </w:rPr>
      </w:pPr>
      <w:r>
        <w:rPr>
          <w:rFonts w:hint="eastAsia" w:ascii="宋体" w:hAnsi="宋体"/>
          <w:b/>
          <w:sz w:val="24"/>
          <w:szCs w:val="24"/>
        </w:rPr>
        <w:t>6.</w:t>
      </w:r>
      <w:r>
        <w:rPr>
          <w:rFonts w:ascii="宋体" w:hAnsi="宋体"/>
          <w:b/>
          <w:sz w:val="24"/>
          <w:szCs w:val="24"/>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供应商在投标截止时间前，可以对所递交的响应文件进行补充、修改或者撤回。补充、修改的内容应当按谈判文件要求签署、盖章，并作为响应文件的组成部分；补充、修改的内容与响应文件不一致的，以补充、修改的内容为准；撤回的应以书面形式告知鄂尔多斯市鄂托克前旗公共资源交易中心或采购人。</w:t>
      </w:r>
    </w:p>
    <w:p>
      <w:pPr>
        <w:spacing w:line="360" w:lineRule="auto"/>
        <w:ind w:firstLine="480" w:firstLineChars="200"/>
        <w:rPr>
          <w:rFonts w:ascii="宋体" w:hAnsi="宋体"/>
          <w:sz w:val="24"/>
          <w:szCs w:val="24"/>
        </w:rPr>
      </w:pPr>
      <w:r>
        <w:rPr>
          <w:rFonts w:hint="eastAsia" w:ascii="宋体" w:hAnsi="宋体"/>
          <w:sz w:val="24"/>
          <w:szCs w:val="24"/>
        </w:rPr>
        <w:t>在递交响应文件截止时间后到谈判文件规定的投标有效期终止之前，供应商不得补充、修改、替代或者撤回其响应文件。</w:t>
      </w:r>
    </w:p>
    <w:p>
      <w:pPr>
        <w:spacing w:line="360" w:lineRule="auto"/>
        <w:ind w:firstLine="482" w:firstLineChars="200"/>
        <w:rPr>
          <w:rFonts w:ascii="宋体" w:hAnsi="宋体"/>
          <w:sz w:val="24"/>
          <w:szCs w:val="24"/>
        </w:rPr>
      </w:pPr>
      <w:r>
        <w:rPr>
          <w:rFonts w:hint="eastAsia" w:ascii="宋体" w:hAnsi="宋体"/>
          <w:b/>
          <w:sz w:val="24"/>
          <w:szCs w:val="24"/>
        </w:rPr>
        <w:t>7.响应文件的递交</w:t>
      </w:r>
    </w:p>
    <w:p>
      <w:pPr>
        <w:spacing w:line="360" w:lineRule="auto"/>
        <w:ind w:firstLine="482" w:firstLineChars="200"/>
        <w:rPr>
          <w:rFonts w:ascii="宋体" w:hAnsi="宋体"/>
          <w:b/>
          <w:bCs/>
          <w:sz w:val="24"/>
          <w:szCs w:val="24"/>
        </w:rPr>
      </w:pPr>
      <w:r>
        <w:rPr>
          <w:rFonts w:hint="eastAsia" w:ascii="宋体" w:hAnsi="宋体"/>
          <w:b/>
          <w:bCs/>
          <w:sz w:val="24"/>
          <w:szCs w:val="24"/>
        </w:rPr>
        <w:t>在谈判文件要求提交响应文件的截止时间之后送达或没有将《开标一览表》单独密封、单独递交的响应文件</w:t>
      </w:r>
      <w:r>
        <w:rPr>
          <w:rFonts w:hint="eastAsia" w:ascii="宋体" w:hAnsi="宋体"/>
          <w:b/>
          <w:bCs/>
          <w:color w:val="000000"/>
          <w:kern w:val="0"/>
          <w:sz w:val="24"/>
          <w:szCs w:val="24"/>
        </w:rPr>
        <w:t>，</w:t>
      </w:r>
      <w:r>
        <w:rPr>
          <w:rFonts w:hint="eastAsia" w:ascii="宋体" w:hAnsi="宋体"/>
          <w:b/>
          <w:bCs/>
          <w:sz w:val="24"/>
          <w:szCs w:val="24"/>
        </w:rPr>
        <w:t>为无效响应文件，采购单位或采购代理机构将拒收。</w:t>
      </w:r>
    </w:p>
    <w:p>
      <w:pPr>
        <w:spacing w:line="360" w:lineRule="auto"/>
        <w:ind w:firstLine="482" w:firstLineChars="200"/>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谈判文件规定供应商提交样品的，样品属于响应文件的组成部分。样品的生产、运输、安装、保全等一切费用由供应商自理。</w:t>
      </w:r>
    </w:p>
    <w:p>
      <w:pPr>
        <w:spacing w:line="360" w:lineRule="auto"/>
        <w:ind w:firstLine="480" w:firstLineChars="200"/>
        <w:rPr>
          <w:rFonts w:ascii="宋体" w:hAnsi="宋体"/>
          <w:sz w:val="24"/>
          <w:szCs w:val="24"/>
        </w:rPr>
      </w:pPr>
      <w:r>
        <w:rPr>
          <w:rFonts w:hint="eastAsia" w:ascii="宋体" w:hAnsi="宋体"/>
          <w:sz w:val="24"/>
          <w:szCs w:val="24"/>
        </w:rPr>
        <w:t>8.1开标前，供应商应将样品送达至指定地点，并按要求摆放并做好展示。若需要现场演示的，供应商应提前做好演示准备（包括演示设备）。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8.2评标结束后，中标人与采购人共同清点、检查和密封样品，由中标人送至采购人指定地点封存。未中标供应商将样品自行带回。</w:t>
      </w:r>
    </w:p>
    <w:p>
      <w:pPr>
        <w:spacing w:line="360" w:lineRule="auto"/>
        <w:ind w:firstLine="482" w:firstLineChars="200"/>
        <w:rPr>
          <w:rFonts w:ascii="宋体" w:hAnsi="宋体"/>
          <w:b/>
          <w:sz w:val="24"/>
          <w:szCs w:val="24"/>
        </w:rPr>
      </w:pPr>
      <w:r>
        <w:rPr>
          <w:rFonts w:hint="eastAsia" w:ascii="宋体" w:hAnsi="宋体"/>
          <w:b/>
          <w:sz w:val="24"/>
          <w:szCs w:val="24"/>
        </w:rPr>
        <w:t>六.开标</w:t>
      </w:r>
    </w:p>
    <w:p>
      <w:pPr>
        <w:spacing w:line="360" w:lineRule="auto"/>
        <w:ind w:firstLine="482" w:firstLineChars="200"/>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开标时间与投标截止时间为同一时间；开标地点为谈判文件规定的地点。邀请所有供应商的法定代表人或其授权委托人准时参加。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采购人、鄂尔多斯市鄂托克前旗公共资源交易中心对误投或未按规定时间、地点进行投标的概不负责。</w:t>
      </w:r>
    </w:p>
    <w:p>
      <w:pPr>
        <w:spacing w:line="360" w:lineRule="auto"/>
        <w:ind w:firstLine="482" w:firstLineChars="200"/>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（2）公布在投标截止时间前递交响应文件的供应商名称；</w:t>
      </w:r>
    </w:p>
    <w:p>
      <w:pPr>
        <w:spacing w:line="360" w:lineRule="auto"/>
        <w:ind w:firstLine="480" w:firstLineChars="200"/>
        <w:rPr>
          <w:rFonts w:ascii="宋体" w:hAnsi="宋体"/>
          <w:sz w:val="24"/>
          <w:szCs w:val="24"/>
        </w:rPr>
      </w:pPr>
      <w:r>
        <w:rPr>
          <w:rFonts w:hint="eastAsia" w:ascii="宋体" w:hAnsi="宋体"/>
          <w:sz w:val="24"/>
          <w:szCs w:val="24"/>
        </w:rPr>
        <w:t>（3）宣布开标人、唱标人、记录人、监标人等有关人员姓名；</w:t>
      </w:r>
    </w:p>
    <w:p>
      <w:pPr>
        <w:spacing w:line="360" w:lineRule="auto"/>
        <w:ind w:firstLine="480" w:firstLineChars="200"/>
        <w:rPr>
          <w:rFonts w:ascii="宋体" w:hAnsi="宋体"/>
          <w:sz w:val="24"/>
          <w:szCs w:val="24"/>
        </w:rPr>
      </w:pPr>
      <w:r>
        <w:rPr>
          <w:rFonts w:hint="eastAsia" w:ascii="宋体" w:hAnsi="宋体"/>
          <w:sz w:val="24"/>
          <w:szCs w:val="24"/>
        </w:rPr>
        <w:t>（4）供应商或供应商代表检查所有响应文件密封情况，并签字确认；</w:t>
      </w:r>
    </w:p>
    <w:p>
      <w:pPr>
        <w:spacing w:line="360" w:lineRule="auto"/>
        <w:ind w:firstLine="480" w:firstLineChars="200"/>
        <w:rPr>
          <w:rFonts w:ascii="宋体" w:hAnsi="宋体"/>
          <w:sz w:val="24"/>
          <w:szCs w:val="24"/>
        </w:rPr>
      </w:pPr>
      <w:r>
        <w:rPr>
          <w:rFonts w:hint="eastAsia" w:ascii="宋体" w:hAnsi="宋体"/>
          <w:sz w:val="24"/>
          <w:szCs w:val="24"/>
        </w:rPr>
        <w:t>（5）公布供应商的投标报价、质保期、售后服务网点等，并记录在案；</w:t>
      </w:r>
    </w:p>
    <w:p>
      <w:pPr>
        <w:spacing w:line="360" w:lineRule="auto"/>
        <w:ind w:firstLine="480" w:firstLineChars="200"/>
        <w:rPr>
          <w:rFonts w:ascii="宋体" w:hAnsi="宋体"/>
          <w:sz w:val="24"/>
          <w:szCs w:val="24"/>
        </w:rPr>
      </w:pPr>
      <w:r>
        <w:rPr>
          <w:rFonts w:hint="eastAsia" w:ascii="宋体" w:hAnsi="宋体"/>
          <w:sz w:val="24"/>
          <w:szCs w:val="24"/>
        </w:rPr>
        <w:t>（6）供应商代表、采购人代表、监标人、记录人等有关人员在开标记录上签字确认；</w:t>
      </w:r>
    </w:p>
    <w:p>
      <w:pPr>
        <w:spacing w:line="360" w:lineRule="auto"/>
        <w:ind w:firstLine="480" w:firstLineChars="200"/>
        <w:rPr>
          <w:rFonts w:ascii="宋体" w:hAnsi="宋体"/>
          <w:sz w:val="24"/>
          <w:szCs w:val="24"/>
        </w:rPr>
      </w:pPr>
      <w:r>
        <w:rPr>
          <w:rFonts w:hint="eastAsia" w:ascii="宋体" w:hAnsi="宋体"/>
          <w:sz w:val="24"/>
          <w:szCs w:val="24"/>
        </w:rPr>
        <w:t>（7）开标结束，响应文件移交谈判小组。</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480" w:firstLineChars="200"/>
        <w:rPr>
          <w:rFonts w:ascii="宋体" w:hAnsi="宋体"/>
          <w:sz w:val="24"/>
          <w:szCs w:val="24"/>
        </w:rPr>
      </w:pPr>
      <w:r>
        <w:rPr>
          <w:rFonts w:hint="eastAsia" w:ascii="宋体" w:hAnsi="宋体"/>
          <w:sz w:val="24"/>
          <w:szCs w:val="24"/>
        </w:rPr>
        <w:t>供应商对开标有异议的，应当在开标现场提出，开标结束后，不再受理对开标过程的异议。</w:t>
      </w:r>
    </w:p>
    <w:p>
      <w:pPr>
        <w:spacing w:line="360" w:lineRule="auto"/>
        <w:ind w:firstLine="482" w:firstLineChars="200"/>
        <w:rPr>
          <w:rFonts w:ascii="宋体" w:hAnsi="宋体"/>
          <w:b/>
          <w:sz w:val="24"/>
          <w:szCs w:val="24"/>
        </w:rPr>
      </w:pPr>
      <w:r>
        <w:rPr>
          <w:rFonts w:hint="eastAsia" w:ascii="宋体" w:hAnsi="宋体"/>
          <w:b/>
          <w:sz w:val="24"/>
          <w:szCs w:val="24"/>
        </w:rPr>
        <w:t>七.评审</w:t>
      </w:r>
    </w:p>
    <w:p>
      <w:pPr>
        <w:spacing w:line="360" w:lineRule="auto"/>
        <w:ind w:firstLine="482" w:firstLineChars="200"/>
        <w:rPr>
          <w:rFonts w:ascii="宋体" w:hAnsi="宋体"/>
          <w:b/>
          <w:sz w:val="24"/>
          <w:szCs w:val="24"/>
        </w:rPr>
      </w:pPr>
      <w:r>
        <w:rPr>
          <w:rFonts w:hint="eastAsia" w:ascii="宋体" w:hAnsi="宋体"/>
          <w:b/>
          <w:sz w:val="24"/>
          <w:szCs w:val="24"/>
        </w:rPr>
        <w:t>1.谈判小组</w:t>
      </w:r>
    </w:p>
    <w:p>
      <w:pPr>
        <w:spacing w:line="360" w:lineRule="auto"/>
        <w:ind w:firstLine="480" w:firstLineChars="200"/>
        <w:rPr>
          <w:rFonts w:ascii="宋体" w:hAnsi="宋体"/>
          <w:sz w:val="24"/>
          <w:szCs w:val="24"/>
        </w:rPr>
      </w:pPr>
      <w:r>
        <w:rPr>
          <w:rFonts w:hint="eastAsia" w:ascii="宋体" w:hAnsi="宋体"/>
          <w:sz w:val="24"/>
          <w:szCs w:val="24"/>
        </w:rPr>
        <w:t>1.1竞争性谈判小组由采购人代表和评审专家共3人及以上单数组成，其中评审专家人数不得少于竞争性谈判小组成员总数的2/3。达到公开招标数额标准的，竞争性谈判小组应当由5人及以上单数组成。</w:t>
      </w:r>
    </w:p>
    <w:p>
      <w:pPr>
        <w:spacing w:line="360" w:lineRule="auto"/>
        <w:ind w:firstLine="480" w:firstLineChars="200"/>
        <w:rPr>
          <w:rFonts w:ascii="宋体" w:hAnsi="宋体"/>
          <w:sz w:val="24"/>
          <w:szCs w:val="24"/>
        </w:rPr>
      </w:pPr>
      <w:r>
        <w:rPr>
          <w:rFonts w:hint="eastAsia" w:ascii="宋体" w:hAnsi="宋体"/>
          <w:sz w:val="24"/>
          <w:szCs w:val="24"/>
        </w:rPr>
        <w:t>1.2谈判小组成员有下列情形之一的，应当回避：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pPr>
        <w:spacing w:line="360" w:lineRule="auto"/>
        <w:ind w:firstLine="482" w:firstLineChars="200"/>
        <w:rPr>
          <w:rFonts w:ascii="宋体" w:hAnsi="宋体"/>
          <w:b/>
          <w:sz w:val="24"/>
          <w:szCs w:val="24"/>
        </w:rPr>
      </w:pPr>
      <w:r>
        <w:rPr>
          <w:rFonts w:hint="eastAsia" w:ascii="宋体" w:hAnsi="宋体"/>
          <w:b/>
          <w:sz w:val="24"/>
          <w:szCs w:val="24"/>
        </w:rPr>
        <w:t>2.谈判原则</w:t>
      </w:r>
    </w:p>
    <w:p>
      <w:pPr>
        <w:spacing w:line="360" w:lineRule="auto"/>
        <w:ind w:firstLine="480" w:firstLineChars="200"/>
        <w:rPr>
          <w:rFonts w:ascii="宋体" w:hAnsi="宋体"/>
          <w:sz w:val="24"/>
          <w:szCs w:val="24"/>
        </w:rPr>
      </w:pPr>
      <w:r>
        <w:rPr>
          <w:rFonts w:hint="eastAsia" w:ascii="宋体" w:hAnsi="宋体"/>
          <w:sz w:val="24"/>
          <w:szCs w:val="24"/>
        </w:rPr>
        <w:t>2.1谈判活动遵循公平、公正、科学和择优的原则，以谈判文件和响应文件为谈判的基本依据，并按照谈判文件规定的谈判方法和谈判标准进行谈判。</w:t>
      </w:r>
    </w:p>
    <w:p>
      <w:pPr>
        <w:spacing w:line="360" w:lineRule="auto"/>
        <w:ind w:firstLine="480" w:firstLineChars="200"/>
        <w:rPr>
          <w:rFonts w:ascii="宋体" w:hAnsi="宋体"/>
          <w:sz w:val="24"/>
          <w:szCs w:val="24"/>
        </w:rPr>
      </w:pPr>
      <w:r>
        <w:rPr>
          <w:rFonts w:hint="eastAsia" w:ascii="宋体" w:hAnsi="宋体"/>
          <w:sz w:val="24"/>
          <w:szCs w:val="24"/>
        </w:rPr>
        <w:t>2.2谈判由采购人依法组建的谈判小组负责，并按谈判文件的规定确定成交供应商或者推荐成交候选人。</w:t>
      </w:r>
    </w:p>
    <w:p>
      <w:pPr>
        <w:spacing w:line="360" w:lineRule="auto"/>
        <w:ind w:firstLine="482" w:firstLineChars="200"/>
        <w:rPr>
          <w:rFonts w:ascii="宋体" w:hAnsi="宋体"/>
          <w:b/>
          <w:sz w:val="24"/>
          <w:szCs w:val="24"/>
        </w:rPr>
      </w:pPr>
      <w:r>
        <w:rPr>
          <w:rFonts w:hint="eastAsia" w:ascii="宋体" w:hAnsi="宋体"/>
          <w:b/>
          <w:sz w:val="24"/>
          <w:szCs w:val="24"/>
        </w:rPr>
        <w:t>3.投标无效的情形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详见第六章评审表。经评审委员会认定，凡其中有一项不合格的，按无效投标处理。</w:t>
      </w:r>
    </w:p>
    <w:p>
      <w:pPr>
        <w:spacing w:line="360" w:lineRule="auto"/>
        <w:ind w:firstLine="482" w:firstLineChars="200"/>
        <w:rPr>
          <w:rFonts w:ascii="宋体" w:hAnsi="宋体"/>
          <w:sz w:val="24"/>
          <w:szCs w:val="24"/>
        </w:rPr>
      </w:pPr>
      <w:r>
        <w:rPr>
          <w:rFonts w:hint="eastAsia" w:ascii="宋体" w:hAnsi="宋体"/>
          <w:b/>
          <w:sz w:val="24"/>
          <w:szCs w:val="24"/>
        </w:rPr>
        <w:t>4.有下列情形之一的，视为供应商串通投标：</w:t>
      </w:r>
    </w:p>
    <w:p>
      <w:pPr>
        <w:spacing w:line="360" w:lineRule="auto"/>
        <w:ind w:firstLine="360" w:firstLineChars="150"/>
        <w:rPr>
          <w:rFonts w:ascii="宋体" w:hAnsi="宋体"/>
          <w:sz w:val="24"/>
          <w:szCs w:val="24"/>
        </w:rPr>
      </w:pPr>
      <w:r>
        <w:rPr>
          <w:rFonts w:hint="eastAsia" w:ascii="宋体" w:hAnsi="宋体"/>
          <w:sz w:val="24"/>
          <w:szCs w:val="24"/>
        </w:rPr>
        <w:t>（1）不同供应商的响应文件由同一单位或者个人编制；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（2）不同供应商委托同一单位或者个人办理投标事宜；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（3）不同供应商的响应文件载明的项目管理成员或者联系人员为同一人；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（4）不同供应商的响应文件异常一致或者投标报价呈规律性差异；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（5）不同供应商的响应文件相互混装；</w:t>
      </w:r>
    </w:p>
    <w:p>
      <w:pPr>
        <w:spacing w:line="360" w:lineRule="auto"/>
        <w:ind w:firstLine="360" w:firstLineChars="150"/>
        <w:rPr>
          <w:rFonts w:ascii="宋体" w:hAnsi="宋体"/>
          <w:sz w:val="24"/>
          <w:szCs w:val="24"/>
        </w:rPr>
      </w:pPr>
      <w:r>
        <w:rPr>
          <w:rFonts w:hint="eastAsia" w:ascii="宋体" w:hAnsi="宋体"/>
          <w:sz w:val="24"/>
          <w:szCs w:val="24"/>
        </w:rPr>
        <w:t>（6）不同供应商的投标保证金从同一单位或者个人的账户转出。</w:t>
      </w:r>
    </w:p>
    <w:p>
      <w:pPr>
        <w:spacing w:line="360" w:lineRule="auto"/>
        <w:ind w:firstLine="482" w:firstLineChars="200"/>
        <w:rPr>
          <w:rFonts w:ascii="宋体" w:hAnsi="宋体"/>
          <w:sz w:val="24"/>
          <w:szCs w:val="24"/>
        </w:rPr>
      </w:pPr>
      <w:r>
        <w:rPr>
          <w:rFonts w:hint="eastAsia" w:ascii="宋体" w:hAnsi="宋体"/>
          <w:b/>
          <w:sz w:val="24"/>
          <w:szCs w:val="24"/>
        </w:rPr>
        <w:t>5.废标的情形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（1）符合专业条件的供应商或者对谈判文件作实质响应的供应商不足3家（经政府采购管理办公室批准的除外）；</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（5）法律、法规以及谈判文件规定其他情形。</w:t>
      </w:r>
    </w:p>
    <w:p>
      <w:pPr>
        <w:spacing w:line="360" w:lineRule="auto"/>
        <w:ind w:firstLine="482" w:firstLineChars="200"/>
        <w:rPr>
          <w:rFonts w:ascii="宋体" w:hAnsi="宋体"/>
          <w:b/>
          <w:sz w:val="24"/>
          <w:szCs w:val="24"/>
        </w:rPr>
      </w:pPr>
      <w:r>
        <w:rPr>
          <w:rFonts w:hint="eastAsia" w:ascii="宋体" w:hAnsi="宋体"/>
          <w:b/>
          <w:sz w:val="24"/>
          <w:szCs w:val="24"/>
        </w:rPr>
        <w:t>6.定标</w:t>
      </w:r>
    </w:p>
    <w:p>
      <w:pPr>
        <w:spacing w:line="360" w:lineRule="auto"/>
        <w:ind w:firstLine="480" w:firstLineChars="200"/>
        <w:rPr>
          <w:rFonts w:ascii="宋体" w:hAnsi="宋体"/>
          <w:sz w:val="24"/>
          <w:szCs w:val="24"/>
        </w:rPr>
      </w:pPr>
      <w:r>
        <w:rPr>
          <w:rFonts w:hint="eastAsia" w:ascii="宋体" w:hAnsi="宋体"/>
          <w:sz w:val="24"/>
          <w:szCs w:val="24"/>
        </w:rPr>
        <w:t>谈判小组按照谈判文件确定的谈判方法、步骤、标准，对响应文件进行评审。谈判结束后，对供应商的评审名次进行排序，确定成交供应商或者推荐成交候选人。</w:t>
      </w:r>
    </w:p>
    <w:p>
      <w:pPr>
        <w:spacing w:line="360" w:lineRule="auto"/>
        <w:ind w:firstLine="482" w:firstLineChars="200"/>
        <w:rPr>
          <w:rFonts w:ascii="宋体" w:hAnsi="宋体"/>
          <w:b/>
          <w:sz w:val="24"/>
          <w:szCs w:val="24"/>
        </w:rPr>
      </w:pPr>
      <w:r>
        <w:rPr>
          <w:rFonts w:hint="eastAsia" w:ascii="宋体" w:hAnsi="宋体"/>
          <w:b/>
          <w:sz w:val="24"/>
          <w:szCs w:val="24"/>
        </w:rPr>
        <w:t>7.成交结果公告</w:t>
      </w:r>
    </w:p>
    <w:p>
      <w:pPr>
        <w:spacing w:line="360" w:lineRule="auto"/>
        <w:ind w:firstLine="480" w:firstLineChars="200"/>
        <w:rPr>
          <w:rFonts w:ascii="宋体" w:hAnsi="宋体"/>
          <w:sz w:val="24"/>
          <w:szCs w:val="24"/>
        </w:rPr>
      </w:pPr>
      <w:r>
        <w:rPr>
          <w:rFonts w:hint="eastAsia" w:ascii="宋体" w:hAnsi="宋体"/>
          <w:sz w:val="24"/>
          <w:szCs w:val="24"/>
        </w:rPr>
        <w:t>成交供应商确定后，鄂尔多斯市鄂托克前旗公共资源交易中心将在内蒙古自治区政府采购网、内蒙古自治区公共资源交易网、鄂尔多斯市政府采购网、鄂尔多斯市公共资源交易网鄂尔多斯市鄂托克前旗公共资源交易中心网上发布成交结果公告，同时将成交结果以公告形式通知未成交的供应商，中标公告期限为1个工作日。</w:t>
      </w:r>
    </w:p>
    <w:p>
      <w:pPr>
        <w:spacing w:line="360" w:lineRule="auto"/>
        <w:ind w:firstLine="480" w:firstLineChars="200"/>
        <w:rPr>
          <w:rFonts w:ascii="宋体" w:hAnsi="宋体"/>
          <w:sz w:val="24"/>
          <w:szCs w:val="24"/>
        </w:rPr>
      </w:pPr>
      <w:r>
        <w:rPr>
          <w:rFonts w:hint="eastAsia" w:ascii="宋体" w:hAnsi="宋体"/>
          <w:sz w:val="24"/>
          <w:szCs w:val="24"/>
        </w:rPr>
        <w:t>成交供应商须将成交货物报价明细表（WORD格式电子版，格式下载地址：鄂尔多斯市公共资源交易网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政府采购相关范本）（包括货物名称、生产厂家、品牌、规格、型号、数量、单位、单价及总价等）于谈判结束后当天发送在鄂尔多斯市鄂托克前旗公共资源交易中心工作人员邮箱内（</w:t>
      </w:r>
      <w:r>
        <w:rPr>
          <w:rFonts w:hint="default" w:ascii="Times New Roman" w:hAnsi="Times New Roman" w:eastAsia="宋体" w:cs="Times New Roman"/>
          <w:kern w:val="2"/>
          <w:sz w:val="28"/>
          <w:szCs w:val="20"/>
          <w:lang w:val="en-US" w:eastAsia="zh-CN" w:bidi="ar"/>
        </w:rPr>
        <w:fldChar w:fldCharType="begin"/>
      </w:r>
      <w:r>
        <w:rPr>
          <w:rFonts w:hint="default" w:ascii="Times New Roman" w:hAnsi="Times New Roman" w:eastAsia="宋体" w:cs="Times New Roman"/>
          <w:kern w:val="2"/>
          <w:sz w:val="28"/>
          <w:szCs w:val="20"/>
          <w:lang w:val="en-US" w:eastAsia="zh-CN" w:bidi="ar"/>
        </w:rPr>
        <w:instrText xml:space="preserve"> HYPERLINK "mailto:youj_0722@163.com" </w:instrText>
      </w:r>
      <w:r>
        <w:rPr>
          <w:rFonts w:hint="default" w:ascii="Times New Roman" w:hAnsi="Times New Roman" w:eastAsia="宋体" w:cs="Times New Roman"/>
          <w:kern w:val="2"/>
          <w:sz w:val="28"/>
          <w:szCs w:val="20"/>
          <w:lang w:val="en-US" w:eastAsia="zh-CN" w:bidi="ar"/>
        </w:rPr>
        <w:fldChar w:fldCharType="separate"/>
      </w:r>
      <w:r>
        <w:rPr>
          <w:rStyle w:val="21"/>
          <w:rFonts w:hint="eastAsia" w:ascii="宋体" w:hAnsi="宋体" w:cs="宋体"/>
          <w:kern w:val="2"/>
          <w:sz w:val="24"/>
          <w:szCs w:val="24"/>
          <w:u w:val="single"/>
          <w:lang w:val="en-US" w:eastAsia="zh-CN" w:bidi="ar"/>
        </w:rPr>
        <w:t>453167618</w:t>
      </w:r>
      <w:r>
        <w:rPr>
          <w:rStyle w:val="21"/>
          <w:rFonts w:hint="eastAsia" w:ascii="宋体" w:hAnsi="宋体" w:eastAsia="宋体" w:cs="宋体"/>
          <w:kern w:val="2"/>
          <w:sz w:val="24"/>
          <w:szCs w:val="24"/>
          <w:u w:val="single"/>
          <w:lang w:val="en-US" w:eastAsia="zh-CN" w:bidi="ar"/>
        </w:rPr>
        <w:t>@qq.com</w:t>
      </w:r>
      <w:r>
        <w:rPr>
          <w:rFonts w:hint="default" w:ascii="Times New Roman" w:hAnsi="Times New Roman" w:eastAsia="宋体" w:cs="Times New Roman"/>
          <w:kern w:val="2"/>
          <w:sz w:val="28"/>
          <w:szCs w:val="20"/>
          <w:lang w:val="en-US" w:eastAsia="zh-CN" w:bidi="ar"/>
        </w:rPr>
        <w:fldChar w:fldCharType="end"/>
      </w:r>
      <w:r>
        <w:rPr>
          <w:rFonts w:hint="eastAsia" w:ascii="宋体" w:hAnsi="宋体"/>
          <w:sz w:val="24"/>
          <w:szCs w:val="24"/>
        </w:rPr>
        <w:t>，联系人</w:t>
      </w:r>
      <w:r>
        <w:rPr>
          <w:rFonts w:hint="eastAsia" w:ascii="宋体" w:hAnsi="宋体"/>
          <w:sz w:val="24"/>
          <w:szCs w:val="24"/>
          <w:lang w:eastAsia="zh-CN"/>
        </w:rPr>
        <w:t>宋</w:t>
      </w:r>
      <w:r>
        <w:rPr>
          <w:rFonts w:hint="eastAsia" w:ascii="宋体" w:hAnsi="宋体"/>
          <w:sz w:val="24"/>
          <w:szCs w:val="24"/>
        </w:rPr>
        <w:t>先生，联系电话0477-7621750），并在邮件标题注明项目名称及成交单位名称。</w:t>
      </w:r>
    </w:p>
    <w:p>
      <w:pPr>
        <w:spacing w:line="360" w:lineRule="auto"/>
        <w:ind w:firstLine="482" w:firstLineChars="200"/>
        <w:rPr>
          <w:rFonts w:ascii="宋体" w:hAnsi="宋体"/>
          <w:b/>
          <w:sz w:val="24"/>
          <w:szCs w:val="24"/>
        </w:rPr>
      </w:pPr>
      <w:r>
        <w:rPr>
          <w:rFonts w:hint="eastAsia" w:ascii="宋体" w:hAnsi="宋体"/>
          <w:b/>
          <w:sz w:val="24"/>
          <w:szCs w:val="24"/>
        </w:rPr>
        <w:t>8.成交通知书发放</w:t>
      </w:r>
    </w:p>
    <w:p>
      <w:pPr>
        <w:spacing w:line="360" w:lineRule="auto"/>
        <w:ind w:firstLine="480" w:firstLineChars="200"/>
        <w:rPr>
          <w:rFonts w:ascii="宋体" w:hAnsi="宋体"/>
          <w:sz w:val="24"/>
          <w:szCs w:val="24"/>
        </w:rPr>
      </w:pPr>
      <w:r>
        <w:rPr>
          <w:rFonts w:hint="eastAsia" w:ascii="宋体" w:hAnsi="宋体"/>
          <w:sz w:val="24"/>
          <w:szCs w:val="24"/>
        </w:rPr>
        <w:t>鄂尔多斯市鄂托克前旗公共资源交易中心以书面形式向成交供应商发出成交通知书，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，成交通知书对采购人和成交供应商具有同等法律效力。</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成交供应商须持法定代表人授权委托书及本人身份证至鄂尔多斯市鄂托克前旗公共资源交易中心领取。</w:t>
      </w:r>
    </w:p>
    <w:p>
      <w:pPr>
        <w:spacing w:line="360" w:lineRule="auto"/>
        <w:ind w:firstLine="482" w:firstLineChars="200"/>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firstLine="484" w:firstLineChars="201"/>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供应商对政府采购活动事项有疑问的，可以向采购人或旗公共资源交易中心提出询问，采购人或旗公共资源交易中心应当在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供应商提出的询问超出采购人对旗公共资源交易中心委托授权范围的，旗公共资源交易中心应当告知其向采购人提出。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询问内容以书面材料的形式亲自递交到鄂尔多斯市鄂托克前旗公共资源交易中心，正式受理后方可生效，否则，为无效询问。</w:t>
      </w:r>
    </w:p>
    <w:p>
      <w:pPr>
        <w:spacing w:line="360" w:lineRule="auto"/>
        <w:ind w:firstLine="482" w:firstLineChars="200"/>
        <w:rPr>
          <w:rFonts w:ascii="宋体" w:hAnsi="宋体" w:cs="宋体"/>
          <w:b/>
          <w:sz w:val="24"/>
          <w:szCs w:val="24"/>
        </w:rPr>
      </w:pPr>
      <w:r>
        <w:rPr>
          <w:rFonts w:hint="eastAsia" w:ascii="宋体" w:hAnsi="宋体" w:cs="宋体"/>
          <w:b/>
          <w:sz w:val="24"/>
          <w:szCs w:val="24"/>
        </w:rPr>
        <w:t>2.质疑</w:t>
      </w:r>
    </w:p>
    <w:p>
      <w:pPr>
        <w:pStyle w:val="8"/>
        <w:adjustRightInd w:val="0"/>
        <w:snapToGrid w:val="0"/>
        <w:spacing w:line="360" w:lineRule="auto"/>
        <w:ind w:firstLine="480" w:firstLineChars="200"/>
        <w:rPr>
          <w:rFonts w:hAnsi="宋体"/>
          <w:sz w:val="24"/>
          <w:szCs w:val="24"/>
        </w:rPr>
      </w:pPr>
      <w:r>
        <w:rPr>
          <w:rFonts w:hint="eastAsia" w:hAnsi="宋体"/>
          <w:sz w:val="24"/>
          <w:szCs w:val="24"/>
        </w:rPr>
        <w:t>2.1供应商认为采购文件使自己的权益受到损害的，应当在谈判文件公告期满之日前提出书面质疑，采购人或旗公共资源交易中心应当在收到供应商的书面质疑后7个工作日内做出书面答复，但答复的内容不得涉及商业秘密。</w:t>
      </w:r>
    </w:p>
    <w:p>
      <w:pPr>
        <w:spacing w:line="360" w:lineRule="auto"/>
        <w:ind w:firstLine="480" w:firstLineChars="200"/>
        <w:rPr>
          <w:rFonts w:ascii="宋体" w:hAnsi="宋体"/>
          <w:sz w:val="24"/>
          <w:szCs w:val="24"/>
        </w:rPr>
      </w:pPr>
      <w:r>
        <w:rPr>
          <w:rFonts w:hint="eastAsia" w:ascii="宋体" w:hAnsi="宋体" w:cs="宋体"/>
          <w:sz w:val="24"/>
          <w:szCs w:val="24"/>
          <w:lang w:val="zh-CN"/>
        </w:rPr>
        <w:t>2.2</w:t>
      </w:r>
      <w:r>
        <w:rPr>
          <w:rFonts w:hint="eastAsia" w:ascii="宋体" w:hAnsi="宋体" w:cs="宋体"/>
          <w:sz w:val="24"/>
          <w:szCs w:val="24"/>
        </w:rPr>
        <w:t>供应商对采购过程提出质疑的，可以在各采购程序环节结束之日，以书面形式向采购人或旗公共资源交易中心提出质疑。采购人或旗公共资源交易中心应当在收到供应商的书面质疑后</w:t>
      </w:r>
      <w:r>
        <w:rPr>
          <w:rFonts w:ascii="宋体" w:hAnsi="宋体" w:cs="宋体"/>
          <w:sz w:val="24"/>
          <w:szCs w:val="24"/>
        </w:rPr>
        <w:t>7</w:t>
      </w:r>
      <w:r>
        <w:rPr>
          <w:rFonts w:hint="eastAsia" w:ascii="宋体" w:hAnsi="宋体" w:cs="宋体"/>
          <w:sz w:val="24"/>
          <w:szCs w:val="24"/>
        </w:rPr>
        <w:t>个工作日内做出书面答复，但答复的内容不得涉及商业秘密。</w:t>
      </w:r>
    </w:p>
    <w:p>
      <w:pPr>
        <w:spacing w:line="360" w:lineRule="auto"/>
        <w:ind w:firstLine="480" w:firstLineChars="200"/>
        <w:rPr>
          <w:rFonts w:ascii="宋体" w:hAnsi="宋体" w:cs="宋体"/>
          <w:sz w:val="24"/>
          <w:szCs w:val="24"/>
        </w:rPr>
      </w:pPr>
      <w:r>
        <w:rPr>
          <w:rFonts w:hint="eastAsia" w:ascii="宋体" w:hAnsi="宋体" w:cs="宋体"/>
          <w:sz w:val="24"/>
          <w:szCs w:val="24"/>
        </w:rPr>
        <w:t>2.3供应商认为成交结果使自己的权益受到损害的，应当在成交结果公告期满之日前提出质疑，采购人或旗公共资源交易中心应当在收到供应商的书面质疑后7个工作日内做出书面答复，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2.4供应商提出的质疑超出采购人对旗公共资源交易中心委托授权范围的，旗公共资源交易中心应当告知其向采购人提出。</w:t>
      </w:r>
    </w:p>
    <w:p>
      <w:pPr>
        <w:spacing w:line="360" w:lineRule="auto"/>
        <w:ind w:firstLine="480" w:firstLineChars="200"/>
        <w:rPr>
          <w:rFonts w:ascii="宋体" w:hAnsi="宋体"/>
          <w:sz w:val="24"/>
          <w:szCs w:val="24"/>
        </w:rPr>
      </w:pPr>
      <w:r>
        <w:rPr>
          <w:rFonts w:hint="eastAsia" w:ascii="宋体" w:hAnsi="宋体"/>
          <w:sz w:val="24"/>
          <w:szCs w:val="24"/>
        </w:rPr>
        <w:t>2.5询问或者质疑事项可能影响成交结果的，采购人应当暂停签订合同，已经签订合同的，应当中止履行合同。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2.6为了使提出的质疑事项在规定时间内得到有效答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质疑人必须为本次采购活动当事人，且由法定代表人或投标授权人亲自递交到鄂尔多斯市鄂托克前旗公共资源交易中心，正式受理后方可生效，否则，为无效质疑。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2.7递交的质疑函务必提供以下信息和内容：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（3）具体的质疑事项和理由及合法有效的证明材料；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（4）质疑人的签章及提出质疑的日期。</w:t>
      </w:r>
    </w:p>
    <w:p>
      <w:pPr>
        <w:spacing w:line="360" w:lineRule="auto"/>
        <w:ind w:firstLine="480" w:firstLineChars="200"/>
        <w:rPr>
          <w:rFonts w:ascii="宋体" w:hAnsi="宋体"/>
          <w:sz w:val="24"/>
          <w:szCs w:val="24"/>
        </w:rPr>
      </w:pPr>
      <w:r>
        <w:rPr>
          <w:rFonts w:hint="eastAsia" w:ascii="宋体" w:hAnsi="宋体"/>
          <w:sz w:val="24"/>
          <w:szCs w:val="24"/>
        </w:rPr>
        <w:t>注：除亲自送达书面质疑书式外，其他任何方式的质疑，采购人或鄂尔多斯市鄂托克前旗公共资源交易中心均不予受理。供应商询问、质疑应当有明确的请求和必要的证明材料。</w:t>
      </w:r>
    </w:p>
    <w:p>
      <w:pPr>
        <w:spacing w:line="360" w:lineRule="auto"/>
        <w:ind w:firstLine="482" w:firstLineChars="200"/>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鄂尔多斯市鄂托克前旗公共资源交易中心的答复不满意或者采购人、鄂尔多斯市鄂托克前旗公共资源交易中心未在规定的时间内做出书面答复的，可以在答复期满后十五个工作日内向监督部门进行投诉。投诉程序按照财政部《政府采购供应商投诉处理办法》及相关规定执行。</w:t>
      </w:r>
    </w:p>
    <w:p>
      <w:pPr>
        <w:spacing w:line="360" w:lineRule="auto"/>
        <w:ind w:firstLine="480" w:firstLineChars="200"/>
        <w:rPr>
          <w:rFonts w:ascii="宋体" w:hAnsi="宋体"/>
          <w:sz w:val="24"/>
          <w:szCs w:val="24"/>
        </w:rPr>
      </w:pPr>
      <w:r>
        <w:rPr>
          <w:rFonts w:hint="eastAsia" w:ascii="宋体" w:hAnsi="宋体"/>
          <w:sz w:val="24"/>
          <w:szCs w:val="24"/>
        </w:rPr>
        <w:t>供应商投诉的事项不得超出已质疑事项的范围。</w:t>
      </w:r>
    </w:p>
    <w:p>
      <w:pPr>
        <w:widowControl/>
        <w:jc w:val="left"/>
        <w:rPr>
          <w:rFonts w:ascii="宋体" w:hAnsi="宋体"/>
          <w:sz w:val="24"/>
          <w:szCs w:val="24"/>
        </w:rPr>
      </w:pPr>
      <w:r>
        <w:rPr>
          <w:rFonts w:ascii="宋体" w:hAnsi="宋体"/>
          <w:sz w:val="24"/>
          <w:szCs w:val="24"/>
        </w:rPr>
        <w:br w:type="page"/>
      </w:r>
    </w:p>
    <w:bookmarkEnd w:id="2"/>
    <w:bookmarkEnd w:id="3"/>
    <w:p>
      <w:pPr>
        <w:pStyle w:val="14"/>
        <w:spacing w:line="360" w:lineRule="auto"/>
        <w:rPr>
          <w:rFonts w:ascii="宋体" w:hAnsi="宋体" w:eastAsia="宋体" w:cs="宋体"/>
          <w:sz w:val="24"/>
          <w:szCs w:val="24"/>
        </w:rPr>
      </w:pPr>
      <w:bookmarkStart w:id="6" w:name="_Toc494546020"/>
      <w:bookmarkStart w:id="7" w:name="_Toc2452"/>
      <w:r>
        <w:rPr>
          <w:rFonts w:hint="eastAsia" w:ascii="宋体" w:hAnsi="宋体" w:eastAsia="宋体" w:cs="宋体"/>
          <w:bCs w:val="0"/>
          <w:sz w:val="24"/>
          <w:szCs w:val="24"/>
        </w:rPr>
        <w:t>第三章 合同与验收</w:t>
      </w:r>
      <w:bookmarkEnd w:id="6"/>
      <w:bookmarkEnd w:id="7"/>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1.1采购人应当自中标通知书发出之日起30日内，按照谈判文件和中标人响应文件的规定，与中标人签订书面合同。所签订的合同不得对谈判文件确定的事项和中标人响应文件作实质性修改。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自合同签订之日起2个工作日内，中标人应将政府采购合同送达至旗公共资源交易中心（联系人：宋先生，联系电话：0477-7621750）存档，逾期未签订合同或未按时交回合同，将按照相关法律法规做出相应处罚。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2.1具体格式见本谈判文件后附拟签订的《合同文本》（部分合同条款），响应文件中可以不提供《合同文本》。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中标人在供货、工程竣工或服务结束后，采购人应及时组织验收，并按照谈判文件、响应文件及合同约定填写验收单（下载地址：鄂尔多斯市公共资源交易网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政府采购相关范本）。验收合格后2个工作日内，中标人应将政府采购项目验收单送达至旗公共资源交易中心（联系人：宋先生，联系电话：0477-7621750 ）存档。逾期未验收或未按时交回验收单，将按照相关法律法规做出相应处罚。</w:t>
      </w:r>
    </w:p>
    <w:p>
      <w:pPr>
        <w:rPr>
          <w:rFonts w:hAnsi="宋体"/>
          <w:sz w:val="24"/>
          <w:szCs w:val="24"/>
        </w:rPr>
      </w:pPr>
    </w:p>
    <w:p>
      <w:pPr>
        <w:jc w:val="center"/>
        <w:rPr>
          <w:rFonts w:ascii="宋体" w:hAnsi="宋体"/>
          <w:b/>
          <w:bCs/>
          <w:color w:val="000000"/>
          <w:kern w:val="44"/>
          <w:sz w:val="24"/>
          <w:szCs w:val="24"/>
          <w:lang w:val="zh-CN"/>
        </w:rPr>
      </w:pPr>
      <w:r>
        <w:rPr>
          <w:rFonts w:ascii="宋体" w:hAnsi="宋体"/>
          <w:b/>
          <w:bCs/>
          <w:color w:val="000000"/>
          <w:kern w:val="44"/>
          <w:sz w:val="24"/>
          <w:szCs w:val="24"/>
          <w:lang w:val="zh-CN"/>
        </w:rPr>
        <w:br w:type="page"/>
      </w:r>
    </w:p>
    <w:p>
      <w:pPr>
        <w:jc w:val="center"/>
        <w:rPr>
          <w:rFonts w:ascii="宋体" w:hAnsi="宋体"/>
          <w:b/>
          <w:color w:val="000000"/>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甲方：</w:t>
      </w:r>
      <w:r>
        <w:rPr>
          <w:rFonts w:hint="eastAsia" w:asciiTheme="minorEastAsia" w:hAnsiTheme="minorEastAsia" w:eastAsiaTheme="minorEastAsia"/>
          <w:b/>
          <w:color w:val="FF0000"/>
          <w:sz w:val="24"/>
          <w:szCs w:val="24"/>
        </w:rPr>
        <w:t>***（填写采购单位）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乙方：</w:t>
      </w:r>
      <w:r>
        <w:rPr>
          <w:rFonts w:hint="eastAsia" w:asciiTheme="minorEastAsia" w:hAnsiTheme="minorEastAsia" w:eastAsiaTheme="minorEastAsia"/>
          <w:b/>
          <w:color w:val="FF0000"/>
          <w:sz w:val="24"/>
          <w:szCs w:val="24"/>
        </w:rPr>
        <w:t>***（填写中标供应商）</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3、谈判文件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4、响应文件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***（见谈判文件第四章）</w:t>
      </w:r>
    </w:p>
    <w:p>
      <w:pPr>
        <w:spacing w:line="15" w:lineRule="atLeast"/>
        <w:ind w:firstLine="645"/>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五、</w:t>
      </w:r>
      <w:r>
        <w:rPr>
          <w:rFonts w:hint="eastAsia" w:asciiTheme="minorEastAsia" w:hAnsiTheme="minorEastAsia" w:eastAsiaTheme="minorEastAsia"/>
          <w:sz w:val="24"/>
          <w:szCs w:val="24"/>
          <w:lang w:eastAsia="zh-CN"/>
        </w:rPr>
        <w:t>交付使用</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日内负责处理。甲方逾期提出的，对所交标的物视为符合合同的规定。如果乙方在响应文件及谈判过程中做出的书面说明及承诺中，有明确质量保证期的，适用质量保证期。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（一）乙方应按谈判文件、响应文件及乙方在谈判过程中做出的书面说明或承诺提供及时、快速、优质的售后服务。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color w:val="E36C0A"/>
          <w:sz w:val="24"/>
          <w:szCs w:val="24"/>
          <w:u w:val="single"/>
        </w:rPr>
        <w:t xml:space="preserve">（响应文件售后承诺等） </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合同文本一式五份，采购单位、供应商、政府采购监管部门、鄂尔多斯市鄂托克前旗公共资源交易中心、国库支付执行机构各一份，自双方签订之日起生效。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附表：标的物清单（主要技术参数需与响应文件相一致）                                                </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118" w:leftChars="-42" w:right="0"/>
              <w:jc w:val="center"/>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keepNext w:val="0"/>
              <w:keepLines w:val="0"/>
              <w:suppressLineNumbers w:val="0"/>
              <w:adjustRightInd w:val="0"/>
              <w:snapToGrid w:val="0"/>
              <w:spacing w:before="0" w:beforeAutospacing="0" w:after="0" w:afterAutospacing="0" w:line="460" w:lineRule="exact"/>
              <w:ind w:left="0" w:right="0"/>
              <w:rPr>
                <w:rFonts w:asciiTheme="minorEastAsia" w:hAnsiTheme="minorEastAsia" w:eastAsiaTheme="minorEastAsia"/>
                <w:color w:val="000000"/>
                <w:sz w:val="24"/>
                <w:szCs w:val="24"/>
              </w:rPr>
            </w:pPr>
          </w:p>
        </w:tc>
        <w:tc>
          <w:tcPr>
            <w:tcW w:w="408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24"/>
                <w:szCs w:val="24"/>
              </w:rPr>
            </w:pPr>
          </w:p>
        </w:tc>
        <w:tc>
          <w:tcPr>
            <w:tcW w:w="616"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p>
        </w:tc>
        <w:tc>
          <w:tcPr>
            <w:tcW w:w="932"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940"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c>
          <w:tcPr>
            <w:tcW w:w="1413" w:type="dxa"/>
            <w:vAlign w:val="center"/>
          </w:tcPr>
          <w:p>
            <w:pPr>
              <w:keepNext w:val="0"/>
              <w:keepLines w:val="0"/>
              <w:suppressLineNumbers w:val="0"/>
              <w:adjustRightInd w:val="0"/>
              <w:snapToGrid w:val="0"/>
              <w:spacing w:before="0" w:beforeAutospacing="0" w:after="0" w:afterAutospacing="0" w:line="460" w:lineRule="exact"/>
              <w:ind w:left="0" w:righ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人民币大写：**</w:t>
            </w:r>
            <w:r>
              <w:rPr>
                <w:rFonts w:asciiTheme="minorEastAsia" w:hAnsiTheme="minorEastAsia" w:eastAsiaTheme="minorEastAsia"/>
                <w:color w:val="000000"/>
                <w:sz w:val="24"/>
                <w:szCs w:val="24"/>
              </w:rPr>
              <w:t>元</w:t>
            </w:r>
            <w:r>
              <w:rPr>
                <w:rFonts w:hint="eastAsia" w:asciiTheme="minorEastAsia" w:hAnsiTheme="minorEastAsia" w:eastAsiaTheme="minorEastAsia"/>
                <w:color w:val="000000"/>
                <w:sz w:val="24"/>
                <w:szCs w:val="24"/>
              </w:rPr>
              <w:t>整</w:t>
            </w:r>
          </w:p>
        </w:tc>
        <w:tc>
          <w:tcPr>
            <w:tcW w:w="1413"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p>
        </w:tc>
      </w:tr>
    </w:tbl>
    <w:p>
      <w:pPr>
        <w:pStyle w:val="8"/>
        <w:spacing w:line="360" w:lineRule="auto"/>
        <w:ind w:left="56" w:leftChars="20" w:right="57" w:firstLine="6076" w:firstLineChars="2532"/>
        <w:rPr>
          <w:rFonts w:hAnsi="宋体"/>
          <w:sz w:val="24"/>
          <w:szCs w:val="24"/>
        </w:rPr>
      </w:pPr>
    </w:p>
    <w:p>
      <w:pPr>
        <w:widowControl/>
        <w:jc w:val="left"/>
        <w:rPr>
          <w:rFonts w:ascii="宋体" w:hAnsi="宋体"/>
          <w:sz w:val="24"/>
          <w:szCs w:val="24"/>
          <w:lang w:val="zh-CN"/>
        </w:rPr>
      </w:pPr>
      <w:r>
        <w:rPr>
          <w:rFonts w:ascii="宋体" w:hAnsi="宋体"/>
          <w:sz w:val="24"/>
          <w:szCs w:val="24"/>
          <w:lang w:val="zh-CN"/>
        </w:rPr>
        <w:br w:type="page"/>
      </w:r>
    </w:p>
    <w:p>
      <w:pPr>
        <w:pStyle w:val="3"/>
        <w:keepNext w:val="0"/>
        <w:keepLines w:val="0"/>
        <w:spacing w:line="360" w:lineRule="auto"/>
        <w:rPr>
          <w:rFonts w:ascii="宋体" w:hAnsi="宋体"/>
          <w:sz w:val="24"/>
          <w:szCs w:val="24"/>
        </w:rPr>
      </w:pPr>
      <w:bookmarkStart w:id="8" w:name="_Toc29929"/>
      <w:r>
        <w:rPr>
          <w:rFonts w:hint="eastAsia" w:ascii="宋体" w:hAnsi="宋体"/>
          <w:sz w:val="24"/>
          <w:szCs w:val="24"/>
        </w:rPr>
        <w:t>第四章 谈判内容与技术要求</w:t>
      </w:r>
      <w:bookmarkEnd w:id="8"/>
    </w:p>
    <w:p>
      <w:pPr>
        <w:jc w:val="left"/>
        <w:rPr>
          <w:rFonts w:hAnsi="宋体"/>
          <w:sz w:val="24"/>
          <w:szCs w:val="24"/>
        </w:rPr>
      </w:pPr>
      <w:bookmarkStart w:id="9" w:name="_Toc397088603"/>
      <w:bookmarkStart w:id="10" w:name="_Toc303801500"/>
      <w:r>
        <w:rPr>
          <w:rFonts w:hint="eastAsia" w:ascii="宋体" w:hAnsi="宋体"/>
          <w:b/>
          <w:bCs/>
          <w:color w:val="000000"/>
          <w:kern w:val="44"/>
          <w:sz w:val="24"/>
          <w:szCs w:val="24"/>
        </w:rPr>
        <w:t>一.主要商务要求</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71" w:type="dxa"/>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r>
              <w:rPr>
                <w:rFonts w:hint="eastAsia" w:ascii="宋体" w:hAnsi="宋体"/>
                <w:sz w:val="24"/>
                <w:szCs w:val="24"/>
              </w:rPr>
              <w:t xml:space="preserve">   </w:t>
            </w:r>
            <w:bookmarkStart w:id="11" w:name="_Toc491862079"/>
            <w:r>
              <w:rPr>
                <w:rFonts w:hint="eastAsia" w:ascii="宋体" w:hAnsi="宋体"/>
                <w:sz w:val="24"/>
                <w:szCs w:val="24"/>
              </w:rPr>
              <w:t>主要商务条款</w:t>
            </w:r>
            <w:bookmarkEnd w:id="11"/>
          </w:p>
        </w:tc>
        <w:tc>
          <w:tcPr>
            <w:tcW w:w="6957" w:type="dxa"/>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2" w:name="_Toc491862080"/>
            <w:r>
              <w:rPr>
                <w:rFonts w:hint="eastAsia" w:ascii="宋体" w:hAnsi="宋体"/>
                <w:sz w:val="24"/>
                <w:szCs w:val="24"/>
              </w:rPr>
              <w:t>具体要求</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71" w:type="dxa"/>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3" w:name="_Toc491862082"/>
            <w:r>
              <w:rPr>
                <w:rFonts w:hint="eastAsia" w:ascii="宋体" w:hAnsi="宋体"/>
                <w:sz w:val="24"/>
                <w:szCs w:val="24"/>
              </w:rPr>
              <w:t xml:space="preserve">  采购预算</w:t>
            </w:r>
            <w:bookmarkEnd w:id="13"/>
          </w:p>
        </w:tc>
        <w:tc>
          <w:tcPr>
            <w:tcW w:w="6957" w:type="dxa"/>
            <w:vAlign w:val="center"/>
          </w:tcPr>
          <w:p>
            <w:pPr>
              <w:keepNext w:val="0"/>
              <w:keepLines w:val="0"/>
              <w:suppressLineNumbers w:val="0"/>
              <w:spacing w:before="0" w:beforeAutospacing="0" w:after="0" w:afterAutospacing="0"/>
              <w:ind w:left="0" w:right="0"/>
              <w:rPr>
                <w:rFonts w:ascii="宋体" w:hAnsi="宋体"/>
                <w:sz w:val="24"/>
                <w:szCs w:val="24"/>
              </w:rPr>
            </w:pPr>
            <w:bookmarkStart w:id="14" w:name="_Toc491862083"/>
            <w:r>
              <w:rPr>
                <w:rFonts w:hint="eastAsia" w:ascii="宋体" w:hAnsi="宋体"/>
                <w:sz w:val="24"/>
                <w:szCs w:val="24"/>
                <w:lang w:val="en-US" w:eastAsia="zh-CN"/>
              </w:rPr>
              <w:t>459101</w:t>
            </w:r>
            <w:r>
              <w:rPr>
                <w:rFonts w:hint="eastAsia" w:ascii="宋体" w:hAnsi="宋体"/>
                <w:sz w:val="24"/>
                <w:szCs w:val="24"/>
              </w:rPr>
              <w:t>.00元</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671" w:type="dxa"/>
            <w:vAlign w:val="center"/>
          </w:tcPr>
          <w:p>
            <w:pPr>
              <w:keepNext w:val="0"/>
              <w:keepLines w:val="0"/>
              <w:suppressLineNumbers w:val="0"/>
              <w:spacing w:before="0" w:beforeAutospacing="0" w:after="0" w:afterAutospacing="0" w:line="240" w:lineRule="auto"/>
              <w:ind w:left="0" w:right="0"/>
              <w:jc w:val="center"/>
              <w:rPr>
                <w:rFonts w:ascii="宋体" w:hAnsi="宋体"/>
                <w:sz w:val="24"/>
                <w:szCs w:val="24"/>
              </w:rPr>
            </w:pPr>
            <w:r>
              <w:rPr>
                <w:rFonts w:hint="eastAsia" w:ascii="宋体" w:hAnsi="宋体"/>
                <w:sz w:val="24"/>
                <w:szCs w:val="24"/>
              </w:rPr>
              <w:t>交付使用时间</w:t>
            </w:r>
          </w:p>
        </w:tc>
        <w:tc>
          <w:tcPr>
            <w:tcW w:w="6957" w:type="dxa"/>
            <w:vAlign w:val="center"/>
          </w:tcPr>
          <w:p>
            <w:pPr>
              <w:keepNext w:val="0"/>
              <w:keepLines w:val="0"/>
              <w:suppressLineNumbers w:val="0"/>
              <w:spacing w:before="0" w:beforeAutospacing="0" w:after="0" w:afterAutospacing="0" w:line="240" w:lineRule="auto"/>
              <w:ind w:left="0" w:right="0"/>
              <w:rPr>
                <w:rFonts w:ascii="宋体" w:hAnsi="宋体"/>
                <w:sz w:val="24"/>
                <w:szCs w:val="24"/>
              </w:rPr>
            </w:pPr>
            <w:r>
              <w:rPr>
                <w:rFonts w:hint="eastAsia" w:ascii="宋体" w:hAnsi="宋体"/>
                <w:sz w:val="24"/>
                <w:szCs w:val="24"/>
              </w:rPr>
              <w:t>签订合同后</w:t>
            </w:r>
            <w:r>
              <w:rPr>
                <w:rFonts w:hint="eastAsia" w:ascii="宋体" w:hAnsi="宋体"/>
                <w:sz w:val="24"/>
                <w:szCs w:val="24"/>
                <w:lang w:val="en-US" w:eastAsia="zh-CN"/>
              </w:rPr>
              <w:t>20</w:t>
            </w:r>
            <w:r>
              <w:rPr>
                <w:rFonts w:hint="eastAsia" w:ascii="宋体" w:hAnsi="宋体"/>
                <w:sz w:val="24"/>
                <w:szCs w:val="24"/>
              </w:rPr>
              <w:t>日历天内交付使用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71" w:type="dxa"/>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5" w:name="_Toc491862089"/>
            <w:r>
              <w:rPr>
                <w:rFonts w:hint="eastAsia" w:ascii="宋体" w:hAnsi="宋体"/>
                <w:sz w:val="24"/>
                <w:szCs w:val="24"/>
              </w:rPr>
              <w:t>交付使用地点</w:t>
            </w:r>
            <w:bookmarkEnd w:id="15"/>
          </w:p>
        </w:tc>
        <w:tc>
          <w:tcPr>
            <w:tcW w:w="6957" w:type="dxa"/>
            <w:vAlign w:val="center"/>
          </w:tcPr>
          <w:p>
            <w:pPr>
              <w:pStyle w:val="24"/>
              <w:keepNext w:val="0"/>
              <w:keepLines w:val="0"/>
              <w:suppressLineNumbers w:val="0"/>
              <w:spacing w:before="0" w:beforeAutospacing="0" w:after="0" w:afterAutospacing="0"/>
              <w:ind w:left="0" w:right="0" w:firstLine="0" w:firstLineChars="0"/>
              <w:rPr>
                <w:rFonts w:ascii="宋体" w:hAnsi="宋体"/>
                <w:sz w:val="24"/>
                <w:szCs w:val="24"/>
              </w:rPr>
            </w:pPr>
            <w:bookmarkStart w:id="16" w:name="_Toc491862090"/>
            <w:r>
              <w:rPr>
                <w:rFonts w:hint="eastAsia" w:ascii="宋体" w:hAnsi="宋体"/>
                <w:sz w:val="24"/>
                <w:szCs w:val="24"/>
              </w:rPr>
              <w:t>采购人指定地点。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71" w:type="dxa"/>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r>
              <w:rPr>
                <w:rFonts w:hint="eastAsia" w:ascii="宋体" w:hAnsi="宋体"/>
                <w:sz w:val="24"/>
                <w:szCs w:val="24"/>
              </w:rPr>
              <w:t>投标有效期</w:t>
            </w:r>
          </w:p>
        </w:tc>
        <w:tc>
          <w:tcPr>
            <w:tcW w:w="6957" w:type="dxa"/>
            <w:vAlign w:val="center"/>
          </w:tcPr>
          <w:p>
            <w:pPr>
              <w:pStyle w:val="24"/>
              <w:keepNext w:val="0"/>
              <w:keepLines w:val="0"/>
              <w:suppressLineNumbers w:val="0"/>
              <w:spacing w:before="0" w:beforeAutospacing="0" w:after="0" w:afterAutospacing="0"/>
              <w:ind w:left="0" w:right="0" w:firstLine="0" w:firstLineChars="0"/>
              <w:rPr>
                <w:rFonts w:ascii="宋体" w:hAnsi="宋体"/>
                <w:sz w:val="24"/>
                <w:szCs w:val="24"/>
              </w:rPr>
            </w:pPr>
            <w:r>
              <w:rPr>
                <w:rFonts w:hint="eastAsia" w:ascii="宋体" w:hAnsi="宋体"/>
                <w:color w:val="000000"/>
                <w:sz w:val="24"/>
                <w:szCs w:val="24"/>
              </w:rPr>
              <w:t>从提交响应文件的截止之日起</w:t>
            </w:r>
            <w:r>
              <w:rPr>
                <w:rFonts w:hint="eastAsia" w:ascii="宋体" w:hAnsi="宋体"/>
                <w:color w:val="000000"/>
                <w:sz w:val="24"/>
                <w:szCs w:val="24"/>
                <w:u w:val="single"/>
              </w:rPr>
              <w:t xml:space="preserve"> 90</w:t>
            </w:r>
            <w:r>
              <w:rPr>
                <w:rFonts w:hint="eastAsia" w:ascii="宋体"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71" w:type="dxa"/>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7" w:name="_Toc491862092"/>
            <w:r>
              <w:rPr>
                <w:rFonts w:hint="eastAsia" w:ascii="宋体" w:hAnsi="宋体"/>
                <w:sz w:val="24"/>
                <w:szCs w:val="24"/>
              </w:rPr>
              <w:t>质保期</w:t>
            </w:r>
            <w:bookmarkEnd w:id="17"/>
          </w:p>
        </w:tc>
        <w:tc>
          <w:tcPr>
            <w:tcW w:w="6957" w:type="dxa"/>
            <w:vAlign w:val="center"/>
          </w:tcPr>
          <w:p>
            <w:pPr>
              <w:pStyle w:val="24"/>
              <w:keepNext w:val="0"/>
              <w:keepLines w:val="0"/>
              <w:suppressLineNumbers w:val="0"/>
              <w:spacing w:before="0" w:beforeAutospacing="0" w:after="0" w:afterAutospacing="0"/>
              <w:ind w:left="0" w:right="0" w:firstLine="0" w:firstLineChars="0"/>
              <w:rPr>
                <w:rFonts w:ascii="宋体" w:hAnsi="宋体"/>
                <w:sz w:val="24"/>
                <w:szCs w:val="24"/>
              </w:rPr>
            </w:pPr>
            <w:bookmarkStart w:id="18" w:name="_Toc491862093"/>
            <w:r>
              <w:rPr>
                <w:rFonts w:hint="eastAsia" w:ascii="宋体" w:hAnsi="宋体"/>
                <w:sz w:val="24"/>
                <w:szCs w:val="24"/>
                <w:lang w:val="en-US" w:eastAsia="zh-CN"/>
              </w:rPr>
              <w:t>1</w:t>
            </w:r>
            <w:r>
              <w:rPr>
                <w:rFonts w:hint="eastAsia" w:ascii="宋体" w:hAnsi="宋体"/>
                <w:sz w:val="24"/>
                <w:szCs w:val="24"/>
              </w:rPr>
              <w:t>年。</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71" w:type="dxa"/>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bookmarkStart w:id="19" w:name="_Toc491862095"/>
            <w:r>
              <w:rPr>
                <w:rFonts w:hint="eastAsia" w:ascii="宋体" w:hAnsi="宋体"/>
                <w:sz w:val="24"/>
                <w:szCs w:val="24"/>
              </w:rPr>
              <w:t>付款方式</w:t>
            </w:r>
            <w:bookmarkEnd w:id="19"/>
          </w:p>
        </w:tc>
        <w:tc>
          <w:tcPr>
            <w:tcW w:w="6957" w:type="dxa"/>
            <w:vAlign w:val="center"/>
          </w:tcPr>
          <w:p>
            <w:pPr>
              <w:pStyle w:val="24"/>
              <w:keepNext w:val="0"/>
              <w:keepLines w:val="0"/>
              <w:suppressLineNumbers w:val="0"/>
              <w:spacing w:before="0" w:beforeAutospacing="0" w:after="0" w:afterAutospacing="0"/>
              <w:ind w:left="0" w:right="0" w:firstLine="0" w:firstLineChars="0"/>
              <w:rPr>
                <w:rFonts w:ascii="宋体" w:hAnsi="宋体"/>
                <w:sz w:val="24"/>
                <w:szCs w:val="24"/>
              </w:rPr>
            </w:pPr>
            <w:r>
              <w:rPr>
                <w:rFonts w:hint="eastAsia" w:ascii="宋体" w:hAnsi="宋体"/>
                <w:sz w:val="24"/>
                <w:szCs w:val="24"/>
              </w:rPr>
              <w:t>国库集中支付</w:t>
            </w:r>
          </w:p>
        </w:tc>
      </w:tr>
    </w:tbl>
    <w:p>
      <w:pPr>
        <w:numPr>
          <w:ilvl w:val="0"/>
          <w:numId w:val="1"/>
        </w:numPr>
        <w:spacing w:line="360" w:lineRule="auto"/>
        <w:jc w:val="left"/>
        <w:rPr>
          <w:rFonts w:hAnsi="宋体"/>
          <w:b/>
          <w:sz w:val="24"/>
          <w:szCs w:val="24"/>
        </w:rPr>
      </w:pPr>
      <w:r>
        <w:rPr>
          <w:rFonts w:hint="eastAsia" w:hAnsi="宋体"/>
          <w:b/>
          <w:sz w:val="24"/>
          <w:szCs w:val="24"/>
          <w:lang w:eastAsia="zh-CN"/>
        </w:rPr>
        <w:t>主要技术参数及</w:t>
      </w:r>
      <w:r>
        <w:rPr>
          <w:rFonts w:hint="eastAsia" w:hAnsi="宋体"/>
          <w:b/>
          <w:sz w:val="24"/>
          <w:szCs w:val="24"/>
        </w:rPr>
        <w:t>要求：</w:t>
      </w:r>
    </w:p>
    <w:tbl>
      <w:tblPr>
        <w:tblStyle w:val="15"/>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884"/>
        <w:gridCol w:w="2668"/>
        <w:gridCol w:w="3131"/>
        <w:gridCol w:w="78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8" w:type="dxa"/>
            <w:tcBorders>
              <w:tl2br w:val="nil"/>
              <w:tr2bl w:val="nil"/>
            </w:tcBorders>
            <w:vAlign w:val="center"/>
          </w:tcPr>
          <w:p>
            <w:pPr>
              <w:pStyle w:val="24"/>
              <w:keepNext w:val="0"/>
              <w:keepLines w:val="0"/>
              <w:suppressLineNumbers w:val="0"/>
              <w:spacing w:before="0" w:beforeAutospacing="0" w:after="0" w:afterAutospacing="0"/>
              <w:ind w:left="0" w:right="0" w:firstLine="0" w:firstLineChars="0"/>
              <w:rPr>
                <w:rFonts w:ascii="宋体" w:hAnsi="宋体" w:cs="宋体"/>
                <w:b/>
                <w:bCs/>
                <w:kern w:val="0"/>
                <w:sz w:val="24"/>
                <w:szCs w:val="24"/>
              </w:rPr>
            </w:pPr>
            <w:bookmarkStart w:id="20" w:name="_Toc4241"/>
            <w:r>
              <w:rPr>
                <w:rFonts w:hint="eastAsia" w:ascii="宋体" w:hAnsi="宋体" w:cs="宋体"/>
                <w:b/>
                <w:bCs/>
                <w:kern w:val="0"/>
                <w:sz w:val="24"/>
                <w:szCs w:val="24"/>
                <w:lang w:eastAsia="zh-CN"/>
              </w:rPr>
              <w:t>产品</w:t>
            </w:r>
            <w:r>
              <w:rPr>
                <w:rFonts w:hint="eastAsia" w:ascii="宋体" w:hAnsi="宋体" w:cs="宋体"/>
                <w:b/>
                <w:bCs/>
                <w:kern w:val="0"/>
                <w:sz w:val="24"/>
                <w:szCs w:val="24"/>
              </w:rPr>
              <w:t>性质</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编号</w:t>
            </w:r>
          </w:p>
        </w:tc>
        <w:tc>
          <w:tcPr>
            <w:tcW w:w="2668"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货物名称</w:t>
            </w:r>
          </w:p>
        </w:tc>
        <w:tc>
          <w:tcPr>
            <w:tcW w:w="3131"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技术参数和</w:t>
            </w:r>
            <w:r>
              <w:rPr>
                <w:rFonts w:hint="eastAsia" w:ascii="宋体" w:hAnsi="宋体" w:cs="宋体"/>
                <w:b/>
                <w:bCs/>
                <w:sz w:val="24"/>
                <w:szCs w:val="24"/>
              </w:rPr>
              <w:t>性能指标</w:t>
            </w:r>
          </w:p>
        </w:tc>
        <w:tc>
          <w:tcPr>
            <w:tcW w:w="784"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数量</w:t>
            </w:r>
          </w:p>
        </w:tc>
        <w:tc>
          <w:tcPr>
            <w:tcW w:w="852"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kern w:val="0"/>
                <w:sz w:val="24"/>
                <w:szCs w:val="24"/>
              </w:rPr>
            </w:pPr>
            <w:r>
              <w:rPr>
                <w:rFonts w:hint="eastAsia" w:ascii="宋体" w:hAnsi="宋体"/>
                <w:kern w:val="0"/>
                <w:sz w:val="24"/>
                <w:szCs w:val="24"/>
              </w:rPr>
              <w:t>△</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kern w:val="0"/>
                <w:sz w:val="24"/>
                <w:szCs w:val="24"/>
              </w:rPr>
            </w:pPr>
            <w:r>
              <w:rPr>
                <w:rFonts w:hint="eastAsia" w:ascii="宋体" w:hAnsi="宋体" w:cs="宋体"/>
                <w:kern w:val="0"/>
                <w:sz w:val="24"/>
                <w:szCs w:val="24"/>
              </w:rPr>
              <w:t>1</w:t>
            </w:r>
          </w:p>
        </w:tc>
        <w:tc>
          <w:tcPr>
            <w:tcW w:w="2668"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lang w:val="en-US"/>
              </w:rPr>
            </w:pPr>
            <w:r>
              <w:rPr>
                <w:rFonts w:hint="eastAsia" w:ascii="宋体" w:hAnsi="宋体" w:eastAsia="宋体" w:cs="宋体"/>
                <w:i w:val="0"/>
                <w:color w:val="000000"/>
                <w:kern w:val="0"/>
                <w:sz w:val="22"/>
                <w:szCs w:val="22"/>
                <w:u w:val="none"/>
                <w:lang w:val="en-US" w:eastAsia="zh-CN" w:bidi="ar"/>
              </w:rPr>
              <w:t>电动密集柜</w:t>
            </w:r>
          </w:p>
        </w:tc>
        <w:tc>
          <w:tcPr>
            <w:tcW w:w="3131"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ascii="宋体" w:hAnsi="宋体" w:cs="宋体"/>
                <w:color w:val="000000"/>
                <w:sz w:val="24"/>
                <w:szCs w:val="24"/>
              </w:rPr>
            </w:pPr>
            <w:r>
              <w:rPr>
                <w:rFonts w:hint="eastAsia" w:ascii="宋体" w:hAnsi="宋体" w:cs="宋体"/>
                <w:color w:val="000000"/>
                <w:sz w:val="24"/>
                <w:szCs w:val="24"/>
              </w:rPr>
              <w:t>附表1技术参数和性能指标</w:t>
            </w:r>
          </w:p>
        </w:tc>
        <w:tc>
          <w:tcPr>
            <w:tcW w:w="78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kern w:val="0"/>
                <w:sz w:val="24"/>
                <w:szCs w:val="24"/>
                <w:lang w:val="en-US"/>
              </w:rPr>
            </w:pPr>
            <w:r>
              <w:rPr>
                <w:rFonts w:hint="eastAsia" w:ascii="宋体" w:hAnsi="宋体" w:eastAsia="宋体" w:cs="宋体"/>
                <w:i w:val="0"/>
                <w:color w:val="000000"/>
                <w:kern w:val="0"/>
                <w:sz w:val="22"/>
                <w:szCs w:val="22"/>
                <w:u w:val="none"/>
                <w:lang w:val="en-US" w:eastAsia="zh-CN" w:bidi="ar"/>
              </w:rPr>
              <w:t>105</w:t>
            </w:r>
          </w:p>
        </w:tc>
        <w:tc>
          <w:tcPr>
            <w:tcW w:w="852"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i w:val="0"/>
                <w:color w:val="000000"/>
                <w:kern w:val="0"/>
                <w:sz w:val="22"/>
                <w:szCs w:val="22"/>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kern w:val="0"/>
                <w:sz w:val="24"/>
                <w:szCs w:val="24"/>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2668"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lang w:val="en-US" w:eastAsia="zh-CN"/>
              </w:rPr>
            </w:pPr>
            <w:r>
              <w:rPr>
                <w:rFonts w:hint="eastAsia" w:ascii="宋体" w:hAnsi="宋体" w:eastAsia="宋体" w:cs="宋体"/>
                <w:i w:val="0"/>
                <w:color w:val="000000"/>
                <w:kern w:val="0"/>
                <w:sz w:val="22"/>
                <w:szCs w:val="22"/>
                <w:u w:val="none"/>
                <w:lang w:val="en-US" w:eastAsia="zh-CN" w:bidi="ar"/>
              </w:rPr>
              <w:t>恒湿机</w:t>
            </w:r>
          </w:p>
        </w:tc>
        <w:tc>
          <w:tcPr>
            <w:tcW w:w="3131"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2</w:t>
            </w:r>
            <w:r>
              <w:rPr>
                <w:rFonts w:hint="eastAsia" w:ascii="宋体" w:hAnsi="宋体" w:cs="宋体"/>
                <w:color w:val="000000"/>
                <w:sz w:val="24"/>
                <w:szCs w:val="24"/>
              </w:rPr>
              <w:t>技术参数和性能指标</w:t>
            </w:r>
          </w:p>
        </w:tc>
        <w:tc>
          <w:tcPr>
            <w:tcW w:w="78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52"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7" w:type="dxa"/>
            <w:gridSpan w:val="6"/>
            <w:tcBorders>
              <w:tl2br w:val="nil"/>
              <w:tr2bl w:val="nil"/>
            </w:tcBorders>
            <w:vAlign w:val="center"/>
          </w:tcPr>
          <w:p>
            <w:pPr>
              <w:keepNext w:val="0"/>
              <w:keepLines w:val="0"/>
              <w:suppressLineNumbers w:val="0"/>
              <w:spacing w:before="0" w:beforeAutospacing="0" w:after="0" w:afterAutospacing="0"/>
              <w:ind w:left="0" w:right="0"/>
              <w:rPr>
                <w:rFonts w:ascii="宋体" w:hAnsi="宋体" w:cs="宋体"/>
                <w:kern w:val="0"/>
                <w:sz w:val="24"/>
                <w:szCs w:val="24"/>
              </w:rPr>
            </w:pPr>
            <w:r>
              <w:rPr>
                <w:rFonts w:hint="eastAsia" w:ascii="宋体" w:hAnsi="宋体" w:cs="宋体"/>
                <w:kern w:val="0"/>
                <w:sz w:val="24"/>
                <w:szCs w:val="24"/>
              </w:rPr>
              <w:t>注：1.“</w:t>
            </w:r>
            <w:r>
              <w:rPr>
                <w:rFonts w:hint="eastAsia" w:ascii="宋体" w:hAnsi="宋体" w:cs="宋体"/>
                <w:kern w:val="0"/>
                <w:sz w:val="24"/>
                <w:szCs w:val="24"/>
                <w:lang w:eastAsia="zh-CN"/>
              </w:rPr>
              <w:t>产品</w:t>
            </w:r>
            <w:r>
              <w:rPr>
                <w:rFonts w:hint="eastAsia" w:ascii="宋体" w:hAnsi="宋体" w:cs="宋体"/>
                <w:kern w:val="0"/>
                <w:sz w:val="24"/>
                <w:szCs w:val="24"/>
              </w:rPr>
              <w:t>性质”标“</w:t>
            </w:r>
            <w:r>
              <w:rPr>
                <w:rFonts w:hint="eastAsia" w:ascii="宋体" w:hAnsi="宋体"/>
                <w:kern w:val="0"/>
                <w:sz w:val="24"/>
                <w:szCs w:val="24"/>
              </w:rPr>
              <w:t>△</w:t>
            </w:r>
            <w:r>
              <w:rPr>
                <w:rFonts w:hint="eastAsia" w:ascii="宋体" w:hAnsi="宋体" w:cs="宋体"/>
                <w:kern w:val="0"/>
                <w:sz w:val="24"/>
                <w:szCs w:val="24"/>
              </w:rPr>
              <w:t>”表示此</w:t>
            </w:r>
            <w:r>
              <w:rPr>
                <w:rFonts w:hint="eastAsia" w:ascii="宋体" w:hAnsi="宋体" w:cs="宋体"/>
                <w:kern w:val="0"/>
                <w:sz w:val="24"/>
                <w:szCs w:val="24"/>
                <w:lang w:eastAsia="zh-CN"/>
              </w:rPr>
              <w:t>次项目的</w:t>
            </w:r>
            <w:r>
              <w:rPr>
                <w:rFonts w:hint="eastAsia" w:ascii="宋体" w:hAnsi="宋体" w:cs="宋体"/>
                <w:kern w:val="0"/>
                <w:sz w:val="24"/>
                <w:szCs w:val="24"/>
              </w:rPr>
              <w:t>核心</w:t>
            </w:r>
            <w:r>
              <w:rPr>
                <w:rFonts w:hint="eastAsia" w:ascii="宋体" w:hAnsi="宋体" w:cs="宋体"/>
                <w:kern w:val="0"/>
                <w:sz w:val="24"/>
                <w:szCs w:val="24"/>
                <w:lang w:eastAsia="zh-CN"/>
              </w:rPr>
              <w:t>产品</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sz w:val="24"/>
                <w:szCs w:val="24"/>
              </w:rPr>
              <w:t>提供核心产品为同一品牌同一型号的不同供应商参加同一项目投标的，评标时以其中通过初步审查且首轮报价最低的投标供应商作为有效投标单位，其余按无效投标处理。</w:t>
            </w:r>
          </w:p>
        </w:tc>
      </w:tr>
    </w:tbl>
    <w:p>
      <w:pPr>
        <w:spacing w:line="360" w:lineRule="auto"/>
        <w:rPr>
          <w:rFonts w:ascii="宋体" w:hAnsi="宋体" w:cs="宋体"/>
          <w:b/>
          <w:sz w:val="24"/>
          <w:szCs w:val="24"/>
        </w:rPr>
      </w:pPr>
      <w:r>
        <w:rPr>
          <w:rFonts w:hint="eastAsia" w:ascii="宋体" w:hAnsi="宋体" w:cs="宋体"/>
          <w:b/>
          <w:sz w:val="24"/>
          <w:szCs w:val="24"/>
        </w:rPr>
        <w:t>附表1技术参数和性能指标。货物名称：</w:t>
      </w:r>
      <w:r>
        <w:rPr>
          <w:rFonts w:hint="eastAsia" w:ascii="宋体" w:hAnsi="宋体" w:cs="宋体"/>
          <w:b/>
          <w:sz w:val="24"/>
          <w:szCs w:val="24"/>
          <w:lang w:val="en-US" w:eastAsia="zh-CN"/>
        </w:rPr>
        <w:t>电动密集柜</w:t>
      </w:r>
      <w:r>
        <w:rPr>
          <w:rFonts w:hint="eastAsia" w:ascii="宋体" w:hAnsi="宋体" w:cs="宋体"/>
          <w:b/>
          <w:sz w:val="24"/>
          <w:szCs w:val="24"/>
        </w:rPr>
        <w:t>。</w:t>
      </w:r>
    </w:p>
    <w:tbl>
      <w:tblPr>
        <w:tblStyle w:val="15"/>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hint="eastAsia" w:ascii="宋体" w:hAnsi="宋体"/>
                <w:kern w:val="0"/>
                <w:sz w:val="24"/>
                <w:szCs w:val="24"/>
              </w:rPr>
              <w:t>△</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轨道：地轨座，GB711-88 ST-12冷轧钢板 δ=3.0， 导轨，GB699-88 实心方钢 20*20mm；底盘：底梁、轴承档火紧块 GB711-88 ST-12冷轧钢板 δ=3.0； 架体：立柱采用GB710-88 ST-12冷轧钢板 δ=1.5， 搁板、 挂板采用GB710-88 ST-12冷轧钢板 δ=1.2； 门面：门框采用GB710-88 ST-12冷轧钢板 δ=1.2，定位模块采用ABS注塑件； 侧护板采用GB710-88 ST-12冷轧钢板 δ=1.0；传动机构：轴承采用GB1285-88 B级204，传动轴采用HB220-290 45#实心优质钢 ?20，连接钢管采用GB699-88无缝钢管?25*25，铁滚轮采用GB9439-88 HT20-40，链轮采用GB1135-89 滚轮精制ZG45，链条采用GB1135-89  B系列08B-2，Φ8.5节距12.7  FR420，手摇柄采用GB1285-85ZG45双向超越离合器结构； 制动装置：边列锁定装置808锁；中间列制动装置； 防护装置：防震装置采用磁性冰箱门吸条，防尘板、顶板采用GB710-88 ST-12冷轧钢板 δ=1.0，防鼠板采用GB710-88 ST-12冷轧钢板 δ=1.0，防倾倒装置采用GB711-88 ST-12冷轧钢板 δ=3.0；表面处理：前处理药剂采用Zn系磷化，表面喷塑环氧型聚脂混合粉； 驱动电机采用36V直流90W以上缓启动直流电机驱动；人机交互固定列采用10.5寸以上嵌入式设计的彩色液晶触摸屏控制，移动列采用欣瑞达7寸以上的彩色液晶触摸屏控制；语音提示采用高品质独立语音模块进行语音提示，手摇操作采用电动、手动无缝切换，自动灯光采用LED照明的自动灯光系统，控制软件保密及权限:管理员通过密码认证进入操作系统</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恒湿机</w:t>
      </w:r>
      <w:r>
        <w:rPr>
          <w:rFonts w:hint="eastAsia" w:ascii="宋体" w:hAnsi="宋体" w:cs="宋体"/>
          <w:b/>
          <w:sz w:val="24"/>
          <w:szCs w:val="24"/>
        </w:rPr>
        <w:t>。</w:t>
      </w:r>
    </w:p>
    <w:tbl>
      <w:tblPr>
        <w:tblStyle w:val="15"/>
        <w:tblW w:w="9407" w:type="dxa"/>
        <w:jc w:val="center"/>
        <w:tblLayout w:type="fixed"/>
        <w:tblCellMar>
          <w:top w:w="0" w:type="dxa"/>
          <w:left w:w="108" w:type="dxa"/>
          <w:bottom w:w="0" w:type="dxa"/>
          <w:right w:w="108" w:type="dxa"/>
        </w:tblCellMar>
      </w:tblPr>
      <w:tblGrid>
        <w:gridCol w:w="1229"/>
        <w:gridCol w:w="722"/>
        <w:gridCol w:w="6016"/>
        <w:gridCol w:w="1440"/>
      </w:tblGrid>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编号</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技术参数和性能指标</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sz w:val="24"/>
                <w:szCs w:val="24"/>
              </w:rPr>
            </w:pPr>
            <w:r>
              <w:rPr>
                <w:rFonts w:hint="eastAsia" w:ascii="宋体" w:hAnsi="宋体" w:cs="宋体"/>
                <w:b/>
                <w:bCs/>
                <w:sz w:val="24"/>
                <w:szCs w:val="24"/>
              </w:rPr>
              <w:t>佐证材料</w:t>
            </w:r>
          </w:p>
        </w:tc>
      </w:tr>
      <w:tr>
        <w:tblPrEx>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p>
        </w:tc>
        <w:tc>
          <w:tcPr>
            <w:tcW w:w="7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kern w:val="0"/>
                <w:sz w:val="24"/>
                <w:szCs w:val="24"/>
                <w:lang w:bidi="lo-LA"/>
              </w:rPr>
            </w:pPr>
            <w:r>
              <w:rPr>
                <w:rFonts w:ascii="宋体" w:hAnsi="宋体"/>
                <w:kern w:val="0"/>
                <w:sz w:val="24"/>
                <w:szCs w:val="24"/>
                <w:lang w:bidi="lo-LA"/>
              </w:rPr>
              <w:t>1</w:t>
            </w:r>
          </w:p>
        </w:tc>
        <w:tc>
          <w:tcPr>
            <w:tcW w:w="60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1.主机大小   ： 900MM宽X600MM深X1625MM高</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2.重量       ： 〈250KG（水箱空），〈320KG （水箱满）</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3.电源     ： 220V 60Hz 30A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4.功耗     ： 12A 220V当在21℃产生50%湿度时。</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5.最大工作电流  ： 25A  220V 50HZ。</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6.去水      ： 地面去水口。</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7.供水管     ： 内径6MM。</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8.空气过滤介体 ： 活性碳</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9.水过滤介体  ： 反渗透</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10.气管    ： 內径25,50MM </w:t>
            </w:r>
          </w:p>
          <w:p>
            <w:pPr>
              <w:keepNext w:val="0"/>
              <w:keepLines w:val="0"/>
              <w:suppressLineNumbers w:val="0"/>
              <w:spacing w:before="0" w:beforeAutospacing="0" w:after="0" w:afterAutospacing="0"/>
              <w:ind w:left="0" w:right="0"/>
              <w:rPr>
                <w:rFonts w:hint="eastAsia" w:ascii="宋体" w:hAnsi="宋体"/>
                <w:color w:val="000000"/>
                <w:sz w:val="24"/>
                <w:szCs w:val="24"/>
                <w:lang w:val="en-US" w:eastAsia="zh-CN"/>
              </w:rPr>
            </w:pPr>
            <w:r>
              <w:rPr>
                <w:rFonts w:hint="eastAsia" w:ascii="宋体" w:hAnsi="宋体"/>
                <w:color w:val="000000"/>
                <w:sz w:val="24"/>
                <w:szCs w:val="24"/>
                <w:lang w:val="en-US" w:eastAsia="zh-CN"/>
              </w:rPr>
              <w:t>11.输出容量   ： 在工作温度15-32℃，湿度35%-75%及控制精度为正负2%时，可提供气流为 30CFM/50立方米每小时，该气流足够供给一个200立方米的展柜（密封度为每天4次换气）。</w:t>
            </w:r>
          </w:p>
          <w:p>
            <w:pPr>
              <w:keepNext w:val="0"/>
              <w:keepLines w:val="0"/>
              <w:suppressLineNumbers w:val="0"/>
              <w:spacing w:before="0" w:beforeAutospacing="0" w:after="0" w:afterAutospacing="0"/>
              <w:ind w:left="0" w:right="0"/>
              <w:rPr>
                <w:rFonts w:ascii="宋体" w:hAnsi="宋体" w:cs="宋体"/>
                <w:kern w:val="0"/>
                <w:sz w:val="24"/>
                <w:szCs w:val="24"/>
                <w:lang w:bidi="lo-LA"/>
              </w:rPr>
            </w:pPr>
            <w:r>
              <w:rPr>
                <w:rFonts w:hint="eastAsia" w:ascii="宋体" w:hAnsi="宋体"/>
                <w:color w:val="000000"/>
                <w:sz w:val="24"/>
                <w:szCs w:val="24"/>
                <w:lang w:val="en-US" w:eastAsia="zh-CN"/>
              </w:rPr>
              <w:t>12.配件   :  无线监控，实时数据储存和触摸控制屏等。</w:t>
            </w:r>
            <w:r>
              <w:rPr>
                <w:rFonts w:hint="eastAsia" w:ascii="宋体" w:hAnsi="宋体"/>
                <w:color w:val="000000"/>
                <w:sz w:val="24"/>
                <w:szCs w:val="24"/>
              </w:rPr>
              <w:t xml:space="preserve">             </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1"/>
                <w:szCs w:val="22"/>
                <w:lang w:eastAsia="zh-CN" w:bidi="mn-Mong-CN"/>
              </w:rPr>
            </w:pPr>
          </w:p>
        </w:tc>
      </w:tr>
    </w:tbl>
    <w:p>
      <w:pPr>
        <w:keepNext w:val="0"/>
        <w:keepLines w:val="0"/>
        <w:widowControl/>
        <w:numPr>
          <w:ilvl w:val="0"/>
          <w:numId w:val="2"/>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以上凡涉及到品牌的则仅供参考，投标人可投不低于参考品牌的其他品牌产品。</w:t>
      </w:r>
    </w:p>
    <w:p>
      <w:pPr>
        <w:keepNext w:val="0"/>
        <w:keepLines w:val="0"/>
        <w:widowControl/>
        <w:numPr>
          <w:ilvl w:val="0"/>
          <w:numId w:val="2"/>
        </w:numPr>
        <w:suppressLineNumbers w:val="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供应商必须符合参数的全部要求，如果中标者验收时不符合参数标准，此标作为废标处        理。</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3</w:t>
      </w:r>
      <w:r>
        <w:rPr>
          <w:rFonts w:ascii="宋体" w:hAnsi="宋体" w:eastAsia="宋体" w:cs="宋体"/>
          <w:kern w:val="0"/>
          <w:sz w:val="24"/>
          <w:szCs w:val="24"/>
          <w:lang w:val="en-US" w:eastAsia="zh-CN" w:bidi="ar"/>
        </w:rPr>
        <w:t>.谈判小组根据与供应商谈判情况可能实质性变动的内容：质保期、及产品参数等。</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4.</w:t>
      </w:r>
      <w:r>
        <w:rPr>
          <w:rFonts w:hint="eastAsia" w:ascii="宋体" w:hAnsi="宋体" w:cs="宋体"/>
          <w:kern w:val="0"/>
          <w:sz w:val="24"/>
          <w:szCs w:val="24"/>
        </w:rPr>
        <w:t>“参数性质”标“</w:t>
      </w:r>
      <w:r>
        <w:rPr>
          <w:rFonts w:hint="eastAsia" w:ascii="宋体" w:hAnsi="宋体"/>
          <w:kern w:val="0"/>
          <w:sz w:val="24"/>
          <w:szCs w:val="24"/>
        </w:rPr>
        <w:t>△</w:t>
      </w:r>
      <w:r>
        <w:rPr>
          <w:rFonts w:hint="eastAsia" w:ascii="宋体" w:hAnsi="宋体" w:cs="宋体"/>
          <w:kern w:val="0"/>
          <w:sz w:val="24"/>
          <w:szCs w:val="24"/>
        </w:rPr>
        <w:t>”表示此设备为核心设备。</w:t>
      </w: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w:t>
      </w:r>
      <w:r>
        <w:rPr>
          <w:rFonts w:ascii="宋体" w:hAnsi="宋体" w:eastAsia="宋体" w:cs="宋体"/>
          <w:kern w:val="0"/>
          <w:sz w:val="24"/>
          <w:szCs w:val="24"/>
          <w:lang w:val="en-US" w:eastAsia="zh-CN" w:bidi="ar"/>
        </w:rPr>
        <w:t>.供应商如对以上产品参数有疑问，截止报名时间之前向采购人或采购代理机构提出，过期则视为同意。</w:t>
      </w:r>
    </w:p>
    <w:p>
      <w:pPr>
        <w:keepNext w:val="0"/>
        <w:keepLines w:val="0"/>
        <w:widowControl/>
        <w:numPr>
          <w:ilvl w:val="0"/>
          <w:numId w:val="0"/>
        </w:numPr>
        <w:suppressLineNumbers w:val="0"/>
        <w:ind w:left="240" w:hanging="240" w:hangingChars="100"/>
        <w:jc w:val="left"/>
        <w:rPr>
          <w:rFonts w:hint="eastAsia" w:ascii="宋体" w:hAnsi="宋体"/>
          <w:color w:val="auto"/>
          <w:sz w:val="24"/>
          <w:szCs w:val="24"/>
        </w:rPr>
      </w:pPr>
      <w:r>
        <w:rPr>
          <w:rFonts w:hint="eastAsia" w:ascii="宋体" w:hAnsi="宋体" w:cs="宋体"/>
          <w:kern w:val="0"/>
          <w:sz w:val="24"/>
          <w:szCs w:val="24"/>
          <w:lang w:val="en-US" w:eastAsia="zh-CN" w:bidi="ar"/>
        </w:rPr>
        <w:t>6.</w:t>
      </w:r>
      <w:r>
        <w:rPr>
          <w:rFonts w:ascii="宋体" w:hAnsi="宋体" w:eastAsia="宋体" w:cs="宋体"/>
          <w:kern w:val="0"/>
          <w:sz w:val="24"/>
          <w:szCs w:val="24"/>
          <w:lang w:val="en-US" w:eastAsia="zh-CN" w:bidi="ar"/>
        </w:rPr>
        <w:t>以上凡涉及到品牌的则仅供参考，投标人可投不低于参考品牌的其他品牌产品。</w:t>
      </w:r>
    </w:p>
    <w:p>
      <w:pPr>
        <w:pStyle w:val="3"/>
        <w:keepNext w:val="0"/>
        <w:keepLines w:val="0"/>
        <w:numPr>
          <w:ilvl w:val="0"/>
          <w:numId w:val="0"/>
        </w:numPr>
        <w:spacing w:before="0" w:after="0" w:line="360" w:lineRule="auto"/>
        <w:jc w:val="center"/>
        <w:rPr>
          <w:rFonts w:hint="eastAsia" w:ascii="宋体" w:hAnsi="宋体"/>
          <w:color w:val="000000"/>
          <w:sz w:val="24"/>
          <w:szCs w:val="24"/>
        </w:rPr>
      </w:pPr>
    </w:p>
    <w:p>
      <w:pPr>
        <w:rPr>
          <w:rFonts w:hint="eastAsia" w:ascii="宋体" w:hAnsi="宋体"/>
          <w:color w:val="000000"/>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keepNext w:val="0"/>
        <w:keepLines w:val="0"/>
        <w:numPr>
          <w:ilvl w:val="0"/>
          <w:numId w:val="0"/>
        </w:numPr>
        <w:spacing w:before="0" w:after="0" w:line="360" w:lineRule="auto"/>
        <w:jc w:val="center"/>
        <w:rPr>
          <w:rFonts w:ascii="宋体" w:hAnsi="宋体" w:cs="宋体"/>
          <w:b w:val="0"/>
          <w:bCs w:val="0"/>
          <w:kern w:val="0"/>
          <w:sz w:val="24"/>
          <w:szCs w:val="24"/>
          <w:lang w:val="en-US"/>
        </w:rPr>
      </w:pPr>
      <w:r>
        <w:rPr>
          <w:rFonts w:hint="eastAsia" w:ascii="宋体" w:hAnsi="宋体"/>
          <w:color w:val="000000"/>
          <w:sz w:val="24"/>
          <w:szCs w:val="24"/>
        </w:rPr>
        <w:t>第五章 供应商资格证明及相关文件要求</w:t>
      </w:r>
      <w:bookmarkEnd w:id="20"/>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供应商应提交证明其有资格参加投标和成交后有能力履行合同的文件，并作为其响应文件的一部分，所有文件</w:t>
      </w:r>
      <w:r>
        <w:rPr>
          <w:rFonts w:hint="eastAsia" w:ascii="宋体" w:hAnsi="宋体" w:cs="宋体"/>
          <w:sz w:val="24"/>
          <w:szCs w:val="24"/>
        </w:rPr>
        <w:t>必须真实可靠、不得伪造，否则将按相关规定予以处罚。资质证明文件及其他文件</w:t>
      </w:r>
      <w:r>
        <w:rPr>
          <w:rFonts w:hint="eastAsia" w:ascii="宋体" w:hAnsi="宋体" w:cs="宋体"/>
          <w:kern w:val="0"/>
          <w:sz w:val="24"/>
          <w:szCs w:val="24"/>
        </w:rPr>
        <w:t>应包括：</w:t>
      </w:r>
    </w:p>
    <w:p>
      <w:pPr>
        <w:spacing w:line="360" w:lineRule="auto"/>
        <w:ind w:firstLine="482" w:firstLineChars="201"/>
        <w:rPr>
          <w:rFonts w:ascii="宋体" w:hAnsi="宋体" w:cs="宋体"/>
          <w:sz w:val="24"/>
          <w:szCs w:val="24"/>
        </w:rPr>
      </w:pPr>
      <w:r>
        <w:rPr>
          <w:rFonts w:hint="eastAsia" w:ascii="宋体" w:hAnsi="宋体" w:cs="宋体"/>
          <w:sz w:val="24"/>
          <w:szCs w:val="24"/>
        </w:rPr>
        <w:t>一.供应商的资格性证明文件</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1. 法人营业执照副本（三证合一） ；</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2．委托代表投标时的法人代表授权书（开标时需另行提供原件一份）；</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3．具有良好的商业信誉：</w:t>
      </w:r>
      <w:r>
        <w:rPr>
          <w:rFonts w:hint="eastAsia" w:ascii="宋体" w:hAnsi="宋体" w:cs="宋体"/>
          <w:sz w:val="24"/>
          <w:szCs w:val="24"/>
        </w:rPr>
        <w:tab/>
      </w:r>
      <w:r>
        <w:rPr>
          <w:rFonts w:hint="eastAsia" w:ascii="宋体" w:hAnsi="宋体" w:cs="宋体"/>
          <w:sz w:val="24"/>
          <w:szCs w:val="24"/>
        </w:rPr>
        <w:t xml:space="preserve">供应商需提供由“征信中心网”（https://ipcrs.pbccrc.org.cn/）查询的信用报告； </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sz w:val="24"/>
          <w:szCs w:val="24"/>
        </w:rPr>
        <w:t>4.供应商是企业或个体经营户的需带公司法人身份证及公司营业执照和公章去项目所在地或当地中国人民银行出具信用报告。</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5．供应商依法缴纳税收证明（以税务机关提供的纳税凭证或银行入账单为准）；</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6．供应商为企业员工缴纳社保资金的凭证（以社保机构出具的缴纳纪录凭证或银行入账单为准）；</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7．供应商参加政府采购前三年内在经营活动中没有重大违法记录书面声明；</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8.供应商须在</w:t>
      </w:r>
      <w:r>
        <w:rPr>
          <w:rFonts w:hint="eastAsia" w:ascii="宋体" w:hAnsi="宋体" w:cs="宋体"/>
          <w:sz w:val="24"/>
          <w:szCs w:val="24"/>
          <w:lang w:eastAsia="zh-CN"/>
        </w:rPr>
        <w:t>响应文件</w:t>
      </w:r>
      <w:r>
        <w:rPr>
          <w:rFonts w:hint="eastAsia" w:ascii="宋体" w:hAnsi="宋体" w:cs="宋体"/>
          <w:sz w:val="24"/>
          <w:szCs w:val="24"/>
        </w:rPr>
        <w:t>中提供企业工商注册所在地或项目所在地信用管理中心出具的《信用信息查询结果》且在有效期范围内，办理步骤：详见第七章格式。</w:t>
      </w:r>
    </w:p>
    <w:p>
      <w:pPr>
        <w:pStyle w:val="2"/>
        <w:spacing w:line="240" w:lineRule="auto"/>
        <w:ind w:firstLine="480" w:firstLineChars="200"/>
        <w:rPr>
          <w:rFonts w:hint="eastAsia" w:ascii="宋体" w:hAnsi="宋体" w:cs="宋体"/>
          <w:sz w:val="24"/>
          <w:szCs w:val="24"/>
        </w:rPr>
      </w:pPr>
      <w:r>
        <w:rPr>
          <w:rFonts w:hint="eastAsia"/>
          <w:sz w:val="24"/>
          <w:szCs w:val="24"/>
          <w:lang w:val="en-US" w:eastAsia="zh-CN"/>
        </w:rPr>
        <w:t>9.</w:t>
      </w:r>
      <w:r>
        <w:rPr>
          <w:rFonts w:hint="eastAsia" w:ascii="宋体" w:hAnsi="宋体" w:cs="宋体"/>
          <w:sz w:val="24"/>
          <w:szCs w:val="24"/>
        </w:rPr>
        <w:t>投标人须具备有效的中国环境标志产品认证证书；</w:t>
      </w:r>
    </w:p>
    <w:p>
      <w:pPr>
        <w:numPr>
          <w:ilvl w:val="0"/>
          <w:numId w:val="0"/>
        </w:numPr>
        <w:autoSpaceDE w:val="0"/>
        <w:autoSpaceDN w:val="0"/>
        <w:adjustRightInd w:val="0"/>
        <w:snapToGrid w:val="0"/>
        <w:spacing w:line="360" w:lineRule="auto"/>
        <w:ind w:leftChars="0" w:right="32" w:rightChars="0" w:firstLine="480" w:firstLineChars="200"/>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谈判文件对供应商的其他资格要求。</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以上文件除要求提供原件以外，其余均在响应文件中提供复印件并加盖供应商公章；如不提供则为无效投标。</w:t>
      </w:r>
    </w:p>
    <w:p>
      <w:pPr>
        <w:spacing w:line="360" w:lineRule="auto"/>
        <w:ind w:firstLine="482" w:firstLineChars="201"/>
        <w:rPr>
          <w:rFonts w:ascii="宋体" w:hAnsi="宋体"/>
          <w:sz w:val="24"/>
          <w:szCs w:val="24"/>
        </w:rPr>
      </w:pPr>
      <w:r>
        <w:rPr>
          <w:rFonts w:hint="eastAsia" w:ascii="宋体" w:hAnsi="宋体"/>
          <w:sz w:val="24"/>
          <w:szCs w:val="24"/>
        </w:rPr>
        <w:t>二.供应商应提供的其它材料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与投标产品型号及技术参数相关的佐证文件，如产品检测报告、鉴定证书、技术白皮书、说明书、产品彩页等；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能够真实反映供应商业绩的有效证明材料，如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供应商认为需要提供的证明文件及资料。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除在本谈判文件中明确规定不提供为无效投标外，其余均供评委在评审时参考</w:t>
      </w:r>
      <w:r>
        <w:rPr>
          <w:rFonts w:hint="eastAsia" w:ascii="宋体" w:hAnsi="宋体"/>
          <w:sz w:val="24"/>
          <w:szCs w:val="24"/>
        </w:rPr>
        <w:t>。</w:t>
      </w:r>
      <w:r>
        <w:rPr>
          <w:rFonts w:ascii="宋体" w:hAnsi="宋体"/>
          <w:sz w:val="24"/>
          <w:szCs w:val="24"/>
        </w:rPr>
        <w:br w:type="page"/>
      </w:r>
    </w:p>
    <w:p>
      <w:pPr>
        <w:pStyle w:val="3"/>
        <w:keepNext w:val="0"/>
        <w:keepLines w:val="0"/>
        <w:spacing w:line="360" w:lineRule="auto"/>
        <w:rPr>
          <w:rFonts w:ascii="宋体" w:hAnsi="宋体"/>
          <w:color w:val="000000"/>
          <w:sz w:val="24"/>
          <w:szCs w:val="24"/>
        </w:rPr>
      </w:pPr>
      <w:bookmarkStart w:id="21" w:name="_Toc14867"/>
      <w:r>
        <w:rPr>
          <w:rFonts w:hint="eastAsia" w:ascii="宋体" w:hAnsi="宋体"/>
          <w:color w:val="000000"/>
          <w:sz w:val="24"/>
          <w:szCs w:val="24"/>
        </w:rPr>
        <w:t xml:space="preserve">第六章 </w:t>
      </w:r>
      <w:r>
        <w:rPr>
          <w:rFonts w:hint="eastAsia" w:ascii="宋体" w:hAnsi="宋体"/>
          <w:sz w:val="24"/>
          <w:szCs w:val="24"/>
        </w:rPr>
        <w:t>谈判程序及方法</w:t>
      </w:r>
      <w:bookmarkEnd w:id="9"/>
      <w:bookmarkEnd w:id="21"/>
    </w:p>
    <w:p>
      <w:pPr>
        <w:spacing w:line="360" w:lineRule="auto"/>
        <w:ind w:firstLine="482" w:firstLineChars="200"/>
        <w:rPr>
          <w:rFonts w:ascii="宋体" w:hAnsi="宋体"/>
          <w:b/>
          <w:sz w:val="24"/>
          <w:szCs w:val="24"/>
        </w:rPr>
      </w:pPr>
      <w:bookmarkStart w:id="22" w:name="_Toc355703243"/>
      <w:bookmarkStart w:id="23" w:name="_Toc355703360"/>
      <w:bookmarkStart w:id="24" w:name="_Toc257983096"/>
      <w:r>
        <w:rPr>
          <w:rFonts w:hint="eastAsia" w:ascii="宋体" w:hAnsi="宋体"/>
          <w:b/>
          <w:sz w:val="24"/>
          <w:szCs w:val="24"/>
        </w:rPr>
        <w:t>一.</w:t>
      </w:r>
      <w:r>
        <w:rPr>
          <w:rFonts w:ascii="宋体" w:hAnsi="宋体"/>
          <w:b/>
          <w:sz w:val="24"/>
          <w:szCs w:val="24"/>
        </w:rPr>
        <w:t xml:space="preserve"> </w:t>
      </w:r>
      <w:r>
        <w:rPr>
          <w:rFonts w:hint="eastAsia" w:ascii="宋体" w:hAnsi="宋体"/>
          <w:b/>
          <w:sz w:val="24"/>
          <w:szCs w:val="24"/>
        </w:rPr>
        <w:t>评标原则</w:t>
      </w:r>
    </w:p>
    <w:p>
      <w:pPr>
        <w:spacing w:after="120" w:line="360" w:lineRule="auto"/>
        <w:ind w:firstLine="446" w:firstLineChars="186"/>
        <w:rPr>
          <w:rFonts w:ascii="宋体" w:hAnsi="宋体"/>
          <w:b/>
          <w:kern w:val="0"/>
          <w:sz w:val="24"/>
          <w:szCs w:val="24"/>
        </w:rPr>
      </w:pPr>
      <w:r>
        <w:rPr>
          <w:rFonts w:hint="eastAsia" w:ascii="宋体" w:hAnsi="宋体"/>
          <w:sz w:val="24"/>
          <w:szCs w:val="24"/>
        </w:rPr>
        <w:t>评审活动遵循公开、公平、公正、择优的原则进行。谈判小组将综合分析供应商的各项指标，而不以单项指标的优劣评选出预中标人。</w:t>
      </w:r>
    </w:p>
    <w:p>
      <w:pPr>
        <w:spacing w:after="120" w:line="360" w:lineRule="auto"/>
        <w:ind w:firstLine="448" w:firstLineChars="186"/>
        <w:rPr>
          <w:rFonts w:ascii="宋体" w:hAnsi="宋体"/>
          <w:b/>
          <w:kern w:val="0"/>
          <w:sz w:val="24"/>
          <w:szCs w:val="24"/>
        </w:rPr>
      </w:pPr>
      <w:r>
        <w:rPr>
          <w:rFonts w:hint="eastAsia" w:ascii="宋体" w:hAnsi="宋体"/>
          <w:b/>
          <w:kern w:val="0"/>
          <w:sz w:val="24"/>
          <w:szCs w:val="24"/>
        </w:rPr>
        <w:t>二.谈判</w:t>
      </w:r>
      <w:bookmarkEnd w:id="22"/>
      <w:bookmarkEnd w:id="23"/>
      <w:bookmarkEnd w:id="24"/>
      <w:r>
        <w:rPr>
          <w:rFonts w:hint="eastAsia" w:ascii="宋体" w:hAnsi="宋体"/>
          <w:b/>
          <w:kern w:val="0"/>
          <w:sz w:val="24"/>
          <w:szCs w:val="24"/>
        </w:rPr>
        <w:t>程序</w:t>
      </w:r>
    </w:p>
    <w:p>
      <w:pPr>
        <w:adjustRightInd w:val="0"/>
        <w:snapToGrid w:val="0"/>
        <w:spacing w:line="360" w:lineRule="auto"/>
        <w:ind w:firstLine="482" w:firstLineChars="201"/>
        <w:rPr>
          <w:rFonts w:ascii="宋体" w:hAnsi="宋体"/>
          <w:kern w:val="0"/>
          <w:sz w:val="24"/>
          <w:szCs w:val="24"/>
        </w:rPr>
      </w:pPr>
      <w:r>
        <w:rPr>
          <w:rFonts w:hint="eastAsia" w:ascii="宋体" w:hAnsi="宋体"/>
          <w:kern w:val="0"/>
          <w:sz w:val="24"/>
          <w:szCs w:val="24"/>
        </w:rPr>
        <w:t>1.第一阶段：初步审查</w:t>
      </w:r>
    </w:p>
    <w:p>
      <w:pPr>
        <w:adjustRightInd w:val="0"/>
        <w:snapToGrid w:val="0"/>
        <w:spacing w:line="360" w:lineRule="auto"/>
        <w:ind w:firstLine="482" w:firstLineChars="201"/>
        <w:rPr>
          <w:rFonts w:ascii="宋体" w:hAnsi="宋体"/>
          <w:kern w:val="0"/>
          <w:sz w:val="24"/>
          <w:szCs w:val="24"/>
        </w:rPr>
      </w:pPr>
      <w:r>
        <w:rPr>
          <w:rFonts w:ascii="宋体" w:hAnsi="宋体"/>
          <w:kern w:val="0"/>
          <w:sz w:val="24"/>
          <w:szCs w:val="24"/>
        </w:rPr>
        <w:t>依据有关法律和</w:t>
      </w:r>
      <w:r>
        <w:rPr>
          <w:rFonts w:hint="eastAsia" w:ascii="宋体" w:hAnsi="宋体"/>
          <w:kern w:val="0"/>
          <w:sz w:val="24"/>
          <w:szCs w:val="24"/>
        </w:rPr>
        <w:t>竞争性谈判</w:t>
      </w:r>
      <w:r>
        <w:rPr>
          <w:rFonts w:ascii="宋体" w:hAnsi="宋体"/>
          <w:kern w:val="0"/>
          <w:sz w:val="24"/>
          <w:szCs w:val="24"/>
        </w:rPr>
        <w:t>文件的规定,对</w:t>
      </w:r>
      <w:r>
        <w:rPr>
          <w:rFonts w:hint="eastAsia" w:ascii="宋体" w:hAnsi="宋体"/>
          <w:kern w:val="0"/>
          <w:sz w:val="24"/>
          <w:szCs w:val="24"/>
        </w:rPr>
        <w:t>响应文件</w:t>
      </w:r>
      <w:r>
        <w:rPr>
          <w:rFonts w:ascii="宋体" w:hAnsi="宋体"/>
          <w:kern w:val="0"/>
          <w:sz w:val="24"/>
          <w:szCs w:val="24"/>
        </w:rPr>
        <w:t>的</w:t>
      </w:r>
      <w:r>
        <w:rPr>
          <w:rFonts w:hint="eastAsia" w:ascii="宋体" w:hAnsi="宋体"/>
          <w:kern w:val="0"/>
          <w:sz w:val="24"/>
          <w:szCs w:val="24"/>
        </w:rPr>
        <w:t>资格性、符合性部分</w:t>
      </w:r>
      <w:r>
        <w:rPr>
          <w:rFonts w:ascii="宋体" w:hAnsi="宋体"/>
          <w:kern w:val="0"/>
          <w:sz w:val="24"/>
          <w:szCs w:val="24"/>
        </w:rPr>
        <w:t>进行审查，</w:t>
      </w:r>
      <w:r>
        <w:rPr>
          <w:rFonts w:ascii="宋体" w:hAnsi="宋体"/>
          <w:sz w:val="24"/>
          <w:szCs w:val="24"/>
        </w:rPr>
        <w:t>以确定</w:t>
      </w:r>
      <w:r>
        <w:rPr>
          <w:rFonts w:hint="eastAsia" w:ascii="宋体" w:hAnsi="宋体"/>
          <w:sz w:val="24"/>
          <w:szCs w:val="24"/>
        </w:rPr>
        <w:t>供应商是否可以实质性响应谈判文件要求</w:t>
      </w:r>
      <w:r>
        <w:rPr>
          <w:rFonts w:ascii="宋体" w:hAnsi="宋体"/>
          <w:sz w:val="24"/>
          <w:szCs w:val="24"/>
        </w:rPr>
        <w:t>。</w:t>
      </w:r>
      <w:r>
        <w:rPr>
          <w:rFonts w:hint="eastAsia" w:ascii="宋体" w:hAnsi="宋体"/>
          <w:kern w:val="0"/>
          <w:sz w:val="24"/>
          <w:szCs w:val="24"/>
        </w:rPr>
        <w:t>在评审时,如有不符合谈判文件要求</w:t>
      </w:r>
      <w:r>
        <w:rPr>
          <w:rFonts w:ascii="宋体" w:hAnsi="宋体"/>
          <w:kern w:val="0"/>
          <w:sz w:val="24"/>
          <w:szCs w:val="24"/>
        </w:rPr>
        <w:t>的，</w:t>
      </w:r>
      <w:r>
        <w:rPr>
          <w:rFonts w:hint="eastAsia" w:ascii="宋体" w:hAnsi="宋体"/>
          <w:kern w:val="0"/>
          <w:sz w:val="24"/>
          <w:szCs w:val="24"/>
        </w:rPr>
        <w:t>经谈判小组认定，视</w:t>
      </w:r>
      <w:r>
        <w:rPr>
          <w:rFonts w:ascii="宋体" w:hAnsi="宋体"/>
          <w:kern w:val="0"/>
          <w:sz w:val="24"/>
          <w:szCs w:val="24"/>
        </w:rPr>
        <w:t>为</w:t>
      </w:r>
      <w:r>
        <w:rPr>
          <w:rFonts w:hint="eastAsia" w:ascii="宋体" w:hAnsi="宋体"/>
          <w:kern w:val="0"/>
          <w:sz w:val="24"/>
          <w:szCs w:val="24"/>
        </w:rPr>
        <w:t>非实质性响应，将视为无效竞标，并当场告知。</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2.第二阶段：谈判</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（1）谈判小组应当通过随机方式序确定参加谈判供应商的谈判顺序，谈判小组所有成员应当集中与单一供应商分别进行谈判，并给予所有参加谈判的供应商平等的谈判机会。</w:t>
      </w:r>
    </w:p>
    <w:p>
      <w:pPr>
        <w:autoSpaceDE w:val="0"/>
        <w:autoSpaceDN w:val="0"/>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（2）响应文件的澄清和更正。</w:t>
      </w:r>
    </w:p>
    <w:p>
      <w:pPr>
        <w:autoSpaceDE w:val="0"/>
        <w:autoSpaceDN w:val="0"/>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谈判小组</w:t>
      </w:r>
      <w:r>
        <w:rPr>
          <w:rFonts w:hint="eastAsia" w:ascii="宋体" w:hAnsi="宋体"/>
          <w:kern w:val="0"/>
          <w:sz w:val="24"/>
          <w:szCs w:val="24"/>
        </w:rPr>
        <w:t>通过</w:t>
      </w:r>
      <w:r>
        <w:rPr>
          <w:rFonts w:ascii="宋体" w:hAnsi="宋体"/>
          <w:kern w:val="0"/>
          <w:sz w:val="24"/>
          <w:szCs w:val="24"/>
        </w:rPr>
        <w:t>对响应文件的有效性、完整性和响应程度进行审查，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ascii="宋体" w:hAnsi="宋体"/>
          <w:kern w:val="0"/>
          <w:sz w:val="24"/>
          <w:szCs w:val="24"/>
        </w:rPr>
        <w:t>谈判小组要求供应商澄清、说明或者更正响应文件应当以书面形式作出。供应商的澄清、说明或者更正应当由法定代表人或其授权代表签字或者加盖公章。供应商为自然人的，应当由本人签字并附身份证明</w:t>
      </w:r>
      <w:r>
        <w:rPr>
          <w:rFonts w:hint="eastAsia" w:ascii="宋体" w:hAnsi="宋体"/>
          <w:kern w:val="0"/>
          <w:sz w:val="24"/>
          <w:szCs w:val="24"/>
        </w:rPr>
        <w:t>。</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（3）谈判内容主要包括：</w:t>
      </w:r>
      <w:r>
        <w:rPr>
          <w:rFonts w:hint="eastAsia" w:ascii="宋体" w:hAnsi="宋体"/>
          <w:sz w:val="24"/>
          <w:szCs w:val="24"/>
        </w:rPr>
        <w:t>针对本项目的技术、服务要求以及合同草案条款；谈判文件不能详细列明采购标的的技术、服务要求的，需经谈判由供应商提供最终设计方案或解决方案；其它需要谈判的事项。</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对谈判文件作出的实质性变动是谈判文件的有效组成部分，谈判小组应当在《最后报价表》中载明，同时通知所有参加谈判的供应商。</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spacing w:afterLines="50" w:line="360" w:lineRule="auto"/>
        <w:ind w:firstLine="480" w:firstLineChars="200"/>
        <w:jc w:val="left"/>
        <w:rPr>
          <w:rFonts w:ascii="宋体" w:hAnsi="宋体"/>
          <w:kern w:val="0"/>
          <w:sz w:val="24"/>
          <w:szCs w:val="24"/>
        </w:rPr>
      </w:pPr>
      <w:r>
        <w:rPr>
          <w:rFonts w:hint="eastAsia" w:ascii="宋体" w:hAnsi="宋体"/>
          <w:kern w:val="0"/>
          <w:sz w:val="24"/>
          <w:szCs w:val="24"/>
        </w:rPr>
        <w:t>3．第三阶段：最后报价</w:t>
      </w:r>
    </w:p>
    <w:p>
      <w:pPr>
        <w:widowControl/>
        <w:spacing w:afterLines="50" w:line="360" w:lineRule="auto"/>
        <w:ind w:firstLine="480" w:firstLineChars="200"/>
        <w:jc w:val="left"/>
        <w:rPr>
          <w:rFonts w:ascii="宋体" w:hAnsi="宋体"/>
          <w:sz w:val="24"/>
          <w:szCs w:val="24"/>
        </w:rPr>
      </w:pPr>
      <w:r>
        <w:rPr>
          <w:rFonts w:hint="eastAsia" w:ascii="宋体" w:hAnsi="宋体"/>
          <w:kern w:val="0"/>
          <w:sz w:val="24"/>
          <w:szCs w:val="24"/>
        </w:rPr>
        <w:t>谈判小组可根据供应商的报价，响应内容及谈判的情况，按谈判文件规定的谈判轮次，要求各供应商分别进行不超过三轮报价，并给予每个正在参加谈判的供应商平等的谈判机会。最后一轮谈判结束后，参加谈判的供应商应当对谈判的承诺和最后报价以书面形式确认，并由法定代表人或其授权委托人签署生效。</w:t>
      </w:r>
      <w:r>
        <w:rPr>
          <w:rFonts w:hint="eastAsia" w:ascii="宋体" w:hAnsi="宋体"/>
          <w:sz w:val="24"/>
          <w:szCs w:val="24"/>
        </w:rPr>
        <w:t>最后报价是供应商响应文件的有效组成部分。</w:t>
      </w:r>
    </w:p>
    <w:p>
      <w:pPr>
        <w:widowControl/>
        <w:tabs>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已提交响应文件的供应商，在提交最后报价之前，可以根据谈判情况退出谈判。</w:t>
      </w:r>
      <w:r>
        <w:rPr>
          <w:rFonts w:hint="eastAsia" w:ascii="宋体" w:hAnsi="宋体"/>
          <w:kern w:val="0"/>
          <w:sz w:val="24"/>
          <w:szCs w:val="24"/>
        </w:rPr>
        <w:t>最后报价逾时不交的，可视同供应商自动放弃。</w:t>
      </w:r>
    </w:p>
    <w:p>
      <w:pPr>
        <w:widowControl/>
        <w:tabs>
          <w:tab w:val="left" w:pos="540"/>
        </w:tabs>
        <w:spacing w:line="360" w:lineRule="auto"/>
        <w:ind w:firstLine="480" w:firstLineChars="200"/>
        <w:jc w:val="left"/>
        <w:rPr>
          <w:rFonts w:ascii="宋体" w:hAnsi="宋体"/>
          <w:kern w:val="0"/>
          <w:sz w:val="24"/>
          <w:szCs w:val="24"/>
        </w:rPr>
      </w:pPr>
      <w:r>
        <w:rPr>
          <w:rFonts w:hint="eastAsia" w:ascii="宋体" w:hAnsi="宋体"/>
          <w:kern w:val="0"/>
          <w:sz w:val="24"/>
          <w:szCs w:val="24"/>
        </w:rPr>
        <w:t>供应商对谈判的承诺和最后报价填写至《最后报价表》（该表在谈判过程中由工作人员统一发放），并在规定的时间内递交至谈判小组或鄂尔多斯市鄂托克前旗公共资源交易中心。待所有实质性响应供应商最后报价完毕后，工作人员统一公布每位实质性响应供应商的最终价格。</w:t>
      </w:r>
    </w:p>
    <w:p>
      <w:pPr>
        <w:widowControl/>
        <w:spacing w:afterLines="50" w:line="360" w:lineRule="auto"/>
        <w:ind w:firstLine="482" w:firstLineChars="200"/>
        <w:jc w:val="left"/>
        <w:rPr>
          <w:rFonts w:ascii="宋体" w:hAnsi="宋体"/>
          <w:b/>
          <w:kern w:val="0"/>
          <w:sz w:val="24"/>
          <w:szCs w:val="24"/>
        </w:rPr>
      </w:pPr>
      <w:r>
        <w:rPr>
          <w:rFonts w:hint="eastAsia" w:ascii="宋体" w:hAnsi="宋体"/>
          <w:b/>
          <w:kern w:val="0"/>
          <w:sz w:val="24"/>
          <w:szCs w:val="24"/>
        </w:rPr>
        <w:t>二.确定成交供应商</w:t>
      </w:r>
    </w:p>
    <w:p>
      <w:pPr>
        <w:spacing w:line="360" w:lineRule="auto"/>
        <w:ind w:firstLine="480" w:firstLineChars="200"/>
        <w:rPr>
          <w:rFonts w:ascii="宋体" w:hAnsi="宋体"/>
          <w:kern w:val="0"/>
          <w:sz w:val="24"/>
          <w:szCs w:val="24"/>
        </w:rPr>
      </w:pPr>
      <w:r>
        <w:rPr>
          <w:rFonts w:hint="eastAsia" w:ascii="宋体" w:hAnsi="宋体"/>
          <w:kern w:val="0"/>
          <w:sz w:val="24"/>
          <w:szCs w:val="24"/>
        </w:rPr>
        <w:t>通过谈判、澄清，谈判小组应当从质量和服务均能满足谈判文件实质性响应要求的供应商中，按照最后报价由低到高的顺序提出成交候选人，并编写评审报告。报价相同时，技术指标优者优先，报价和技术指标均相同时，服务好的优先。</w:t>
      </w:r>
    </w:p>
    <w:p>
      <w:pPr>
        <w:spacing w:line="360" w:lineRule="auto"/>
        <w:ind w:firstLine="570"/>
        <w:rPr>
          <w:rFonts w:ascii="宋体" w:hAnsi="宋体"/>
          <w:kern w:val="0"/>
          <w:sz w:val="24"/>
          <w:szCs w:val="24"/>
        </w:rPr>
      </w:pPr>
      <w:r>
        <w:rPr>
          <w:rFonts w:hint="eastAsia" w:ascii="宋体" w:hAnsi="宋体"/>
          <w:kern w:val="0"/>
          <w:sz w:val="24"/>
          <w:szCs w:val="24"/>
        </w:rPr>
        <w:t>谈判小组或采购人从评审报告提出的成交候选人中，根据质量和服务均能满足谈判文件实质性响应要求且最后报价最低的原则确定成交供应商。</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25"/>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suppressLineNumbers w:val="0"/>
              <w:snapToGrid w:val="0"/>
              <w:spacing w:before="0" w:beforeAutospacing="0" w:after="0" w:afterAutospacing="0"/>
              <w:ind w:left="0" w:right="0"/>
              <w:jc w:val="center"/>
              <w:rPr>
                <w:rFonts w:ascii="宋体" w:hAnsi="宋体"/>
                <w:sz w:val="18"/>
                <w:szCs w:val="18"/>
              </w:rPr>
            </w:pPr>
            <w:r>
              <w:rPr>
                <w:rFonts w:hint="eastAsia" w:ascii="宋体" w:hAnsi="宋体"/>
                <w:sz w:val="18"/>
                <w:szCs w:val="18"/>
              </w:rPr>
              <w:t>序号</w:t>
            </w:r>
          </w:p>
        </w:tc>
        <w:tc>
          <w:tcPr>
            <w:tcW w:w="3828"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情形</w:t>
            </w:r>
          </w:p>
        </w:tc>
        <w:tc>
          <w:tcPr>
            <w:tcW w:w="2409"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价格扣除比例</w:t>
            </w:r>
          </w:p>
        </w:tc>
        <w:tc>
          <w:tcPr>
            <w:tcW w:w="2643"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1</w:t>
            </w:r>
          </w:p>
        </w:tc>
        <w:tc>
          <w:tcPr>
            <w:tcW w:w="3828"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非联合体供应商</w:t>
            </w:r>
          </w:p>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（小型、微型企业）</w:t>
            </w:r>
          </w:p>
        </w:tc>
        <w:tc>
          <w:tcPr>
            <w:tcW w:w="2409"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6%</w:t>
            </w:r>
          </w:p>
        </w:tc>
        <w:tc>
          <w:tcPr>
            <w:tcW w:w="2643" w:type="dxa"/>
            <w:vMerge w:val="restart"/>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2</w:t>
            </w:r>
          </w:p>
        </w:tc>
        <w:tc>
          <w:tcPr>
            <w:tcW w:w="3828"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keepNext w:val="0"/>
              <w:keepLines w:val="0"/>
              <w:suppressLineNumbers w:val="0"/>
              <w:snapToGrid w:val="0"/>
              <w:spacing w:before="0" w:beforeAutospacing="0" w:after="0" w:afterAutospacing="0"/>
              <w:ind w:left="0" w:righ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3</w:t>
            </w:r>
          </w:p>
        </w:tc>
        <w:tc>
          <w:tcPr>
            <w:tcW w:w="3828"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keepNext w:val="0"/>
              <w:keepLines w:val="0"/>
              <w:suppressLineNumbers w:val="0"/>
              <w:snapToGrid w:val="0"/>
              <w:spacing w:before="0" w:beforeAutospacing="0" w:after="0" w:afterAutospacing="0"/>
              <w:ind w:left="0" w:right="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keepNext w:val="0"/>
              <w:keepLines w:val="0"/>
              <w:suppressLineNumbers w:val="0"/>
              <w:snapToGrid w:val="0"/>
              <w:spacing w:before="0" w:beforeAutospacing="0" w:after="0" w:afterAutospacing="0"/>
              <w:ind w:left="0" w:right="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keepNext w:val="0"/>
              <w:keepLines w:val="0"/>
              <w:widowControl/>
              <w:suppressLineNumbers w:val="0"/>
              <w:spacing w:before="0" w:beforeAutospacing="0" w:after="0" w:afterAutospacing="0"/>
              <w:ind w:left="0" w:right="0" w:firstLine="316" w:firstLineChars="150"/>
              <w:jc w:val="left"/>
              <w:rPr>
                <w:rFonts w:ascii="宋体" w:hAnsi="宋体"/>
                <w:b/>
                <w:sz w:val="21"/>
                <w:szCs w:val="21"/>
              </w:rPr>
            </w:pPr>
            <w:r>
              <w:rPr>
                <w:rFonts w:hint="eastAsia" w:ascii="宋体" w:hAnsi="宋体"/>
                <w:b/>
                <w:sz w:val="21"/>
                <w:szCs w:val="21"/>
              </w:rPr>
              <w:t>（2）小型、微型企业是指供应商及其所投</w:t>
            </w:r>
            <w:r>
              <w:rPr>
                <w:rFonts w:hint="eastAsia" w:ascii="宋体" w:hAnsi="宋体"/>
                <w:b/>
                <w:sz w:val="21"/>
                <w:szCs w:val="21"/>
                <w:lang w:eastAsia="zh-CN"/>
              </w:rPr>
              <w:t>核心产品</w:t>
            </w:r>
            <w:r>
              <w:rPr>
                <w:rFonts w:hint="eastAsia" w:ascii="宋体" w:hAnsi="宋体"/>
                <w:b/>
                <w:sz w:val="21"/>
                <w:szCs w:val="21"/>
              </w:rPr>
              <w:t>的制造商均为小型、微型企业。（如实填写后附《政府采购政策情况表》）</w:t>
            </w:r>
          </w:p>
          <w:p>
            <w:pPr>
              <w:keepNext w:val="0"/>
              <w:keepLines w:val="0"/>
              <w:widowControl/>
              <w:suppressLineNumbers w:val="0"/>
              <w:spacing w:before="0" w:beforeAutospacing="0" w:after="0" w:afterAutospacing="0"/>
              <w:ind w:left="0" w:right="0"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25" w:name="OLE_LINK9"/>
      <w:bookmarkStart w:id="26" w:name="OLE_LINK1"/>
      <w:r>
        <w:rPr>
          <w:rFonts w:hint="eastAsia" w:ascii="宋体" w:hAnsi="宋体"/>
          <w:sz w:val="24"/>
          <w:szCs w:val="24"/>
        </w:rPr>
        <w:t>本项所称货物不包括使用大型企业注册商标的货物。</w:t>
      </w:r>
      <w:bookmarkEnd w:id="25"/>
      <w:bookmarkEnd w:id="26"/>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供应商填写的《中小企业声明函》为判定标准；监狱企业须供应商提供由监狱管理局、戒毒管理局（含新疆生产建设兵团）出具的属于监狱企业的证明文件为判定标准；残疾人福利性单位以供应商填写的</w:t>
      </w:r>
      <w:bookmarkStart w:id="27" w:name="OLE_LINK13"/>
      <w:bookmarkStart w:id="28" w:name="OLE_LINK14"/>
      <w:r>
        <w:rPr>
          <w:rFonts w:hint="eastAsia" w:ascii="宋体" w:hAnsi="宋体"/>
          <w:sz w:val="24"/>
          <w:szCs w:val="24"/>
        </w:rPr>
        <w:t>《残疾人福利性单位声明函》</w:t>
      </w:r>
      <w:bookmarkEnd w:id="27"/>
      <w:bookmarkEnd w:id="28"/>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（3）提供供应商的《中小企业声明函》、《残疾人福利性单位声明函》（格式后附，不可修改），未提供、未盖章的不予价格扣除。</w:t>
      </w:r>
    </w:p>
    <w:p>
      <w:pPr>
        <w:spacing w:line="360" w:lineRule="auto"/>
        <w:ind w:firstLine="360" w:firstLineChars="150"/>
        <w:rPr>
          <w:rFonts w:ascii="宋体" w:hAnsi="宋体"/>
          <w:b/>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ind w:firstLine="570"/>
        <w:rPr>
          <w:rFonts w:ascii="宋体" w:hAnsi="宋体"/>
          <w:kern w:val="0"/>
          <w:sz w:val="24"/>
          <w:szCs w:val="24"/>
        </w:rPr>
      </w:pPr>
      <w:r>
        <w:rPr>
          <w:rFonts w:hint="eastAsia" w:ascii="宋体" w:hAnsi="宋体"/>
          <w:b/>
          <w:sz w:val="24"/>
          <w:szCs w:val="24"/>
        </w:rPr>
        <w:t>四．评审表：</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color w:val="000000"/>
                <w:sz w:val="21"/>
                <w:szCs w:val="21"/>
              </w:rPr>
            </w:pPr>
            <w:r>
              <w:rPr>
                <w:rFonts w:hint="eastAsia" w:ascii="宋体" w:hAnsi="宋体"/>
                <w:color w:val="000000"/>
                <w:sz w:val="21"/>
                <w:szCs w:val="21"/>
              </w:rPr>
              <w:t>资格性检查</w:t>
            </w:r>
          </w:p>
          <w:p>
            <w:pPr>
              <w:keepNext w:val="0"/>
              <w:keepLines w:val="0"/>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报名及保证金缴纳情况</w:t>
            </w:r>
          </w:p>
        </w:tc>
        <w:tc>
          <w:tcPr>
            <w:tcW w:w="62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按要求进行网上报名，进行保证金缴纳（</w:t>
            </w:r>
            <w:r>
              <w:rPr>
                <w:rFonts w:hint="eastAsia" w:ascii="宋体" w:hAnsi="宋体"/>
                <w:sz w:val="24"/>
                <w:szCs w:val="24"/>
                <w:lang w:val="en-US" w:eastAsia="zh-CN"/>
              </w:rPr>
              <w:t>本项目无需缴纳保证金</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具有良好的商业信誉</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1.供应商需提供由“征信中心网”（https://ipcrs.pbccrc.org.cn/）查询的信用报告。</w:t>
            </w:r>
          </w:p>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1.201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月至开标当日的任意一个月缴纳增值税、营业税或企业所得税的凭据。</w:t>
            </w:r>
          </w:p>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2.201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月至开标当日的任意一个月缴纳社会保险的凭据（专用收据或社保缴纳清单）</w:t>
            </w:r>
          </w:p>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sz w:val="24"/>
                <w:szCs w:val="24"/>
                <w:lang w:eastAsia="zh-CN"/>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参加采购活动近三年内，在经营活动中没有重大违法记录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240" w:lineRule="auto"/>
              <w:ind w:left="0" w:right="0"/>
              <w:jc w:val="left"/>
              <w:rPr>
                <w:rFonts w:ascii="宋体" w:hAnsi="宋体" w:cs="宋体"/>
                <w:bCs/>
                <w:kern w:val="36"/>
                <w:sz w:val="24"/>
                <w:szCs w:val="24"/>
              </w:rPr>
            </w:pPr>
            <w:r>
              <w:rPr>
                <w:rFonts w:hint="eastAsia" w:ascii="宋体" w:hAnsi="宋体" w:cs="宋体"/>
                <w:bCs/>
                <w:kern w:val="36"/>
                <w:sz w:val="24"/>
                <w:szCs w:val="24"/>
              </w:rPr>
              <w:t>1.审查参加政府采购活动近三年内在经营活动中没有重大违法违规记录书面声明函；</w:t>
            </w:r>
          </w:p>
          <w:p>
            <w:pPr>
              <w:pStyle w:val="2"/>
              <w:keepNext w:val="0"/>
              <w:keepLines w:val="0"/>
              <w:suppressLineNumbers w:val="0"/>
              <w:spacing w:before="0" w:beforeAutospacing="0" w:after="0" w:afterAutospacing="0" w:line="240" w:lineRule="auto"/>
              <w:ind w:left="0" w:right="0"/>
              <w:jc w:val="left"/>
              <w:rPr>
                <w:rFonts w:ascii="宋体" w:hAnsi="宋体" w:cs="宋体"/>
                <w:bCs/>
                <w:kern w:val="36"/>
                <w:sz w:val="24"/>
                <w:szCs w:val="24"/>
              </w:rPr>
            </w:pPr>
            <w:r>
              <w:rPr>
                <w:rFonts w:hint="eastAsia" w:ascii="宋体" w:hAnsi="宋体" w:cs="宋体"/>
                <w:bCs/>
                <w:kern w:val="36"/>
                <w:sz w:val="24"/>
                <w:szCs w:val="24"/>
              </w:rPr>
              <w:t>2.供应商是法人或其他组织的，需提供企业工商注册所在地或项目所在地信用管理中心出具的《信用信息查询结果》且在有效期范围内。</w:t>
            </w:r>
          </w:p>
          <w:p>
            <w:pPr>
              <w:pStyle w:val="2"/>
              <w:keepNext w:val="0"/>
              <w:keepLines w:val="0"/>
              <w:suppressLineNumbers w:val="0"/>
              <w:spacing w:before="0" w:beforeAutospacing="0" w:after="0" w:afterAutospacing="0" w:line="240" w:lineRule="auto"/>
              <w:ind w:left="0" w:right="0"/>
              <w:jc w:val="left"/>
              <w:rPr>
                <w:rFonts w:ascii="宋体" w:hAnsi="宋体"/>
                <w:sz w:val="24"/>
                <w:szCs w:val="24"/>
              </w:rPr>
            </w:pPr>
            <w:r>
              <w:rPr>
                <w:rFonts w:hint="eastAsia" w:ascii="宋体" w:hAnsi="宋体" w:cs="宋体"/>
                <w:bCs/>
                <w:kern w:val="36"/>
                <w:sz w:val="24"/>
                <w:szCs w:val="24"/>
              </w:rPr>
              <w:t>3.供应商未被“中国政府采购网”（www.ccgp.gov.cn）列入有关违法违规纪录（提供供应商网上查询结果截图）。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240" w:lineRule="auto"/>
              <w:ind w:left="0" w:right="0"/>
              <w:rPr>
                <w:rFonts w:hint="default" w:eastAsia="宋体"/>
                <w:szCs w:val="22"/>
                <w:lang w:val="en-US" w:eastAsia="zh-CN"/>
              </w:rPr>
            </w:pPr>
            <w:r>
              <w:rPr>
                <w:rFonts w:hint="eastAsia" w:ascii="宋体" w:hAnsi="宋体" w:cs="宋体"/>
                <w:sz w:val="24"/>
                <w:szCs w:val="24"/>
              </w:rPr>
              <w:t>投标人须具备有效的中国环境标志产品认证证书</w:t>
            </w:r>
            <w:r>
              <w:rPr>
                <w:rFonts w:hint="eastAsia" w:ascii="宋体" w:hAnsi="宋体" w:eastAsia="宋体" w:cs="宋体"/>
                <w:bCs/>
                <w:kern w:val="36"/>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谈判文件要求的其他无效投标情形；围标、串标和法律法规规定的其它无效投标条款。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符合性检查</w:t>
            </w:r>
          </w:p>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符合谈判文件要求。（格式、填写要求、签署、盖章、委托人身份等）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符合谈判文件要求。（格式、填写要求、签署、盖章等）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响应文件规范性、符合性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响应文件的编制、密封、装订、签署、盖章、涂改、删除、插字、公章使用等符合谈判文件要求；响应文件的格式、文字、目录、页码等符合谈判文件要求或对投标无实质性影响。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满足谈判文件关于交付使用时间、质保期、付款方式要求。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响应文件中不含采购人不能接受的附加条件。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sz w:val="24"/>
                <w:szCs w:val="24"/>
              </w:rPr>
            </w:pPr>
            <w:r>
              <w:rPr>
                <w:rFonts w:hint="eastAsia" w:ascii="宋体" w:hAnsi="宋体"/>
                <w:sz w:val="24"/>
                <w:szCs w:val="24"/>
              </w:rPr>
              <w:t>本项目不接受联合体投标。（如要求联合体投标，符合本谈判文件对联合体投标的相关要求）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技术部分实质性内容</w:t>
            </w:r>
          </w:p>
        </w:tc>
        <w:tc>
          <w:tcPr>
            <w:tcW w:w="6258"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sz w:val="24"/>
                <w:szCs w:val="24"/>
              </w:rPr>
            </w:pPr>
            <w:r>
              <w:rPr>
                <w:rFonts w:hint="eastAsia" w:ascii="宋体" w:hAnsi="宋体"/>
                <w:sz w:val="24"/>
                <w:szCs w:val="24"/>
              </w:rPr>
              <w:t>明确所投全部货物的产品品牌、型号；满足谈判文件技术要求的规定。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p>
        </w:tc>
        <w:tc>
          <w:tcPr>
            <w:tcW w:w="6258"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color w:val="000000"/>
                <w:sz w:val="24"/>
                <w:szCs w:val="24"/>
              </w:rPr>
            </w:pPr>
            <w:r>
              <w:rPr>
                <w:rFonts w:hint="eastAsia" w:ascii="宋体" w:hAnsi="宋体"/>
                <w:sz w:val="24"/>
                <w:szCs w:val="24"/>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hAnsi="宋体"/>
                <w:sz w:val="24"/>
                <w:szCs w:val="24"/>
              </w:rPr>
            </w:pPr>
            <w:r>
              <w:rPr>
                <w:rFonts w:hint="eastAsia" w:ascii="宋体" w:hAnsi="宋体"/>
                <w:sz w:val="24"/>
                <w:szCs w:val="24"/>
              </w:rPr>
              <w:t>未超过采购预算、不缺项漏项。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5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备注</w:t>
            </w: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宋体" w:hAnsi="宋体"/>
                <w:sz w:val="24"/>
                <w:szCs w:val="24"/>
              </w:rPr>
            </w:pPr>
            <w:r>
              <w:rPr>
                <w:rFonts w:hint="eastAsia" w:ascii="宋体" w:hAnsi="宋体"/>
                <w:sz w:val="24"/>
                <w:szCs w:val="24"/>
              </w:rPr>
              <w:t>特别说明</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cs="宋体"/>
                <w:bCs/>
                <w:kern w:val="36"/>
                <w:sz w:val="24"/>
                <w:szCs w:val="24"/>
              </w:rPr>
              <w:t>说明：1.供应商提供的《信用查询结果》、中国政府采购网查询截图以及</w:t>
            </w:r>
            <w:r>
              <w:rPr>
                <w:rFonts w:hint="eastAsia" w:ascii="宋体" w:hAnsi="宋体"/>
                <w:sz w:val="24"/>
                <w:szCs w:val="24"/>
              </w:rPr>
              <w:t>“征信中心网”查询的信用报告</w:t>
            </w:r>
            <w:r>
              <w:rPr>
                <w:rFonts w:hint="eastAsia" w:ascii="宋体" w:hAnsi="宋体" w:cs="宋体"/>
                <w:bCs/>
                <w:kern w:val="36"/>
                <w:sz w:val="24"/>
                <w:szCs w:val="24"/>
              </w:rPr>
              <w:t>中，如有失信记录的，已处理失信情况则需要提供已处理证明材料；2.以上要求提供的资料，供应商应在响应文件中提供，采购文件中要求提供原件的应提供原件，其他的提供复印件（加盖投标单位公章，如是自然人无公章的需本人签字确认），如有不提供、弄虚作假等行为的，评标委员会有权否决其投标资格。</w:t>
            </w:r>
          </w:p>
        </w:tc>
      </w:tr>
    </w:tbl>
    <w:p>
      <w:pPr>
        <w:spacing w:line="360" w:lineRule="auto"/>
        <w:rPr>
          <w:rFonts w:ascii="宋体" w:hAnsi="宋体"/>
          <w:b/>
          <w:sz w:val="24"/>
          <w:szCs w:val="24"/>
        </w:rPr>
      </w:pPr>
      <w:r>
        <w:rPr>
          <w:rFonts w:ascii="宋体" w:hAnsi="宋体"/>
          <w:b/>
          <w:sz w:val="24"/>
          <w:szCs w:val="24"/>
        </w:rPr>
        <w:br w:type="page"/>
      </w:r>
    </w:p>
    <w:p>
      <w:pPr>
        <w:pStyle w:val="3"/>
        <w:keepNext w:val="0"/>
        <w:keepLines w:val="0"/>
        <w:spacing w:line="360" w:lineRule="auto"/>
        <w:ind w:firstLine="2891" w:firstLineChars="1200"/>
        <w:jc w:val="both"/>
        <w:rPr>
          <w:rFonts w:ascii="宋体" w:hAnsi="宋体"/>
          <w:color w:val="000000"/>
          <w:sz w:val="24"/>
          <w:szCs w:val="24"/>
        </w:rPr>
      </w:pPr>
      <w:bookmarkStart w:id="29" w:name="_Toc18377"/>
      <w:r>
        <w:rPr>
          <w:rFonts w:hint="eastAsia" w:ascii="宋体" w:hAnsi="宋体"/>
          <w:color w:val="000000"/>
          <w:sz w:val="24"/>
          <w:szCs w:val="24"/>
        </w:rPr>
        <w:t>第七章 响应文件格式与要求</w:t>
      </w:r>
      <w:bookmarkEnd w:id="10"/>
      <w:bookmarkEnd w:id="29"/>
    </w:p>
    <w:p>
      <w:pPr>
        <w:spacing w:line="360" w:lineRule="auto"/>
        <w:rPr>
          <w:sz w:val="24"/>
          <w:szCs w:val="24"/>
          <w:lang w:val="zh-CN"/>
        </w:rPr>
      </w:pPr>
    </w:p>
    <w:p>
      <w:pPr>
        <w:spacing w:line="360" w:lineRule="auto"/>
        <w:ind w:firstLine="480" w:firstLineChars="200"/>
        <w:rPr>
          <w:rFonts w:ascii="宋体" w:hAnsi="宋体"/>
          <w:bCs/>
          <w:color w:val="000000"/>
          <w:kern w:val="0"/>
          <w:sz w:val="24"/>
          <w:szCs w:val="24"/>
          <w:lang w:val="zh-CN"/>
        </w:rPr>
      </w:pPr>
      <w:r>
        <w:rPr>
          <w:rFonts w:hint="eastAsia"/>
          <w:sz w:val="24"/>
          <w:szCs w:val="24"/>
          <w:lang w:val="zh-CN"/>
        </w:rPr>
        <w:t>供应商提供响应文件应当按照以下格式及要求进行编制，</w:t>
      </w:r>
      <w:r>
        <w:rPr>
          <w:rFonts w:hint="eastAsia" w:ascii="宋体" w:hAnsi="宋体"/>
          <w:bCs/>
          <w:color w:val="000000"/>
          <w:kern w:val="0"/>
          <w:sz w:val="24"/>
          <w:szCs w:val="24"/>
          <w:lang w:val="zh-CN"/>
        </w:rPr>
        <w:t>具体要求见所附各格式及说明</w:t>
      </w:r>
      <w:r>
        <w:rPr>
          <w:rFonts w:hint="eastAsia"/>
          <w:sz w:val="24"/>
          <w:szCs w:val="24"/>
          <w:lang w:val="zh-CN"/>
        </w:rPr>
        <w:t>。</w:t>
      </w:r>
      <w:r>
        <w:rPr>
          <w:rFonts w:ascii="宋体" w:hAnsi="宋体"/>
          <w:bCs/>
          <w:color w:val="000000"/>
          <w:kern w:val="0"/>
          <w:sz w:val="24"/>
          <w:szCs w:val="24"/>
          <w:lang w:val="zh-CN"/>
        </w:rPr>
        <w:br w:type="page"/>
      </w:r>
    </w:p>
    <w:p>
      <w:pPr>
        <w:spacing w:line="360" w:lineRule="auto"/>
        <w:rPr>
          <w:rFonts w:ascii="宋体" w:hAnsi="宋体" w:cs="楷体_GB2312"/>
          <w:sz w:val="24"/>
          <w:szCs w:val="24"/>
        </w:rPr>
      </w:pPr>
      <w:r>
        <w:rPr>
          <w:rFonts w:hint="eastAsia" w:ascii="宋体" w:hAnsi="宋体" w:cs="楷体_GB2312"/>
          <w:sz w:val="24"/>
          <w:szCs w:val="24"/>
        </w:rPr>
        <w:t>格式一：</w:t>
      </w:r>
    </w:p>
    <w:p>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pPr>
        <w:spacing w:line="360" w:lineRule="auto"/>
        <w:ind w:firstLine="3603" w:firstLineChars="1001"/>
        <w:rPr>
          <w:rFonts w:ascii="宋体" w:hAnsi="宋体" w:cs="楷体_GB2312"/>
          <w:sz w:val="36"/>
          <w:szCs w:val="36"/>
        </w:rPr>
      </w:pPr>
    </w:p>
    <w:p>
      <w:pPr>
        <w:spacing w:line="360" w:lineRule="auto"/>
        <w:ind w:firstLine="3659" w:firstLineChars="701"/>
        <w:rPr>
          <w:rFonts w:ascii="宋体" w:hAnsi="宋体" w:cs="宋体"/>
          <w:b/>
          <w:bCs/>
          <w:kern w:val="0"/>
          <w:sz w:val="52"/>
          <w:szCs w:val="52"/>
        </w:rPr>
      </w:pPr>
      <w:r>
        <w:rPr>
          <w:rFonts w:hint="eastAsia" w:ascii="宋体" w:hAnsi="宋体" w:cs="宋体"/>
          <w:b/>
          <w:bCs/>
          <w:kern w:val="0"/>
          <w:sz w:val="52"/>
          <w:szCs w:val="52"/>
        </w:rPr>
        <w:t>项目名称</w:t>
      </w:r>
    </w:p>
    <w:p>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484" w:firstLineChars="201"/>
        <w:jc w:val="center"/>
        <w:rPr>
          <w:rFonts w:ascii="楷体_GB2312" w:hAnsi="宋体" w:eastAsia="楷体_GB2312"/>
          <w:b/>
          <w:bCs/>
          <w:kern w:val="0"/>
          <w:sz w:val="24"/>
          <w:szCs w:val="24"/>
        </w:rPr>
      </w:pPr>
    </w:p>
    <w:p>
      <w:pPr>
        <w:spacing w:line="360" w:lineRule="auto"/>
        <w:ind w:firstLine="482" w:firstLineChars="201"/>
        <w:jc w:val="left"/>
        <w:rPr>
          <w:rFonts w:ascii="宋体" w:hAnsi="宋体" w:cs="宋体"/>
          <w:sz w:val="24"/>
          <w:szCs w:val="24"/>
        </w:rPr>
      </w:pPr>
    </w:p>
    <w:p>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pPr>
        <w:spacing w:line="360" w:lineRule="auto"/>
        <w:ind w:firstLine="482" w:firstLineChars="201"/>
        <w:jc w:val="center"/>
        <w:rPr>
          <w:rFonts w:ascii="宋体" w:hAnsi="宋体" w:cs="宋体"/>
          <w:sz w:val="24"/>
          <w:szCs w:val="24"/>
        </w:rPr>
      </w:pPr>
    </w:p>
    <w:p>
      <w:pPr>
        <w:spacing w:line="360" w:lineRule="auto"/>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（供应商名称）</w:t>
      </w:r>
    </w:p>
    <w:p>
      <w:pPr>
        <w:spacing w:line="360" w:lineRule="auto"/>
        <w:ind w:firstLine="482" w:firstLineChars="201"/>
        <w:jc w:val="center"/>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30" w:name="_Toc482026546"/>
    </w:p>
    <w:bookmarkEnd w:id="30"/>
    <w:p>
      <w:pPr>
        <w:spacing w:line="360" w:lineRule="auto"/>
        <w:rPr>
          <w:rFonts w:ascii="宋体" w:hAnsi="宋体" w:cs="宋体"/>
          <w:sz w:val="24"/>
          <w:szCs w:val="24"/>
        </w:rPr>
      </w:pPr>
      <w:bookmarkStart w:id="31" w:name="_Toc482196940"/>
      <w:r>
        <w:rPr>
          <w:rFonts w:ascii="宋体" w:hAnsi="宋体" w:cs="宋体"/>
          <w:sz w:val="24"/>
          <w:szCs w:val="24"/>
        </w:rPr>
        <w:br w:type="page"/>
      </w:r>
    </w:p>
    <w:p>
      <w:pPr>
        <w:spacing w:line="360" w:lineRule="auto"/>
        <w:rPr>
          <w:rFonts w:ascii="宋体" w:hAnsi="宋体" w:cs="宋体"/>
          <w:sz w:val="24"/>
          <w:szCs w:val="24"/>
        </w:rPr>
      </w:pPr>
      <w:r>
        <w:rPr>
          <w:rFonts w:hint="eastAsia" w:ascii="宋体" w:hAnsi="宋体" w:cs="楷体_GB2312"/>
          <w:sz w:val="24"/>
          <w:szCs w:val="24"/>
        </w:rPr>
        <w:t>格式二：</w:t>
      </w:r>
      <w:bookmarkEnd w:id="31"/>
      <w:r>
        <w:rPr>
          <w:rFonts w:hint="eastAsia" w:ascii="宋体" w:hAnsi="宋体" w:cs="楷体_GB2312"/>
          <w:sz w:val="24"/>
          <w:szCs w:val="24"/>
        </w:rPr>
        <w:t xml:space="preserve">      </w:t>
      </w:r>
      <w:r>
        <w:rPr>
          <w:rFonts w:hint="eastAsia" w:ascii="宋体" w:hAnsi="宋体" w:cs="宋体"/>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响应文件目录</w:t>
      </w:r>
    </w:p>
    <w:p>
      <w:pPr>
        <w:spacing w:line="360" w:lineRule="auto"/>
        <w:rPr>
          <w:rFonts w:ascii="宋体" w:hAnsi="宋体" w:cs="宋体"/>
          <w:sz w:val="24"/>
          <w:szCs w:val="24"/>
        </w:rPr>
      </w:pPr>
      <w:r>
        <w:rPr>
          <w:rFonts w:hint="eastAsia" w:ascii="宋体" w:hAnsi="宋体" w:cs="宋体"/>
          <w:sz w:val="24"/>
          <w:szCs w:val="24"/>
        </w:rPr>
        <w:t xml:space="preserve">一. </w:t>
      </w:r>
      <w:r>
        <w:rPr>
          <w:rFonts w:hint="eastAsia" w:ascii="宋体" w:hAnsi="宋体"/>
          <w:bCs/>
          <w:sz w:val="24"/>
          <w:szCs w:val="24"/>
          <w:lang w:eastAsia="zh-CN"/>
        </w:rPr>
        <w:t>政府采购诚信</w:t>
      </w:r>
      <w:r>
        <w:rPr>
          <w:rFonts w:hint="eastAsia" w:ascii="宋体" w:hAnsi="宋体"/>
          <w:bCs/>
          <w:sz w:val="24"/>
          <w:szCs w:val="24"/>
        </w:rPr>
        <w:t>投标承诺书</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二. 开标一览表……………………………………………………………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三. 法定代表人身份证明……………………………………………………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四.</w:t>
      </w:r>
      <w:r>
        <w:rPr>
          <w:rFonts w:asciiTheme="minorEastAsia" w:hAnsiTheme="minorEastAsia" w:eastAsiaTheme="minorEastAsia"/>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五.</w:t>
      </w:r>
      <w:r>
        <w:rPr>
          <w:rFonts w:asciiTheme="minorEastAsia" w:hAnsiTheme="minorEastAsia" w:eastAsiaTheme="minorEastAsia"/>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Theme="minorEastAsia" w:hAnsiTheme="minorEastAsia" w:eastAsiaTheme="minorEastAsia"/>
          <w:bCs/>
          <w:sz w:val="24"/>
          <w:szCs w:val="24"/>
        </w:rPr>
      </w:pPr>
      <w:r>
        <w:rPr>
          <w:rFonts w:hint="eastAsia" w:ascii="宋体" w:hAnsi="宋体"/>
          <w:color w:val="000000"/>
          <w:sz w:val="24"/>
          <w:szCs w:val="24"/>
        </w:rPr>
        <w:t>六.</w:t>
      </w:r>
      <w:r>
        <w:rPr>
          <w:rFonts w:asciiTheme="minorEastAsia" w:hAnsiTheme="minorEastAsia" w:eastAsiaTheme="minorEastAsia"/>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宋体" w:hAnsi="宋体"/>
          <w:sz w:val="24"/>
          <w:szCs w:val="24"/>
        </w:rPr>
      </w:pPr>
      <w:r>
        <w:rPr>
          <w:rFonts w:hint="eastAsia" w:ascii="宋体" w:hAnsi="宋体"/>
          <w:color w:val="000000"/>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w:t>
      </w:r>
    </w:p>
    <w:p>
      <w:pPr>
        <w:spacing w:line="360" w:lineRule="auto"/>
        <w:rPr>
          <w:rFonts w:ascii="宋体" w:hAnsi="宋体" w:cs="宋体"/>
          <w:sz w:val="24"/>
          <w:szCs w:val="24"/>
        </w:rPr>
      </w:pPr>
      <w:r>
        <w:rPr>
          <w:rFonts w:hint="eastAsia" w:ascii="宋体" w:hAnsi="宋体" w:cs="宋体"/>
          <w:sz w:val="24"/>
          <w:szCs w:val="24"/>
        </w:rPr>
        <w:t>八. 投标货物分项报价明细表………………………………………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九. 投标货物情况介绍表</w:t>
      </w:r>
      <w:r>
        <w:rPr>
          <w:rFonts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十. 技术规格响应表………………………………………………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十一. 售后服务承诺及方案  …………………………………………</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十二. 商务规格响应表…………………………………………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十三. 供应商业绩情况表…………………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十四. 供应商基本情况表……………………………………………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 xml:space="preserve">十五. </w:t>
      </w:r>
      <w:r>
        <w:rPr>
          <w:rFonts w:hint="eastAsia" w:ascii="宋体" w:hAnsi="宋体"/>
          <w:sz w:val="24"/>
          <w:szCs w:val="24"/>
        </w:rPr>
        <w:t>商业信誉报告</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autoSpaceDE w:val="0"/>
        <w:autoSpaceDN w:val="0"/>
        <w:spacing w:line="360" w:lineRule="auto"/>
        <w:rPr>
          <w:rFonts w:ascii="宋体" w:hAnsi="宋体" w:cs="宋体"/>
          <w:sz w:val="24"/>
          <w:szCs w:val="24"/>
        </w:rPr>
      </w:pPr>
      <w:r>
        <w:rPr>
          <w:rFonts w:hint="eastAsia" w:ascii="宋体" w:hAnsi="宋体" w:cs="宋体"/>
          <w:sz w:val="24"/>
          <w:szCs w:val="24"/>
        </w:rPr>
        <w:t>十六. 缴纳增值税、营业税或企业所得税的凭据</w:t>
      </w:r>
      <w:r>
        <w:rPr>
          <w:rFonts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autoSpaceDE w:val="0"/>
        <w:autoSpaceDN w:val="0"/>
        <w:spacing w:line="360" w:lineRule="auto"/>
        <w:rPr>
          <w:rFonts w:ascii="宋体" w:hAnsi="宋体" w:cs="宋体"/>
          <w:sz w:val="24"/>
          <w:szCs w:val="24"/>
        </w:rPr>
      </w:pPr>
      <w:r>
        <w:rPr>
          <w:rFonts w:hint="eastAsia" w:ascii="宋体" w:hAnsi="宋体" w:cs="宋体"/>
          <w:sz w:val="24"/>
          <w:szCs w:val="24"/>
        </w:rPr>
        <w:t>十七. 缴纳社会保险的凭据………………………………………………</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autoSpaceDE w:val="0"/>
        <w:autoSpaceDN w:val="0"/>
        <w:spacing w:line="360" w:lineRule="auto"/>
        <w:jc w:val="left"/>
        <w:rPr>
          <w:rFonts w:ascii="宋体" w:hAnsi="宋体" w:cs="宋体"/>
          <w:sz w:val="24"/>
          <w:szCs w:val="24"/>
        </w:rPr>
      </w:pPr>
      <w:r>
        <w:rPr>
          <w:rFonts w:hint="eastAsia" w:ascii="宋体" w:hAnsi="宋体" w:cs="宋体"/>
          <w:sz w:val="24"/>
          <w:szCs w:val="24"/>
        </w:rPr>
        <w:t>十八.参加政府采购前三年内在经营活动中无重大违法记录书面声明</w:t>
      </w:r>
      <w:r>
        <w:rPr>
          <w:rFonts w:ascii="宋体" w:hAnsi="宋体" w:cs="宋体"/>
          <w:sz w:val="24"/>
          <w:szCs w:val="24"/>
        </w:rPr>
        <w:t>…</w:t>
      </w:r>
      <w:r>
        <w:rPr>
          <w:rFonts w:ascii="宋体" w:hAnsi="宋体"/>
          <w:color w:val="000000"/>
          <w:sz w:val="24"/>
          <w:szCs w:val="24"/>
        </w:rPr>
        <w:t>…</w:t>
      </w:r>
      <w:r>
        <w:rPr>
          <w:rFonts w:hint="eastAsia" w:ascii="宋体" w:hAnsi="宋体" w:cs="宋体"/>
          <w:sz w:val="24"/>
          <w:szCs w:val="24"/>
        </w:rPr>
        <w:t>（ ）</w:t>
      </w:r>
    </w:p>
    <w:p>
      <w:pPr>
        <w:spacing w:line="360" w:lineRule="auto"/>
        <w:rPr>
          <w:rFonts w:ascii="宋体" w:hAnsi="宋体"/>
          <w:bCs/>
          <w:sz w:val="24"/>
          <w:szCs w:val="24"/>
        </w:rPr>
      </w:pPr>
      <w:r>
        <w:rPr>
          <w:rFonts w:hint="eastAsia" w:ascii="宋体" w:hAnsi="宋体" w:cs="宋体"/>
          <w:sz w:val="24"/>
          <w:szCs w:val="24"/>
        </w:rPr>
        <w:t>十九.</w:t>
      </w:r>
      <w:r>
        <w:rPr>
          <w:rFonts w:hint="eastAsia" w:ascii="宋体" w:hAnsi="宋体"/>
          <w:color w:val="000000"/>
          <w:sz w:val="24"/>
          <w:szCs w:val="24"/>
        </w:rPr>
        <w:t>政府采购政策情况表</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二十二.</w:t>
      </w:r>
      <w:r>
        <w:rPr>
          <w:rFonts w:hint="eastAsia" w:ascii="宋体" w:hAnsi="宋体" w:cs="宋体"/>
          <w:sz w:val="24"/>
          <w:szCs w:val="24"/>
        </w:rPr>
        <w:t>各类证明材料……………</w:t>
      </w:r>
      <w:r>
        <w:rPr>
          <w:rFonts w:ascii="宋体" w:hAnsi="宋体"/>
          <w:color w:val="000000"/>
          <w:sz w:val="24"/>
          <w:szCs w:val="24"/>
        </w:rPr>
        <w:t>…………………………………………</w:t>
      </w:r>
      <w:r>
        <w:rPr>
          <w:rFonts w:hint="eastAsia" w:ascii="宋体" w:hAnsi="宋体"/>
          <w:color w:val="000000"/>
          <w:sz w:val="24"/>
          <w:szCs w:val="24"/>
        </w:rPr>
        <w:t>（ ）</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）谈判文件要求，经我方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（4）不按照谈判文件要求提交履约保证金；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（6）要求更改谈判文件和中标结果公告的实质性内容；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法律法规和谈判文件规定的其他情形。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4800" w:firstLineChars="2000"/>
        <w:textAlignment w:val="auto"/>
      </w:pPr>
      <w:r>
        <w:rPr>
          <w:rFonts w:hint="eastAsia" w:ascii="宋体" w:hAnsi="宋体"/>
          <w:sz w:val="24"/>
          <w:szCs w:val="24"/>
        </w:rPr>
        <w:t>年 月 日</w:t>
      </w:r>
    </w:p>
    <w:p>
      <w:pPr>
        <w:adjustRightInd w:val="0"/>
        <w:snapToGrid w:val="0"/>
        <w:spacing w:line="360" w:lineRule="auto"/>
        <w:ind w:firstLine="720" w:firstLineChars="300"/>
        <w:rPr>
          <w:rFonts w:ascii="宋体" w:hAnsi="宋体"/>
          <w:sz w:val="24"/>
          <w:szCs w:val="24"/>
        </w:rPr>
      </w:pPr>
      <w:r>
        <w:rPr>
          <w:rFonts w:ascii="宋体" w:hAnsi="宋体"/>
          <w:color w:val="000000"/>
          <w:sz w:val="24"/>
          <w:szCs w:val="24"/>
        </w:rPr>
        <w:br w:type="page"/>
      </w:r>
    </w:p>
    <w:p>
      <w:pPr>
        <w:adjustRightInd w:val="0"/>
        <w:snapToGrid w:val="0"/>
        <w:spacing w:line="360" w:lineRule="auto"/>
        <w:jc w:val="center"/>
        <w:rPr>
          <w:rFonts w:ascii="宋体" w:hAnsi="宋体"/>
          <w:sz w:val="24"/>
          <w:szCs w:val="24"/>
        </w:rPr>
      </w:pPr>
      <w:r>
        <w:rPr>
          <w:rFonts w:hint="eastAsia" w:ascii="宋体" w:hAnsi="宋体"/>
          <w:sz w:val="24"/>
          <w:szCs w:val="24"/>
        </w:rPr>
        <w:t>二、开标一览表</w:t>
      </w:r>
    </w:p>
    <w:p>
      <w:pPr>
        <w:pStyle w:val="8"/>
        <w:spacing w:line="360" w:lineRule="auto"/>
        <w:ind w:left="57" w:right="57" w:firstLine="57"/>
        <w:rPr>
          <w:rFonts w:hAnsi="宋体"/>
          <w:bCs/>
          <w:sz w:val="24"/>
          <w:szCs w:val="24"/>
        </w:rPr>
      </w:pPr>
    </w:p>
    <w:p>
      <w:pPr>
        <w:pStyle w:val="8"/>
        <w:spacing w:line="360" w:lineRule="auto"/>
        <w:ind w:left="57" w:right="57" w:firstLine="57"/>
        <w:rPr>
          <w:rFonts w:hAnsi="宋体"/>
          <w:sz w:val="24"/>
          <w:szCs w:val="24"/>
        </w:rPr>
      </w:pPr>
      <w:r>
        <w:rPr>
          <w:rFonts w:hint="eastAsia" w:hAnsi="宋体"/>
          <w:sz w:val="24"/>
          <w:szCs w:val="24"/>
        </w:rPr>
        <w:t>供应商名称（加盖公章）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keepNext w:val="0"/>
              <w:keepLines w:val="0"/>
              <w:suppressLineNumbers w:val="0"/>
              <w:spacing w:before="0" w:beforeAutospacing="0" w:after="0" w:afterAutospacing="0" w:line="360" w:lineRule="auto"/>
              <w:ind w:left="0" w:right="0" w:firstLine="240" w:firstLineChars="100"/>
              <w:jc w:val="center"/>
              <w:rPr>
                <w:rFonts w:ascii="宋体" w:hAnsi="宋体"/>
                <w:sz w:val="24"/>
                <w:szCs w:val="24"/>
              </w:rPr>
            </w:pPr>
            <w:r>
              <w:rPr>
                <w:rFonts w:hint="eastAsia" w:ascii="宋体" w:hAnsi="宋体"/>
                <w:sz w:val="24"/>
                <w:szCs w:val="24"/>
              </w:rPr>
              <w:t>投标总报价（元）</w:t>
            </w:r>
          </w:p>
        </w:tc>
        <w:tc>
          <w:tcPr>
            <w:tcW w:w="199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交付使用时间</w:t>
            </w:r>
          </w:p>
        </w:tc>
        <w:tc>
          <w:tcPr>
            <w:tcW w:w="199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售后服务网点</w:t>
            </w:r>
          </w:p>
        </w:tc>
        <w:tc>
          <w:tcPr>
            <w:tcW w:w="187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keepNext w:val="0"/>
              <w:keepLines w:val="0"/>
              <w:suppressLineNumbers w:val="0"/>
              <w:spacing w:before="0" w:beforeAutospacing="0" w:after="0" w:afterAutospacing="0" w:line="360" w:lineRule="auto"/>
              <w:ind w:left="0" w:right="0"/>
              <w:jc w:val="left"/>
              <w:rPr>
                <w:rFonts w:ascii="宋体" w:hAnsi="宋体"/>
                <w:sz w:val="24"/>
                <w:szCs w:val="24"/>
              </w:rPr>
            </w:pPr>
            <w:r>
              <w:rPr>
                <w:rFonts w:hint="eastAsia" w:ascii="宋体" w:hAnsi="宋体"/>
                <w:sz w:val="24"/>
                <w:szCs w:val="24"/>
              </w:rPr>
              <w:t>大写：</w:t>
            </w:r>
          </w:p>
        </w:tc>
        <w:tc>
          <w:tcPr>
            <w:tcW w:w="1997" w:type="dxa"/>
            <w:vMerge w:val="restart"/>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997" w:type="dxa"/>
            <w:vMerge w:val="restart"/>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877" w:type="dxa"/>
            <w:vMerge w:val="restart"/>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keepNext w:val="0"/>
              <w:keepLines w:val="0"/>
              <w:suppressLineNumbers w:val="0"/>
              <w:spacing w:before="0" w:beforeAutospacing="0" w:after="0" w:afterAutospacing="0" w:line="360" w:lineRule="auto"/>
              <w:ind w:left="0" w:right="0"/>
              <w:jc w:val="left"/>
              <w:rPr>
                <w:rFonts w:ascii="宋体" w:hAnsi="宋体"/>
                <w:sz w:val="24"/>
                <w:szCs w:val="24"/>
              </w:rPr>
            </w:pPr>
            <w:r>
              <w:rPr>
                <w:rFonts w:hint="eastAsia" w:ascii="宋体" w:hAnsi="宋体"/>
                <w:sz w:val="24"/>
                <w:szCs w:val="24"/>
              </w:rPr>
              <w:t>小写：</w:t>
            </w:r>
          </w:p>
        </w:tc>
        <w:tc>
          <w:tcPr>
            <w:tcW w:w="1997" w:type="dxa"/>
            <w:vMerge w:val="continue"/>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997" w:type="dxa"/>
            <w:vMerge w:val="continue"/>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877" w:type="dxa"/>
            <w:vMerge w:val="continue"/>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2．价格应按照“供应商须知”的要求报价。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》中所填写内容与响应文件中内容不一致的，以开标一览表为准。</w:t>
      </w:r>
    </w:p>
    <w:p>
      <w:pPr>
        <w:adjustRightInd w:val="0"/>
        <w:snapToGrid w:val="0"/>
        <w:spacing w:line="360" w:lineRule="auto"/>
        <w:ind w:firstLine="723" w:firstLineChars="300"/>
        <w:rPr>
          <w:rFonts w:ascii="宋体" w:hAnsi="宋体" w:cs="Courier New"/>
          <w:b/>
          <w:bCs/>
          <w:kern w:val="0"/>
          <w:sz w:val="24"/>
          <w:szCs w:val="24"/>
        </w:rPr>
      </w:pPr>
      <w:r>
        <w:rPr>
          <w:rFonts w:hint="eastAsia" w:ascii="宋体" w:hAnsi="宋体" w:cs="Courier New"/>
          <w:b/>
          <w:bCs/>
          <w:kern w:val="0"/>
          <w:sz w:val="24"/>
          <w:szCs w:val="24"/>
        </w:rPr>
        <w:t>5.此表除保留在</w:t>
      </w:r>
      <w:r>
        <w:rPr>
          <w:rFonts w:hint="eastAsia" w:ascii="宋体" w:hAnsi="宋体" w:cs="Courier New"/>
          <w:b/>
          <w:bCs/>
          <w:kern w:val="0"/>
          <w:sz w:val="24"/>
          <w:szCs w:val="24"/>
          <w:lang w:eastAsia="zh-CN"/>
        </w:rPr>
        <w:t>响应文件</w:t>
      </w:r>
      <w:r>
        <w:rPr>
          <w:rFonts w:hint="eastAsia" w:ascii="宋体" w:hAnsi="宋体" w:cs="Courier New"/>
          <w:b/>
          <w:bCs/>
          <w:kern w:val="0"/>
          <w:sz w:val="24"/>
          <w:szCs w:val="24"/>
        </w:rPr>
        <w:t>中外，还要将另一份完全相同的本表密封装在一个信封中，单独递交，作为唱标之用。</w:t>
      </w:r>
    </w:p>
    <w:p>
      <w:pPr>
        <w:spacing w:line="360" w:lineRule="auto"/>
        <w:ind w:right="240"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autoSpaceDE w:val="0"/>
        <w:autoSpaceDN w:val="0"/>
        <w:spacing w:line="360" w:lineRule="auto"/>
        <w:jc w:val="center"/>
        <w:rPr>
          <w:rFonts w:ascii="宋体" w:hAnsi="宋体"/>
          <w:sz w:val="24"/>
          <w:szCs w:val="24"/>
        </w:rPr>
        <w:sectPr>
          <w:footerReference r:id="rId10" w:type="first"/>
          <w:footerReference r:id="rId9" w:type="default"/>
          <w:pgSz w:w="11906" w:h="16838"/>
          <w:pgMar w:top="737" w:right="1247" w:bottom="737" w:left="1247" w:header="851" w:footer="992" w:gutter="0"/>
          <w:cols w:space="720" w:num="1"/>
          <w:titlePg/>
          <w:docGrid w:linePitch="312" w:charSpace="0"/>
        </w:sectPr>
      </w:pPr>
      <w:r>
        <w:rPr>
          <w:rFonts w:hint="eastAsia" w:ascii="宋体" w:hAnsi="宋体"/>
          <w:sz w:val="24"/>
          <w:szCs w:val="24"/>
        </w:rPr>
        <w:t xml:space="preserve">                                              年    月     日</w:t>
      </w:r>
    </w:p>
    <w:p>
      <w:pPr>
        <w:spacing w:line="360" w:lineRule="auto"/>
        <w:rPr>
          <w:rFonts w:asciiTheme="minorEastAsia" w:hAnsiTheme="minorEastAsia" w:eastAsiaTheme="minorEastAsia"/>
          <w:b/>
          <w:sz w:val="24"/>
          <w:szCs w:val="24"/>
        </w:rPr>
      </w:pPr>
      <w:bookmarkStart w:id="32" w:name="_Toc496792707"/>
      <w:bookmarkStart w:id="33" w:name="_Toc482026549"/>
      <w:bookmarkStart w:id="34" w:name="_Toc496792931"/>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7" w:hRule="atLeast"/>
        </w:trPr>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8"/>
        <w:spacing w:line="360" w:lineRule="auto"/>
        <w:ind w:right="5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w:t>
      </w:r>
      <w:r>
        <w:rPr>
          <w:rFonts w:asciiTheme="minorEastAsia" w:hAnsiTheme="minorEastAsia" w:eastAsiaTheme="minorEastAsia"/>
          <w:bCs/>
          <w:sz w:val="24"/>
          <w:szCs w:val="24"/>
        </w:rPr>
        <w:t>投标保证金</w:t>
      </w:r>
    </w:p>
    <w:p>
      <w:pPr>
        <w:widowControl/>
        <w:jc w:val="left"/>
        <w:rPr>
          <w:rFonts w:asciiTheme="minorEastAsia" w:hAnsiTheme="minorEastAsia" w:eastAsiaTheme="minorEastAsia"/>
          <w:sz w:val="24"/>
          <w:szCs w:val="24"/>
        </w:rPr>
      </w:pPr>
      <w:r>
        <w:rPr>
          <w:rFonts w:hint="eastAsia" w:ascii="宋体" w:hAnsi="宋体"/>
          <w:sz w:val="24"/>
          <w:szCs w:val="24"/>
          <w:lang w:val="en-US" w:eastAsia="zh-CN"/>
        </w:rPr>
        <w:t>本项目无需缴纳保证金。</w:t>
      </w: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七、</w:t>
      </w: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_________________办公自动化（三次）</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联合体各成员将严格按照谈判文件、响应文件和合同的要求全面履行义务，并向招标人承担连带责任。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rPr>
          <w:rFonts w:ascii="宋体" w:hAnsi="宋体" w:cs="楷体_GB2312"/>
          <w:sz w:val="24"/>
          <w:szCs w:val="24"/>
        </w:rPr>
      </w:pPr>
      <w:r>
        <w:rPr>
          <w:rFonts w:ascii="宋体" w:hAnsi="宋体" w:cs="楷体_GB2312"/>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1.如接受联合体投标项目，供应商需按要求填写联合体协议书。</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2.不接受联合体投标项目，只需提供空表。</w:t>
      </w:r>
    </w:p>
    <w:bookmarkEnd w:id="32"/>
    <w:bookmarkEnd w:id="33"/>
    <w:bookmarkEnd w:id="34"/>
    <w:p>
      <w:pPr>
        <w:adjustRightInd w:val="0"/>
        <w:snapToGrid w:val="0"/>
        <w:spacing w:line="360" w:lineRule="auto"/>
        <w:ind w:firstLine="3000" w:firstLineChars="1250"/>
        <w:jc w:val="left"/>
        <w:rPr>
          <w:rFonts w:ascii="宋体" w:hAnsi="宋体" w:cs="Courier New"/>
          <w:color w:val="000000"/>
          <w:kern w:val="0"/>
          <w:sz w:val="24"/>
          <w:szCs w:val="24"/>
        </w:rPr>
      </w:pPr>
      <w:r>
        <w:rPr>
          <w:rFonts w:hint="eastAsia" w:ascii="宋体" w:hAnsi="宋体"/>
          <w:sz w:val="24"/>
          <w:szCs w:val="24"/>
        </w:rPr>
        <w:t xml:space="preserve">八、 </w:t>
      </w:r>
      <w:bookmarkStart w:id="35" w:name="_Toc482026550"/>
      <w:r>
        <w:rPr>
          <w:rFonts w:hint="eastAsia" w:ascii="宋体" w:hAnsi="宋体" w:cs="Courier New"/>
          <w:color w:val="000000"/>
          <w:kern w:val="0"/>
          <w:sz w:val="24"/>
          <w:szCs w:val="24"/>
        </w:rPr>
        <w:t>投标货物分项报价明细表</w:t>
      </w:r>
    </w:p>
    <w:p>
      <w:pPr>
        <w:adjustRightInd w:val="0"/>
        <w:snapToGrid w:val="0"/>
        <w:spacing w:line="360" w:lineRule="auto"/>
        <w:ind w:firstLine="3000" w:firstLineChars="1250"/>
        <w:jc w:val="left"/>
        <w:rPr>
          <w:rFonts w:hAnsi="宋体"/>
          <w:bCs/>
          <w:color w:val="000000"/>
          <w:sz w:val="24"/>
          <w:szCs w:val="24"/>
        </w:rPr>
      </w:pP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1161"/>
        <w:gridCol w:w="918"/>
        <w:gridCol w:w="1585"/>
        <w:gridCol w:w="1256"/>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14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货物名称</w:t>
            </w:r>
          </w:p>
        </w:tc>
        <w:tc>
          <w:tcPr>
            <w:tcW w:w="1161"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品牌</w:t>
            </w:r>
          </w:p>
        </w:tc>
        <w:tc>
          <w:tcPr>
            <w:tcW w:w="918"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型号</w:t>
            </w: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1327"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1</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2</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3</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4</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bl>
    <w:p>
      <w:pPr>
        <w:adjustRightInd w:val="0"/>
        <w:snapToGrid w:val="0"/>
        <w:spacing w:line="360" w:lineRule="auto"/>
        <w:rPr>
          <w:rFonts w:ascii="宋体" w:hAnsi="宋体" w:cs="Courier New"/>
          <w:color w:val="000000"/>
          <w:kern w:val="0"/>
          <w:sz w:val="24"/>
          <w:szCs w:val="24"/>
        </w:rPr>
      </w:pPr>
      <w:r>
        <w:rPr>
          <w:rFonts w:hint="eastAsia" w:ascii="宋体" w:hAnsi="宋体" w:cs="Courier New"/>
          <w:color w:val="000000"/>
          <w:kern w:val="0"/>
          <w:sz w:val="24"/>
          <w:szCs w:val="24"/>
        </w:rPr>
        <w:t>说明：</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2．此表将随中标结果公告一并公示，请供应商认真填写。</w:t>
      </w:r>
    </w:p>
    <w:p>
      <w:pPr>
        <w:adjustRightInd w:val="0"/>
        <w:snapToGrid w:val="0"/>
        <w:spacing w:line="360" w:lineRule="auto"/>
        <w:ind w:firstLine="480" w:firstLineChars="200"/>
        <w:rPr>
          <w:rFonts w:ascii="宋体" w:hAnsi="宋体"/>
          <w:color w:val="000000"/>
          <w:sz w:val="24"/>
          <w:szCs w:val="24"/>
        </w:rPr>
      </w:pPr>
    </w:p>
    <w:p>
      <w:pPr>
        <w:rPr>
          <w:sz w:val="24"/>
          <w:szCs w:val="24"/>
          <w:lang w:val="zh-CN"/>
        </w:rPr>
      </w:pPr>
      <w:r>
        <w:rPr>
          <w:sz w:val="24"/>
          <w:szCs w:val="24"/>
          <w:lang w:val="zh-CN"/>
        </w:rPr>
        <w:br w:type="page"/>
      </w:r>
    </w:p>
    <w:p>
      <w:pPr>
        <w:rPr>
          <w:b/>
          <w:sz w:val="24"/>
          <w:szCs w:val="24"/>
          <w:lang w:val="zh-CN"/>
        </w:rPr>
      </w:pPr>
    </w:p>
    <w:p>
      <w:pPr>
        <w:rPr>
          <w:sz w:val="24"/>
          <w:szCs w:val="24"/>
          <w:lang w:val="zh-CN"/>
        </w:rPr>
      </w:pPr>
    </w:p>
    <w:p>
      <w:pPr>
        <w:numPr>
          <w:ilvl w:val="0"/>
          <w:numId w:val="3"/>
        </w:numPr>
        <w:jc w:val="center"/>
        <w:rPr>
          <w:rFonts w:ascii="宋体" w:hAnsi="宋体"/>
          <w:color w:val="000000"/>
          <w:sz w:val="24"/>
          <w:szCs w:val="24"/>
        </w:rPr>
      </w:pPr>
      <w:r>
        <w:rPr>
          <w:rFonts w:hint="eastAsia" w:ascii="宋体" w:hAnsi="宋体"/>
          <w:color w:val="000000"/>
          <w:sz w:val="24"/>
          <w:szCs w:val="24"/>
        </w:rPr>
        <w:t>投标货物情况介绍表</w:t>
      </w:r>
    </w:p>
    <w:p>
      <w:pPr>
        <w:pStyle w:val="2"/>
      </w:pP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序号</w:t>
            </w:r>
          </w:p>
        </w:tc>
        <w:tc>
          <w:tcPr>
            <w:tcW w:w="165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货物名称</w:t>
            </w:r>
          </w:p>
        </w:tc>
        <w:tc>
          <w:tcPr>
            <w:tcW w:w="98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品牌</w:t>
            </w:r>
          </w:p>
        </w:tc>
        <w:tc>
          <w:tcPr>
            <w:tcW w:w="1071"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型号</w:t>
            </w: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生产厂家</w:t>
            </w: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生产产地</w:t>
            </w:r>
          </w:p>
        </w:tc>
        <w:tc>
          <w:tcPr>
            <w:tcW w:w="1552"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1</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2</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3</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4</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bl>
    <w:p>
      <w:pPr>
        <w:spacing w:line="360" w:lineRule="auto"/>
        <w:rPr>
          <w:rFonts w:ascii="宋体" w:hAnsi="宋体"/>
          <w:color w:val="000000"/>
          <w:sz w:val="24"/>
          <w:szCs w:val="24"/>
        </w:rPr>
      </w:pPr>
      <w:r>
        <w:rPr>
          <w:rFonts w:hint="eastAsia" w:ascii="宋体" w:hAnsi="宋体"/>
          <w:color w:val="000000"/>
          <w:sz w:val="24"/>
          <w:szCs w:val="24"/>
        </w:rPr>
        <w:t>说明：</w:t>
      </w:r>
    </w:p>
    <w:p>
      <w:pPr>
        <w:spacing w:line="360" w:lineRule="auto"/>
        <w:rPr>
          <w:rFonts w:ascii="宋体" w:hAnsi="宋体"/>
          <w:color w:val="000000"/>
          <w:sz w:val="24"/>
          <w:szCs w:val="24"/>
        </w:rPr>
      </w:pPr>
      <w:r>
        <w:rPr>
          <w:rFonts w:hint="eastAsia" w:ascii="宋体" w:hAnsi="宋体"/>
          <w:color w:val="000000"/>
          <w:sz w:val="24"/>
          <w:szCs w:val="24"/>
        </w:rPr>
        <w:t xml:space="preserve">    1.供应商需按采购文件要求内容如实填写此表。</w:t>
      </w:r>
      <w:r>
        <w:rPr>
          <w:rFonts w:ascii="宋体" w:hAnsi="宋体"/>
          <w:color w:val="000000"/>
          <w:sz w:val="24"/>
          <w:szCs w:val="24"/>
        </w:rPr>
        <w:br w:type="page"/>
      </w:r>
    </w:p>
    <w:p>
      <w:pPr>
        <w:pStyle w:val="4"/>
        <w:keepNext w:val="0"/>
        <w:keepLines w:val="0"/>
        <w:spacing w:line="360" w:lineRule="auto"/>
        <w:jc w:val="left"/>
        <w:rPr>
          <w:rFonts w:ascii="宋体" w:hAnsi="宋体" w:eastAsia="宋体"/>
          <w:b w:val="0"/>
          <w:color w:val="000000"/>
          <w:sz w:val="24"/>
          <w:szCs w:val="24"/>
        </w:rPr>
      </w:pPr>
    </w:p>
    <w:bookmarkEnd w:id="35"/>
    <w:p>
      <w:pPr>
        <w:spacing w:line="360" w:lineRule="auto"/>
        <w:jc w:val="center"/>
        <w:rPr>
          <w:rFonts w:ascii="宋体" w:hAnsi="宋体"/>
          <w:sz w:val="24"/>
          <w:szCs w:val="24"/>
        </w:rPr>
      </w:pPr>
      <w:bookmarkStart w:id="36" w:name="_Toc482026551"/>
      <w:r>
        <w:rPr>
          <w:rFonts w:hint="eastAsia" w:ascii="宋体" w:hAnsi="宋体"/>
          <w:sz w:val="24"/>
          <w:szCs w:val="24"/>
        </w:rPr>
        <w:t>十、技术规格响应表</w:t>
      </w:r>
    </w:p>
    <w:p>
      <w:pPr>
        <w:spacing w:line="360" w:lineRule="auto"/>
        <w:rPr>
          <w:rFonts w:ascii="宋体" w:hAnsi="宋体"/>
          <w:b/>
          <w:sz w:val="24"/>
          <w:szCs w:val="24"/>
        </w:rPr>
      </w:pPr>
      <w:r>
        <w:rPr>
          <w:rFonts w:hint="eastAsia" w:ascii="宋体" w:hAnsi="宋体" w:cs="宋体"/>
          <w:kern w:val="0"/>
          <w:sz w:val="24"/>
          <w:szCs w:val="24"/>
        </w:rPr>
        <w:t>1.货物名称：</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编号</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谈判文件要求技术参数、性能指标</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供应商提供技术参数、性能指标</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响应</w:t>
            </w:r>
          </w:p>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程度</w:t>
            </w:r>
          </w:p>
        </w:tc>
        <w:tc>
          <w:tcPr>
            <w:tcW w:w="2294"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佐证材料名称并标明页码</w:t>
            </w:r>
          </w:p>
        </w:tc>
        <w:tc>
          <w:tcPr>
            <w:tcW w:w="1155"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1</w:t>
            </w: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2294" w:type="dxa"/>
            <w:vAlign w:val="center"/>
          </w:tcPr>
          <w:p>
            <w:pPr>
              <w:keepNext w:val="0"/>
              <w:keepLines w:val="0"/>
              <w:suppressLineNumbers w:val="0"/>
              <w:spacing w:before="0" w:beforeAutospacing="0" w:after="0" w:afterAutospacing="0" w:line="360" w:lineRule="auto"/>
              <w:ind w:left="2201" w:leftChars="786" w:right="0"/>
              <w:rPr>
                <w:rFonts w:ascii="宋体" w:hAnsi="宋体"/>
                <w:sz w:val="24"/>
                <w:szCs w:val="24"/>
              </w:rPr>
            </w:pPr>
          </w:p>
        </w:tc>
        <w:tc>
          <w:tcPr>
            <w:tcW w:w="1155" w:type="dxa"/>
          </w:tcPr>
          <w:p>
            <w:pPr>
              <w:keepNext w:val="0"/>
              <w:keepLines w:val="0"/>
              <w:suppressLineNumbers w:val="0"/>
              <w:spacing w:before="0" w:beforeAutospacing="0" w:after="0" w:afterAutospacing="0" w:line="360" w:lineRule="auto"/>
              <w:ind w:left="2201" w:leftChars="786" w:right="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2</w:t>
            </w: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2294"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155" w:type="dxa"/>
          </w:tcPr>
          <w:p>
            <w:pPr>
              <w:keepNext w:val="0"/>
              <w:keepLines w:val="0"/>
              <w:suppressLineNumbers w:val="0"/>
              <w:spacing w:before="0" w:beforeAutospacing="0" w:after="0" w:afterAutospacing="0" w:line="360" w:lineRule="auto"/>
              <w:ind w:left="0" w:right="0"/>
              <w:rPr>
                <w:rFonts w:ascii="宋体" w:hAnsi="宋体"/>
                <w:sz w:val="24"/>
                <w:szCs w:val="24"/>
              </w:rPr>
            </w:pPr>
          </w:p>
        </w:tc>
      </w:tr>
    </w:tbl>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供应商应按照本谈判文件第四章“货物需求一览表”中确定的技术参数与性能要求，将投标产品的技术参数和性能指标逐一列出，以证明投标产品对谈判文件要求的技术参数和性能指标做出实质性响应。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响应文件中设备的性能指标应达到或优于谈判文件中所列技术指标。谈判文件中所列技术指标仅列出了最低限度，供应商在提供的技术参数、性能指标中必须列出具体数值或内容。对谈判文件原文复制或只注明符合、满足等无具体内容的表述，将视为不符合谈判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sz w:val="24"/>
          <w:szCs w:val="24"/>
        </w:rPr>
      </w:pPr>
      <w:r>
        <w:rPr>
          <w:rFonts w:hint="eastAsia" w:ascii="宋体" w:hAnsi="宋体" w:cs="宋体"/>
          <w:sz w:val="24"/>
          <w:szCs w:val="24"/>
        </w:rPr>
        <w:t>4.“备注”处可填写偏离情况的具体说明。</w:t>
      </w:r>
    </w:p>
    <w:p>
      <w:pPr>
        <w:pStyle w:val="4"/>
        <w:keepNext w:val="0"/>
        <w:keepLines w:val="0"/>
        <w:spacing w:line="360" w:lineRule="auto"/>
        <w:rPr>
          <w:rFonts w:ascii="宋体" w:hAnsi="宋体" w:eastAsia="宋体"/>
          <w:b w:val="0"/>
          <w:color w:val="000000"/>
          <w:sz w:val="24"/>
          <w:szCs w:val="24"/>
        </w:rPr>
      </w:pPr>
      <w:r>
        <w:rPr>
          <w:rFonts w:ascii="宋体" w:hAnsi="宋体" w:eastAsia="宋体"/>
          <w:b w:val="0"/>
          <w:color w:val="000000"/>
          <w:sz w:val="24"/>
          <w:szCs w:val="24"/>
        </w:rPr>
        <w:br w:type="page"/>
      </w:r>
    </w:p>
    <w:bookmarkEnd w:id="36"/>
    <w:p>
      <w:pPr>
        <w:adjustRightInd w:val="0"/>
        <w:snapToGrid w:val="0"/>
        <w:spacing w:line="360" w:lineRule="auto"/>
        <w:jc w:val="center"/>
        <w:rPr>
          <w:rFonts w:ascii="宋体" w:hAnsi="宋体"/>
          <w:b/>
          <w:color w:val="000000"/>
          <w:sz w:val="24"/>
          <w:szCs w:val="24"/>
        </w:rPr>
      </w:pPr>
      <w:r>
        <w:rPr>
          <w:rFonts w:hint="eastAsia" w:ascii="宋体" w:hAnsi="宋体"/>
          <w:b/>
          <w:color w:val="000000"/>
          <w:sz w:val="24"/>
          <w:szCs w:val="24"/>
        </w:rPr>
        <w:t>十一、 售后服务承诺及方案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一．售后服务承诺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1.在</w:t>
      </w:r>
      <w:r>
        <w:rPr>
          <w:rFonts w:hint="eastAsia" w:ascii="宋体" w:hAnsi="宋体"/>
          <w:color w:val="000000"/>
          <w:sz w:val="24"/>
          <w:szCs w:val="24"/>
          <w:u w:val="single"/>
        </w:rPr>
        <w:t xml:space="preserve">   </w:t>
      </w:r>
      <w:r>
        <w:rPr>
          <w:rFonts w:hint="eastAsia" w:ascii="宋体" w:hAnsi="宋体"/>
          <w:color w:val="000000"/>
          <w:sz w:val="24"/>
          <w:szCs w:val="24"/>
        </w:rPr>
        <w:t>年的质保期内，供应商对所投产品在使用过程中出现的故障和零配件磨损问题，免费提供维修和更换服务。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2.质保期过后</w:t>
      </w:r>
      <w:r>
        <w:rPr>
          <w:rFonts w:hint="eastAsia" w:ascii="宋体" w:hAnsi="宋体"/>
          <w:color w:val="000000"/>
          <w:sz w:val="24"/>
          <w:szCs w:val="24"/>
          <w:u w:val="single"/>
        </w:rPr>
        <w:t xml:space="preserve">   </w:t>
      </w:r>
      <w:r>
        <w:rPr>
          <w:rFonts w:hint="eastAsia" w:ascii="宋体" w:hAnsi="宋体"/>
          <w:color w:val="000000"/>
          <w:sz w:val="24"/>
          <w:szCs w:val="24"/>
        </w:rPr>
        <w:t>年内，供应商将继续为</w:t>
      </w:r>
      <w:r>
        <w:rPr>
          <w:rFonts w:hint="eastAsia" w:ascii="宋体" w:hAnsi="宋体"/>
          <w:color w:val="000000"/>
          <w:sz w:val="24"/>
          <w:szCs w:val="24"/>
          <w:u w:val="single"/>
        </w:rPr>
        <w:t xml:space="preserve"> （货物名称） </w:t>
      </w:r>
      <w:r>
        <w:rPr>
          <w:rFonts w:hint="eastAsia" w:ascii="宋体" w:hAnsi="宋体"/>
          <w:color w:val="000000"/>
          <w:sz w:val="24"/>
          <w:szCs w:val="24"/>
        </w:rPr>
        <w:t>提供免费维修服务，在此期间不收取维护费，如需更换零配件，只收取零配件的成本费。</w:t>
      </w:r>
    </w:p>
    <w:p>
      <w:pPr>
        <w:pStyle w:val="7"/>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3.质保期过后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年内，供应商将继续为</w:t>
      </w:r>
      <w:r>
        <w:rPr>
          <w:rFonts w:hint="eastAsia" w:ascii="宋体" w:hAnsi="宋体" w:eastAsia="宋体"/>
          <w:color w:val="000000"/>
          <w:sz w:val="24"/>
          <w:szCs w:val="24"/>
          <w:u w:val="single"/>
        </w:rPr>
        <w:t xml:space="preserve"> （货物名称） </w:t>
      </w:r>
      <w:r>
        <w:rPr>
          <w:rFonts w:hint="eastAsia" w:ascii="宋体" w:hAnsi="宋体" w:eastAsia="宋体"/>
          <w:color w:val="000000"/>
          <w:sz w:val="24"/>
          <w:szCs w:val="24"/>
        </w:rPr>
        <w:t>提供维修服务，除收取交通费.住宿费和所更换部件的成本费外，不再收取任何维修费用。</w:t>
      </w:r>
    </w:p>
    <w:p>
      <w:pPr>
        <w:pStyle w:val="7"/>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4．供应商在接到用户维修通知后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小时内响应，</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个工作日内排除故障（节假日照常服务）。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6.免费安装调试、人员培训、技术支持。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7.定期进行用户回访，及时处理用户意见。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二．技术培训</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1.免费培训内容：</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2.培训日期及地点：</w:t>
      </w:r>
    </w:p>
    <w:p>
      <w:pPr>
        <w:adjustRightInd w:val="0"/>
        <w:spacing w:line="360" w:lineRule="auto"/>
        <w:ind w:firstLine="480" w:firstLineChars="200"/>
        <w:rPr>
          <w:rFonts w:ascii="宋体"/>
          <w:bCs/>
          <w:sz w:val="24"/>
          <w:szCs w:val="24"/>
        </w:rPr>
      </w:pPr>
      <w:r>
        <w:rPr>
          <w:rFonts w:hint="eastAsia" w:ascii="宋体" w:hAnsi="宋体" w:cs="宋体"/>
          <w:bCs/>
          <w:sz w:val="24"/>
          <w:szCs w:val="24"/>
        </w:rPr>
        <w:t>三．售后服务机构和服务体系</w:t>
      </w:r>
    </w:p>
    <w:p>
      <w:pPr>
        <w:spacing w:line="360" w:lineRule="auto"/>
        <w:ind w:firstLine="480" w:firstLineChars="200"/>
        <w:rPr>
          <w:rFonts w:ascii="宋体"/>
          <w:sz w:val="24"/>
          <w:szCs w:val="24"/>
        </w:rPr>
      </w:pPr>
      <w:bookmarkStart w:id="37" w:name="_Toc266431151"/>
      <w:r>
        <w:rPr>
          <w:rFonts w:ascii="宋体" w:hAnsi="宋体" w:cs="宋体"/>
          <w:sz w:val="24"/>
          <w:szCs w:val="24"/>
        </w:rPr>
        <w:t>1.</w:t>
      </w:r>
      <w:r>
        <w:rPr>
          <w:rFonts w:hint="eastAsia" w:ascii="宋体" w:hAnsi="宋体" w:cs="宋体"/>
          <w:sz w:val="24"/>
          <w:szCs w:val="24"/>
        </w:rPr>
        <w:t>生产厂家售后服务机构、联系人、联系电话</w:t>
      </w:r>
      <w:bookmarkEnd w:id="37"/>
      <w:r>
        <w:rPr>
          <w:rFonts w:hint="eastAsia" w:ascii="宋体" w:hAnsi="宋体" w:cs="宋体"/>
          <w:sz w:val="24"/>
          <w:szCs w:val="24"/>
        </w:rPr>
        <w:t>。</w:t>
      </w:r>
    </w:p>
    <w:p>
      <w:pPr>
        <w:pStyle w:val="8"/>
        <w:spacing w:line="360" w:lineRule="auto"/>
        <w:ind w:firstLine="480" w:firstLineChars="200"/>
        <w:rPr>
          <w:sz w:val="24"/>
          <w:szCs w:val="24"/>
        </w:rPr>
      </w:pPr>
      <w:bookmarkStart w:id="38" w:name="_Toc266431152"/>
      <w:r>
        <w:rPr>
          <w:sz w:val="24"/>
          <w:szCs w:val="24"/>
        </w:rPr>
        <w:t>2.</w:t>
      </w:r>
      <w:r>
        <w:rPr>
          <w:rFonts w:hint="eastAsia"/>
          <w:sz w:val="24"/>
          <w:szCs w:val="24"/>
        </w:rPr>
        <w:t>本地化售后服务网点分布、机构名称、联系人、联系电话。</w:t>
      </w:r>
      <w:bookmarkEnd w:id="38"/>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四．售后方案（自拟）</w:t>
      </w:r>
    </w:p>
    <w:p>
      <w:pPr>
        <w:spacing w:line="360" w:lineRule="auto"/>
        <w:ind w:firstLine="482" w:firstLineChars="200"/>
        <w:rPr>
          <w:rFonts w:ascii="宋体" w:hAnsi="宋体"/>
          <w:sz w:val="24"/>
          <w:szCs w:val="24"/>
          <w:lang w:val="zh-CN"/>
        </w:rPr>
      </w:pPr>
      <w:r>
        <w:rPr>
          <w:rFonts w:hint="eastAsia" w:ascii="宋体" w:hAnsi="宋体"/>
          <w:b/>
          <w:sz w:val="24"/>
          <w:szCs w:val="24"/>
          <w:lang w:val="zh-CN"/>
        </w:rPr>
        <w:t>注</w:t>
      </w:r>
      <w:r>
        <w:rPr>
          <w:rFonts w:hint="eastAsia" w:ascii="宋体" w:hAnsi="宋体"/>
          <w:sz w:val="24"/>
          <w:szCs w:val="24"/>
          <w:lang w:val="zh-CN"/>
        </w:rPr>
        <w:t>：供应商提供售后服务承诺及方案不少于以上内容。</w:t>
      </w:r>
      <w:bookmarkStart w:id="39" w:name="_Toc482026552"/>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bookmarkEnd w:id="39"/>
    <w:p>
      <w:pPr>
        <w:numPr>
          <w:ilvl w:val="0"/>
          <w:numId w:val="4"/>
        </w:numPr>
        <w:spacing w:line="360" w:lineRule="auto"/>
        <w:jc w:val="center"/>
        <w:rPr>
          <w:rFonts w:ascii="宋体" w:hAnsi="宋体"/>
          <w:sz w:val="24"/>
          <w:szCs w:val="24"/>
          <w:lang w:val="zh-CN"/>
        </w:rPr>
      </w:pPr>
      <w:r>
        <w:rPr>
          <w:rFonts w:hint="eastAsia" w:ascii="宋体" w:hAnsi="宋体"/>
          <w:sz w:val="24"/>
          <w:szCs w:val="24"/>
          <w:lang w:val="zh-CN"/>
        </w:rPr>
        <w:t>商务规格响应表</w:t>
      </w:r>
    </w:p>
    <w:p>
      <w:pPr>
        <w:pStyle w:val="2"/>
      </w:pPr>
    </w:p>
    <w:tbl>
      <w:tblPr>
        <w:tblStyle w:val="15"/>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谈判文件商务</w:t>
            </w:r>
          </w:p>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供应商响应的</w:t>
            </w:r>
          </w:p>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ind w:left="0" w:right="0"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ind w:left="0" w:right="0"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6</w:t>
            </w:r>
          </w:p>
        </w:tc>
        <w:tc>
          <w:tcPr>
            <w:tcW w:w="220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其他</w:t>
            </w:r>
          </w:p>
        </w:tc>
        <w:tc>
          <w:tcPr>
            <w:tcW w:w="220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spacing w:line="360" w:lineRule="auto"/>
        <w:jc w:val="center"/>
        <w:rPr>
          <w:rFonts w:ascii="宋体" w:hAnsi="宋体"/>
          <w:sz w:val="24"/>
          <w:szCs w:val="24"/>
        </w:rPr>
      </w:pPr>
      <w:bookmarkStart w:id="40" w:name="_Toc482026553"/>
    </w:p>
    <w:p>
      <w:pPr>
        <w:pStyle w:val="4"/>
        <w:keepNext w:val="0"/>
        <w:keepLines w:val="0"/>
        <w:spacing w:line="360" w:lineRule="auto"/>
        <w:rPr>
          <w:rFonts w:ascii="宋体" w:hAnsi="宋体" w:eastAsia="宋体"/>
          <w:b w:val="0"/>
          <w:sz w:val="24"/>
          <w:szCs w:val="24"/>
          <w:lang w:val="en-US"/>
        </w:rPr>
      </w:pPr>
      <w:r>
        <w:rPr>
          <w:rFonts w:ascii="宋体" w:hAnsi="宋体" w:eastAsia="宋体"/>
          <w:b w:val="0"/>
          <w:sz w:val="24"/>
          <w:szCs w:val="24"/>
          <w:lang w:val="en-US"/>
        </w:rPr>
        <w:br w:type="page"/>
      </w:r>
    </w:p>
    <w:bookmarkEnd w:id="40"/>
    <w:p>
      <w:pPr>
        <w:widowControl/>
        <w:spacing w:line="360" w:lineRule="auto"/>
        <w:jc w:val="left"/>
        <w:rPr>
          <w:rFonts w:asciiTheme="minorEastAsia" w:hAnsiTheme="minorEastAsia" w:eastAsiaTheme="minorEastAsia"/>
          <w:sz w:val="24"/>
          <w:szCs w:val="24"/>
        </w:rPr>
      </w:pPr>
    </w:p>
    <w:p>
      <w:pPr>
        <w:spacing w:line="360" w:lineRule="auto"/>
        <w:jc w:val="center"/>
        <w:rPr>
          <w:rFonts w:ascii="宋体" w:hAnsi="宋体"/>
          <w:b/>
          <w:sz w:val="24"/>
          <w:szCs w:val="24"/>
        </w:rPr>
      </w:pPr>
      <w:bookmarkStart w:id="41" w:name="_Toc482026554"/>
      <w:r>
        <w:rPr>
          <w:rFonts w:hint="eastAsia" w:ascii="宋体" w:hAnsi="宋体"/>
          <w:sz w:val="24"/>
          <w:szCs w:val="24"/>
        </w:rPr>
        <w:t>十三、供应商业绩情况表</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bl>
    <w:p>
      <w:pPr>
        <w:widowControl/>
        <w:spacing w:line="360" w:lineRule="auto"/>
        <w:jc w:val="left"/>
        <w:rPr>
          <w:rFonts w:ascii="宋体" w:hAnsi="宋体"/>
          <w:b/>
          <w:color w:val="000000"/>
          <w:sz w:val="24"/>
          <w:szCs w:val="24"/>
        </w:rPr>
      </w:pPr>
      <w:r>
        <w:rPr>
          <w:rFonts w:hint="eastAsia" w:asciiTheme="minorEastAsia" w:hAnsiTheme="minorEastAsia" w:eastAsiaTheme="minorEastAsia"/>
          <w:sz w:val="24"/>
          <w:szCs w:val="24"/>
        </w:rPr>
        <w:t>注：供应商根据上述业绩情况后附销售或服务</w:t>
      </w:r>
      <w:r>
        <w:rPr>
          <w:rFonts w:asciiTheme="minorEastAsia" w:hAnsiTheme="minorEastAsia" w:eastAsiaTheme="minorEastAsia"/>
          <w:sz w:val="24"/>
          <w:szCs w:val="24"/>
        </w:rPr>
        <w:t>合同</w:t>
      </w:r>
      <w:r>
        <w:rPr>
          <w:rFonts w:hint="eastAsia" w:asciiTheme="minorEastAsia" w:hAnsiTheme="minorEastAsia" w:eastAsiaTheme="minorEastAsia"/>
          <w:sz w:val="24"/>
          <w:szCs w:val="24"/>
        </w:rPr>
        <w:t>复印件。</w:t>
      </w:r>
      <w:r>
        <w:rPr>
          <w:rFonts w:ascii="宋体" w:hAnsi="宋体"/>
          <w:color w:val="000000"/>
          <w:sz w:val="24"/>
          <w:szCs w:val="24"/>
        </w:rPr>
        <w:br w:type="page"/>
      </w:r>
    </w:p>
    <w:bookmarkEnd w:id="41"/>
    <w:p>
      <w:pPr>
        <w:widowControl/>
        <w:spacing w:line="360" w:lineRule="auto"/>
        <w:jc w:val="left"/>
        <w:rPr>
          <w:rFonts w:asciiTheme="minorEastAsia" w:hAnsiTheme="minorEastAsia" w:eastAsiaTheme="minorEastAsia"/>
          <w:sz w:val="24"/>
          <w:szCs w:val="24"/>
        </w:rPr>
      </w:pPr>
    </w:p>
    <w:p>
      <w:pPr>
        <w:spacing w:line="360" w:lineRule="auto"/>
        <w:jc w:val="center"/>
        <w:rPr>
          <w:rFonts w:ascii="宋体" w:hAnsi="宋体"/>
          <w:sz w:val="24"/>
          <w:szCs w:val="24"/>
          <w:lang w:val="zh-CN"/>
        </w:rPr>
      </w:pPr>
      <w:r>
        <w:rPr>
          <w:rFonts w:hint="eastAsia" w:ascii="宋体" w:hAnsi="宋体"/>
          <w:sz w:val="24"/>
          <w:szCs w:val="24"/>
          <w:lang w:val="zh-CN"/>
        </w:rPr>
        <w:t>十四、供应商基本情况表</w:t>
      </w:r>
    </w:p>
    <w:tbl>
      <w:tblPr>
        <w:tblStyle w:val="15"/>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供应商名称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firstLine="360" w:firstLineChars="150"/>
              <w:rPr>
                <w:rFonts w:ascii="宋体" w:hAnsi="宋体"/>
                <w:sz w:val="24"/>
                <w:szCs w:val="24"/>
                <w:lang w:val="zh-CN"/>
              </w:rPr>
            </w:pPr>
            <w:r>
              <w:rPr>
                <w:rFonts w:hint="eastAsia" w:ascii="宋体" w:hAnsi="宋体"/>
                <w:sz w:val="24"/>
                <w:szCs w:val="24"/>
                <w:lang w:val="zh-CN"/>
              </w:rPr>
              <w:t>所有制性质</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员工总数</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联系人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4"/>
                <w:lang w:val="zh-CN"/>
              </w:rPr>
            </w:pPr>
            <w:r>
              <w:rPr>
                <w:rFonts w:hint="eastAsia" w:ascii="宋体" w:hAnsi="宋体"/>
                <w:sz w:val="24"/>
                <w:szCs w:val="24"/>
                <w:lang w:val="zh-CN"/>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4"/>
                <w:lang w:val="zh-CN"/>
              </w:rPr>
            </w:pPr>
            <w:r>
              <w:rPr>
                <w:rFonts w:hint="eastAsia" w:ascii="宋体" w:hAnsi="宋体"/>
                <w:sz w:val="24"/>
                <w:szCs w:val="24"/>
                <w:lang w:val="zh-CN"/>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r>
              <w:rPr>
                <w:rFonts w:hint="eastAsia" w:ascii="宋体" w:hAnsi="宋体"/>
                <w:sz w:val="24"/>
                <w:szCs w:val="24"/>
                <w:lang w:val="zh-CN"/>
              </w:rPr>
              <w:t>注：投标单位须在该表后附法人或其他组织的营业执照副本、自然人的身份证明及招标公告中供应商资质要求的其他资质证明等。</w:t>
            </w:r>
          </w:p>
        </w:tc>
      </w:tr>
    </w:tbl>
    <w:p>
      <w:pPr>
        <w:spacing w:line="360" w:lineRule="auto"/>
        <w:rPr>
          <w:rFonts w:ascii="宋体" w:hAnsi="宋体"/>
          <w:sz w:val="24"/>
          <w:szCs w:val="24"/>
          <w:lang w:val="zh-CN"/>
        </w:rPr>
      </w:pPr>
      <w:r>
        <w:rPr>
          <w:rFonts w:hint="eastAsia" w:ascii="宋体" w:hAnsi="宋体"/>
          <w:sz w:val="24"/>
          <w:szCs w:val="24"/>
          <w:lang w:val="zh-CN"/>
        </w:rPr>
        <w:t>说明：</w:t>
      </w:r>
    </w:p>
    <w:p>
      <w:pPr>
        <w:spacing w:line="360" w:lineRule="auto"/>
        <w:ind w:firstLine="480" w:firstLineChars="200"/>
        <w:rPr>
          <w:rFonts w:ascii="宋体" w:hAnsi="宋体"/>
          <w:sz w:val="24"/>
          <w:szCs w:val="24"/>
          <w:lang w:val="zh-CN"/>
        </w:rPr>
      </w:pPr>
      <w:r>
        <w:rPr>
          <w:rFonts w:hint="eastAsia" w:ascii="宋体" w:hAnsi="宋体"/>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ind w:firstLine="480" w:firstLineChars="200"/>
        <w:jc w:val="left"/>
        <w:rPr>
          <w:rFonts w:ascii="宋体" w:hAnsi="宋体"/>
          <w:sz w:val="24"/>
          <w:szCs w:val="24"/>
          <w:lang w:val="zh-CN"/>
        </w:rPr>
      </w:pPr>
      <w:bookmarkStart w:id="42" w:name="_Toc482026555"/>
      <w:r>
        <w:rPr>
          <w:rFonts w:ascii="宋体" w:hAnsi="宋体"/>
          <w:sz w:val="24"/>
          <w:szCs w:val="24"/>
          <w:lang w:val="zh-CN"/>
        </w:rPr>
        <w:br w:type="page"/>
      </w:r>
    </w:p>
    <w:bookmarkEnd w:id="42"/>
    <w:p>
      <w:pPr>
        <w:spacing w:line="360" w:lineRule="auto"/>
        <w:rPr>
          <w:rFonts w:ascii="宋体" w:hAnsi="宋体"/>
          <w:b/>
          <w:color w:val="000000"/>
          <w:sz w:val="24"/>
          <w:szCs w:val="24"/>
        </w:rPr>
      </w:pPr>
      <w:bookmarkStart w:id="43" w:name="_Toc496792717"/>
      <w:bookmarkStart w:id="44" w:name="_Toc482026558"/>
      <w:bookmarkStart w:id="45" w:name="_Toc496792941"/>
      <w:r>
        <w:rPr>
          <w:rFonts w:hint="eastAsia" w:ascii="宋体" w:hAnsi="宋体"/>
          <w:b/>
          <w:color w:val="000000"/>
          <w:sz w:val="24"/>
          <w:szCs w:val="24"/>
        </w:rPr>
        <w:t xml:space="preserve">          </w:t>
      </w:r>
    </w:p>
    <w:p>
      <w:pPr>
        <w:spacing w:line="360" w:lineRule="auto"/>
        <w:jc w:val="center"/>
        <w:rPr>
          <w:rFonts w:ascii="宋体" w:hAnsi="宋体"/>
          <w:sz w:val="24"/>
          <w:szCs w:val="24"/>
        </w:rPr>
      </w:pPr>
      <w:r>
        <w:rPr>
          <w:rFonts w:hint="eastAsia" w:ascii="宋体" w:hAnsi="宋体"/>
          <w:sz w:val="24"/>
          <w:szCs w:val="24"/>
        </w:rPr>
        <w:t>十五、商业信誉报告</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bookmarkStart w:id="46" w:name="_Toc438655702"/>
      <w:bookmarkStart w:id="47" w:name="_Toc482026556"/>
      <w:bookmarkStart w:id="48" w:name="_Toc438714732"/>
      <w:r>
        <w:rPr>
          <w:rFonts w:hint="eastAsia" w:ascii="宋体" w:hAnsi="宋体"/>
          <w:color w:val="000000"/>
          <w:sz w:val="24"/>
          <w:szCs w:val="24"/>
        </w:rPr>
        <w:t>按照本</w:t>
      </w:r>
      <w:r>
        <w:rPr>
          <w:rFonts w:hint="eastAsia" w:ascii="宋体" w:hAnsi="宋体"/>
          <w:color w:val="000000"/>
          <w:sz w:val="24"/>
          <w:szCs w:val="24"/>
          <w:lang w:eastAsia="zh-CN"/>
        </w:rPr>
        <w:t>谈判文件</w:t>
      </w:r>
      <w:r>
        <w:rPr>
          <w:rFonts w:hint="eastAsia" w:ascii="宋体" w:hAnsi="宋体"/>
          <w:color w:val="000000"/>
          <w:sz w:val="24"/>
          <w:szCs w:val="24"/>
        </w:rPr>
        <w:t>第六章资格性审查的要求，提供供应商的具有良好的商业信誉的佐证材料</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说明：</w:t>
      </w:r>
    </w:p>
    <w:p>
      <w:pPr>
        <w:rPr>
          <w:rFonts w:ascii="宋体" w:hAnsi="宋体"/>
          <w:sz w:val="24"/>
          <w:szCs w:val="24"/>
        </w:rPr>
      </w:pPr>
      <w:r>
        <w:rPr>
          <w:rFonts w:hint="eastAsia" w:ascii="宋体" w:hAnsi="宋体"/>
          <w:sz w:val="24"/>
          <w:szCs w:val="24"/>
        </w:rPr>
        <w:t>1.供应商需提供由“征信中心网”（https://ipcrs.pbccrc.org.cn/）查询的信用报告。</w:t>
      </w:r>
    </w:p>
    <w:p>
      <w:pPr>
        <w:rPr>
          <w:rFonts w:ascii="宋体" w:hAnsi="宋体"/>
          <w:b/>
          <w:color w:val="000000"/>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r>
        <w:rPr>
          <w:rFonts w:ascii="宋体" w:hAnsi="宋体"/>
          <w:b/>
          <w:color w:val="000000"/>
          <w:sz w:val="24"/>
          <w:szCs w:val="24"/>
        </w:rPr>
        <w:br w:type="page"/>
      </w:r>
      <w:bookmarkEnd w:id="46"/>
      <w:bookmarkEnd w:id="47"/>
      <w:bookmarkEnd w:id="48"/>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十六、缴纳增值税、营业税或企业所得税的凭据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w:t>
      </w:r>
      <w:r>
        <w:rPr>
          <w:rFonts w:hint="eastAsia" w:ascii="宋体" w:hAnsi="宋体"/>
          <w:color w:val="000000"/>
          <w:sz w:val="24"/>
          <w:szCs w:val="24"/>
          <w:lang w:eastAsia="zh-CN"/>
        </w:rPr>
        <w:t>谈判文件</w:t>
      </w:r>
      <w:r>
        <w:rPr>
          <w:rFonts w:hint="eastAsia" w:ascii="宋体" w:hAnsi="宋体"/>
          <w:color w:val="000000"/>
          <w:sz w:val="24"/>
          <w:szCs w:val="24"/>
        </w:rPr>
        <w:t>第六章资格性审查的要求，提供供应商的缴纳增值税或营业税或企业所得税的凭据。（至少提供任意一项税种的凭据）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依法免税的供应商，应提供相应文件证明其依法免税。</w:t>
      </w:r>
    </w:p>
    <w:p>
      <w:pPr>
        <w:autoSpaceDE w:val="0"/>
        <w:autoSpaceDN w:val="0"/>
        <w:spacing w:line="360" w:lineRule="auto"/>
        <w:rPr>
          <w:rFonts w:ascii="宋体" w:hAnsi="宋体"/>
          <w:b/>
          <w:color w:val="000000"/>
          <w:sz w:val="24"/>
          <w:szCs w:val="24"/>
        </w:rPr>
      </w:pPr>
      <w:bookmarkStart w:id="49" w:name="_Toc438714733"/>
      <w:bookmarkStart w:id="50" w:name="_Toc482026557"/>
      <w:bookmarkStart w:id="51" w:name="_Toc438655703"/>
      <w:r>
        <w:rPr>
          <w:rFonts w:ascii="宋体" w:hAnsi="宋体"/>
          <w:b/>
          <w:color w:val="000000"/>
          <w:sz w:val="24"/>
          <w:szCs w:val="24"/>
        </w:rPr>
        <w:br w:type="page"/>
      </w:r>
      <w:bookmarkEnd w:id="49"/>
      <w:bookmarkEnd w:id="50"/>
      <w:bookmarkEnd w:id="51"/>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十七、缴纳社会保险的凭据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w:t>
      </w:r>
      <w:r>
        <w:rPr>
          <w:rFonts w:hint="eastAsia" w:ascii="宋体" w:hAnsi="宋体"/>
          <w:color w:val="000000"/>
          <w:sz w:val="24"/>
          <w:szCs w:val="24"/>
          <w:lang w:eastAsia="zh-CN"/>
        </w:rPr>
        <w:t>谈判文件</w:t>
      </w:r>
      <w:r>
        <w:rPr>
          <w:rFonts w:hint="eastAsia" w:ascii="宋体" w:hAnsi="宋体"/>
          <w:color w:val="000000"/>
          <w:sz w:val="24"/>
          <w:szCs w:val="24"/>
        </w:rPr>
        <w:t>第六章资格性审查的要求，提供供应商的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依法不需要缴纳社会保障资金的供应商，应提供相应文件证明其依法不需要缴纳社会保障资金。</w:t>
      </w:r>
    </w:p>
    <w:p>
      <w:pPr>
        <w:ind w:firstLine="480" w:firstLineChars="200"/>
        <w:rPr>
          <w:sz w:val="24"/>
          <w:szCs w:val="24"/>
        </w:rPr>
      </w:pPr>
      <w:r>
        <w:rPr>
          <w:sz w:val="24"/>
          <w:szCs w:val="24"/>
        </w:rPr>
        <w:br w:type="page"/>
      </w:r>
    </w:p>
    <w:bookmarkEnd w:id="43"/>
    <w:bookmarkEnd w:id="44"/>
    <w:bookmarkEnd w:id="45"/>
    <w:p>
      <w:pPr>
        <w:widowControl/>
        <w:spacing w:line="360" w:lineRule="auto"/>
        <w:jc w:val="left"/>
        <w:rPr>
          <w:rFonts w:asciiTheme="minorEastAsia" w:hAnsiTheme="minorEastAsia" w:eastAsiaTheme="minorEastAsia"/>
          <w:sz w:val="24"/>
          <w:szCs w:val="24"/>
        </w:rPr>
      </w:pPr>
    </w:p>
    <w:p>
      <w:pPr>
        <w:spacing w:line="360" w:lineRule="auto"/>
        <w:ind w:firstLine="480" w:firstLineChars="200"/>
        <w:jc w:val="center"/>
        <w:rPr>
          <w:rFonts w:ascii="宋体" w:hAnsi="宋体"/>
          <w:sz w:val="24"/>
          <w:szCs w:val="24"/>
        </w:rPr>
      </w:pP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十八、参加政府采购前三年内在经营活动中无</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重大违法记录书面声明</w:t>
      </w: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u w:val="single"/>
        </w:rPr>
        <w:t xml:space="preserve">（采购单位）     </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在参加此次政府采购活动前3年内，本公司在经营活动中无重大违法记录，并在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供应商名称（公章）：</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pStyle w:val="4"/>
        <w:keepNext w:val="0"/>
        <w:keepLines w:val="0"/>
        <w:spacing w:line="360" w:lineRule="auto"/>
        <w:rPr>
          <w:rFonts w:ascii="宋体" w:hAnsi="宋体" w:eastAsia="宋体"/>
          <w:b w:val="0"/>
          <w:bCs w:val="0"/>
          <w:color w:val="000000"/>
          <w:kern w:val="2"/>
          <w:sz w:val="24"/>
          <w:szCs w:val="24"/>
          <w:lang w:val="en-US"/>
        </w:rPr>
      </w:pPr>
      <w:bookmarkStart w:id="52" w:name="_Toc482026559"/>
    </w:p>
    <w:p>
      <w:pPr>
        <w:autoSpaceDE w:val="0"/>
        <w:autoSpaceDN w:val="0"/>
        <w:spacing w:line="360" w:lineRule="auto"/>
        <w:rPr>
          <w:rFonts w:ascii="宋体" w:hAnsi="宋体"/>
          <w:bCs/>
          <w:color w:val="000000"/>
          <w:kern w:val="0"/>
          <w:sz w:val="24"/>
          <w:szCs w:val="24"/>
          <w:lang w:val="zh-CN"/>
        </w:rPr>
      </w:pPr>
      <w:r>
        <w:rPr>
          <w:rFonts w:hint="eastAsia" w:ascii="宋体" w:hAnsi="宋体"/>
          <w:color w:val="000000"/>
          <w:sz w:val="24"/>
          <w:szCs w:val="24"/>
        </w:rPr>
        <w:t>说明：供应商应提供《信用信息查询结果》和“中国政府采购网”查询截图。</w:t>
      </w:r>
      <w:r>
        <w:rPr>
          <w:rFonts w:hint="eastAsia" w:ascii="宋体" w:hAnsi="宋体" w:cs="宋体"/>
          <w:bCs/>
          <w:kern w:val="36"/>
          <w:sz w:val="24"/>
          <w:szCs w:val="24"/>
        </w:rPr>
        <w:t>如有不提供或提供失效的、弄虚作假的，评标委员会有权否决其投标资格。</w:t>
      </w:r>
    </w:p>
    <w:p>
      <w:pPr>
        <w:pStyle w:val="4"/>
        <w:keepNext w:val="0"/>
        <w:keepLines w:val="0"/>
        <w:spacing w:line="360" w:lineRule="auto"/>
        <w:rPr>
          <w:rFonts w:ascii="宋体" w:hAnsi="宋体" w:eastAsia="宋体"/>
          <w:b w:val="0"/>
          <w:bCs w:val="0"/>
          <w:color w:val="000000"/>
          <w:kern w:val="2"/>
          <w:sz w:val="24"/>
          <w:szCs w:val="24"/>
          <w:lang w:val="en-US"/>
        </w:rPr>
      </w:pPr>
      <w:r>
        <w:rPr>
          <w:rFonts w:ascii="宋体" w:hAnsi="宋体" w:eastAsia="宋体"/>
          <w:b w:val="0"/>
          <w:bCs w:val="0"/>
          <w:color w:val="000000"/>
          <w:kern w:val="2"/>
          <w:sz w:val="24"/>
          <w:szCs w:val="24"/>
          <w:lang w:val="en-US"/>
        </w:rPr>
        <w:br w:type="page"/>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44"/>
          <w:szCs w:val="44"/>
        </w:rPr>
      </w:pPr>
      <w:bookmarkStart w:id="53" w:name="_Toc496792942"/>
      <w:bookmarkStart w:id="54" w:name="_Toc496792718"/>
      <w:r>
        <w:rPr>
          <w:rFonts w:hint="eastAsia" w:ascii="宋体" w:hAnsi="宋体"/>
          <w:b/>
          <w:bCs/>
          <w:color w:val="000000"/>
          <w:sz w:val="30"/>
          <w:szCs w:val="30"/>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szCs w:val="21"/>
        </w:rPr>
      </w:pPr>
      <w:r>
        <w:rPr>
          <w:rFonts w:hint="eastAsia" w:ascii="宋体" w:hAnsi="宋体" w:cs="Arial"/>
          <w:sz w:val="24"/>
        </w:rPr>
        <w:t xml:space="preserve">                                                                                                       </w:t>
      </w:r>
      <w:r>
        <w:rPr>
          <w:rFonts w:hint="eastAsia" w:ascii="宋体" w:hAnsi="宋体" w:cs="Arial"/>
          <w:szCs w:val="21"/>
        </w:rPr>
        <w:t xml:space="preserve">编号：           </w:t>
      </w:r>
    </w:p>
    <w:tbl>
      <w:tblPr>
        <w:tblStyle w:val="15"/>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申请企业</w:t>
            </w:r>
          </w:p>
        </w:tc>
        <w:tc>
          <w:tcPr>
            <w:tcW w:w="8424" w:type="dxa"/>
            <w:gridSpan w:val="5"/>
            <w:tcBorders>
              <w:top w:val="single" w:color="auto" w:sz="8" w:space="0"/>
              <w:bottom w:val="single" w:color="auto" w:sz="8" w:space="0"/>
            </w:tcBorders>
            <w:vAlign w:val="center"/>
          </w:tcPr>
          <w:p>
            <w:pPr>
              <w:keepNext w:val="0"/>
              <w:keepLines w:val="0"/>
              <w:suppressLineNumbers w:val="0"/>
              <w:spacing w:before="0" w:beforeAutospacing="0" w:after="0" w:afterAutospacing="0" w:line="360" w:lineRule="auto"/>
              <w:ind w:left="0" w:right="0" w:firstLine="360" w:firstLineChars="15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查询企业</w:t>
            </w: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所查询企业</w:t>
            </w:r>
          </w:p>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全称</w:t>
            </w:r>
          </w:p>
        </w:tc>
        <w:tc>
          <w:tcPr>
            <w:tcW w:w="8424" w:type="dxa"/>
            <w:gridSpan w:val="5"/>
            <w:tcBorders>
              <w:top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keepNext w:val="0"/>
              <w:keepLines w:val="0"/>
              <w:suppressLineNumbers w:val="0"/>
              <w:spacing w:before="0" w:beforeAutospacing="0" w:after="0" w:afterAutospacing="0" w:line="360" w:lineRule="auto"/>
              <w:ind w:left="0" w:right="0"/>
              <w:jc w:val="left"/>
              <w:rPr>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企业统一社会信用代码</w:t>
            </w:r>
          </w:p>
        </w:tc>
        <w:tc>
          <w:tcPr>
            <w:tcW w:w="8424" w:type="dxa"/>
            <w:gridSpan w:val="5"/>
            <w:tcBorders>
              <w:bottom w:val="single" w:color="auto" w:sz="4"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法人姓名</w:t>
            </w:r>
          </w:p>
        </w:tc>
        <w:tc>
          <w:tcPr>
            <w:tcW w:w="8424" w:type="dxa"/>
            <w:gridSpan w:val="5"/>
            <w:tcBorders>
              <w:top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身份证号码</w:t>
            </w:r>
          </w:p>
        </w:tc>
        <w:tc>
          <w:tcPr>
            <w:tcW w:w="8424" w:type="dxa"/>
            <w:gridSpan w:val="5"/>
            <w:tcBorders>
              <w:bottom w:val="single" w:color="auto" w:sz="4" w:space="0"/>
            </w:tcBorders>
            <w:vAlign w:val="center"/>
          </w:tcPr>
          <w:tbl>
            <w:tblPr>
              <w:tblStyle w:val="15"/>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r>
          </w:tbl>
          <w:p>
            <w:pPr>
              <w:keepNext w:val="0"/>
              <w:keepLines w:val="0"/>
              <w:suppressLineNumbers w:val="0"/>
              <w:spacing w:before="0" w:beforeAutospacing="0" w:after="0" w:afterAutospacing="0" w:line="360" w:lineRule="auto"/>
              <w:ind w:left="0" w:right="0"/>
              <w:jc w:val="center"/>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b/>
                <w:bCs/>
                <w:sz w:val="24"/>
                <w:szCs w:val="22"/>
              </w:rPr>
            </w:pPr>
            <w:r>
              <w:rPr>
                <w:rFonts w:hint="eastAsia" w:ascii="宋体" w:hAnsi="宋体"/>
                <w:sz w:val="24"/>
                <w:szCs w:val="22"/>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bCs/>
                <w:sz w:val="24"/>
                <w:szCs w:val="22"/>
              </w:rPr>
            </w:pPr>
            <w:r>
              <w:rPr>
                <w:rFonts w:hint="eastAsia" w:ascii="宋体" w:hAnsi="宋体" w:cs="宋体"/>
                <w:kern w:val="0"/>
                <w:sz w:val="24"/>
                <w:szCs w:val="22"/>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cs="宋体"/>
                <w:kern w:val="0"/>
                <w:sz w:val="24"/>
                <w:szCs w:val="22"/>
              </w:rPr>
            </w:pPr>
            <w:r>
              <w:rPr>
                <w:rFonts w:hint="eastAsia" w:ascii="宋体" w:hAnsi="宋体" w:cs="宋体"/>
                <w:kern w:val="0"/>
                <w:sz w:val="24"/>
                <w:szCs w:val="22"/>
              </w:rPr>
              <w:t>□办理</w:t>
            </w:r>
            <w:r>
              <w:rPr>
                <w:rFonts w:hint="eastAsia" w:ascii="宋体" w:hAnsi="宋体" w:cs="宋体"/>
                <w:kern w:val="0"/>
                <w:sz w:val="24"/>
                <w:szCs w:val="22"/>
                <w:u w:val="single"/>
              </w:rPr>
              <w:t xml:space="preserve">                                                     </w:t>
            </w:r>
            <w:r>
              <w:rPr>
                <w:rFonts w:hint="eastAsia" w:ascii="宋体" w:hAnsi="宋体" w:cs="宋体"/>
                <w:kern w:val="0"/>
                <w:sz w:val="24"/>
                <w:szCs w:val="22"/>
              </w:rPr>
              <w:t>相关业务。</w:t>
            </w:r>
          </w:p>
          <w:p>
            <w:pPr>
              <w:keepNext w:val="0"/>
              <w:keepLines w:val="0"/>
              <w:suppressLineNumbers w:val="0"/>
              <w:spacing w:before="0" w:beforeAutospacing="0" w:after="0" w:afterAutospacing="0" w:line="360" w:lineRule="auto"/>
              <w:ind w:left="0" w:right="0"/>
              <w:jc w:val="left"/>
              <w:rPr>
                <w:rFonts w:ascii="宋体" w:hAnsi="宋体"/>
                <w:bCs/>
                <w:sz w:val="24"/>
                <w:szCs w:val="22"/>
              </w:rPr>
            </w:pPr>
            <w:r>
              <w:rPr>
                <w:rFonts w:hint="eastAsia" w:ascii="宋体" w:hAnsi="宋体" w:cs="宋体"/>
                <w:kern w:val="0"/>
                <w:sz w:val="24"/>
                <w:szCs w:val="22"/>
              </w:rPr>
              <w:t>□</w:t>
            </w:r>
            <w:r>
              <w:rPr>
                <w:rFonts w:hint="eastAsia" w:ascii="宋体" w:hAnsi="宋体"/>
                <w:sz w:val="24"/>
                <w:szCs w:val="22"/>
              </w:rPr>
              <w:t>其他</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5570" w:firstLineChars="2321"/>
              <w:rPr>
                <w:rFonts w:ascii="宋体" w:hAnsi="宋体"/>
                <w:sz w:val="24"/>
                <w:szCs w:val="22"/>
              </w:rPr>
            </w:pPr>
          </w:p>
          <w:p>
            <w:pPr>
              <w:keepNext w:val="0"/>
              <w:keepLines w:val="0"/>
              <w:suppressLineNumbers w:val="0"/>
              <w:spacing w:before="0" w:beforeAutospacing="0" w:after="0" w:afterAutospacing="0" w:line="360" w:lineRule="auto"/>
              <w:ind w:left="0" w:right="0"/>
              <w:jc w:val="right"/>
              <w:rPr>
                <w:rFonts w:ascii="宋体" w:hAnsi="宋体"/>
                <w:bCs/>
                <w:sz w:val="24"/>
                <w:szCs w:val="22"/>
              </w:rPr>
            </w:pPr>
            <w:r>
              <w:rPr>
                <w:rFonts w:hint="eastAsia" w:ascii="宋体" w:hAnsi="宋体"/>
                <w:sz w:val="24"/>
                <w:szCs w:val="22"/>
              </w:rPr>
              <w:t>申请人签名：</w:t>
            </w:r>
            <w:r>
              <w:rPr>
                <w:rFonts w:hint="eastAsia" w:ascii="宋体" w:hAnsi="宋体"/>
                <w:bCs/>
                <w:sz w:val="24"/>
                <w:szCs w:val="22"/>
              </w:rPr>
              <w:t xml:space="preserve">                       年      月    日</w:t>
            </w:r>
          </w:p>
          <w:p>
            <w:pPr>
              <w:keepNext w:val="0"/>
              <w:keepLines w:val="0"/>
              <w:suppressLineNumbers w:val="0"/>
              <w:spacing w:before="0" w:beforeAutospacing="0" w:after="0" w:afterAutospacing="0" w:line="360" w:lineRule="auto"/>
              <w:ind w:left="0" w:right="0"/>
              <w:jc w:val="right"/>
              <w:rPr>
                <w:rFonts w:ascii="宋体" w:hAnsi="宋体"/>
                <w:bCs/>
                <w:sz w:val="24"/>
                <w:szCs w:val="22"/>
              </w:rPr>
            </w:pPr>
          </w:p>
          <w:p>
            <w:pPr>
              <w:keepNext w:val="0"/>
              <w:keepLines w:val="0"/>
              <w:suppressLineNumbers w:val="0"/>
              <w:spacing w:before="0" w:beforeAutospacing="0" w:after="0" w:afterAutospacing="0" w:line="360" w:lineRule="auto"/>
              <w:ind w:left="0" w:right="0" w:firstLine="4560" w:firstLineChars="1900"/>
              <w:rPr>
                <w:rFonts w:ascii="宋体" w:hAnsi="宋体" w:cs="宋体"/>
                <w:kern w:val="0"/>
                <w:sz w:val="24"/>
                <w:szCs w:val="22"/>
              </w:rPr>
            </w:pPr>
            <w:r>
              <w:rPr>
                <w:rFonts w:hint="eastAsia" w:ascii="宋体" w:hAnsi="宋体"/>
                <w:bCs/>
                <w:sz w:val="24"/>
                <w:szCs w:val="22"/>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80" w:firstLineChars="200"/>
              <w:rPr>
                <w:rFonts w:ascii="宋体" w:hAnsi="宋体" w:cs="宋体"/>
                <w:kern w:val="0"/>
                <w:sz w:val="24"/>
                <w:szCs w:val="22"/>
              </w:rPr>
            </w:pPr>
            <w:r>
              <w:rPr>
                <w:rFonts w:hint="eastAsia" w:ascii="宋体" w:hAnsi="宋体" w:cs="宋体"/>
                <w:kern w:val="0"/>
                <w:sz w:val="24"/>
                <w:szCs w:val="22"/>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80" w:firstLineChars="200"/>
              <w:rPr>
                <w:rFonts w:ascii="宋体" w:hAnsi="宋体" w:cs="宋体"/>
                <w:kern w:val="0"/>
                <w:sz w:val="24"/>
                <w:szCs w:val="22"/>
              </w:rPr>
            </w:pPr>
          </w:p>
        </w:tc>
        <w:tc>
          <w:tcPr>
            <w:tcW w:w="151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 xml:space="preserve"> </w:t>
            </w:r>
          </w:p>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签名：</w:t>
            </w:r>
          </w:p>
        </w:tc>
      </w:tr>
    </w:tbl>
    <w:p>
      <w:pPr>
        <w:spacing w:line="0" w:lineRule="atLeast"/>
        <w:rPr>
          <w:rFonts w:ascii="宋体" w:hAnsi="宋体"/>
          <w:szCs w:val="21"/>
        </w:rPr>
      </w:pPr>
      <w:r>
        <w:rPr>
          <w:rFonts w:hint="eastAsia" w:ascii="宋体" w:hAnsi="宋体"/>
          <w:b/>
          <w:szCs w:val="21"/>
        </w:rPr>
        <w:t xml:space="preserve">　　　　　　　　　　　　　　　　　　　　 </w:t>
      </w:r>
    </w:p>
    <w:p>
      <w:pPr>
        <w:spacing w:line="0" w:lineRule="atLeast"/>
        <w:rPr>
          <w:rFonts w:ascii="宋体" w:hAnsi="宋体"/>
          <w:b/>
          <w:szCs w:val="21"/>
        </w:rPr>
      </w:pPr>
      <w:r>
        <w:rPr>
          <w:rFonts w:hint="eastAsia" w:ascii="宋体" w:hAnsi="宋体"/>
          <w:b/>
          <w:szCs w:val="21"/>
        </w:rPr>
        <w:t>注：</w:t>
      </w:r>
    </w:p>
    <w:p>
      <w:pPr>
        <w:spacing w:line="0" w:lineRule="atLeast"/>
        <w:rPr>
          <w:rFonts w:ascii="宋体" w:hAnsi="宋体"/>
          <w:szCs w:val="21"/>
          <w:lang w:val="zh-CN"/>
        </w:rPr>
      </w:pPr>
      <w:r>
        <w:rPr>
          <w:rFonts w:hint="eastAsia" w:ascii="宋体" w:hAnsi="宋体"/>
          <w:szCs w:val="21"/>
        </w:rPr>
        <w:t>1.请</w:t>
      </w:r>
      <w:r>
        <w:rPr>
          <w:rFonts w:hint="eastAsia" w:ascii="宋体" w:hAnsi="宋体"/>
          <w:szCs w:val="21"/>
          <w:lang w:val="zh-CN"/>
        </w:rPr>
        <w:t>如实、完整地填写有关内容。</w:t>
      </w:r>
    </w:p>
    <w:p>
      <w:pPr>
        <w:spacing w:line="0" w:lineRule="atLeast"/>
        <w:rPr>
          <w:rFonts w:ascii="宋体" w:hAnsi="宋体"/>
          <w:szCs w:val="21"/>
          <w:lang w:val="zh-CN"/>
        </w:rPr>
      </w:pPr>
      <w:r>
        <w:rPr>
          <w:rFonts w:hint="eastAsia" w:ascii="宋体" w:hAnsi="宋体"/>
          <w:szCs w:val="21"/>
        </w:rPr>
        <w:t>2.</w:t>
      </w:r>
      <w:r>
        <w:rPr>
          <w:rFonts w:hint="eastAsia" w:ascii="宋体" w:hAnsi="宋体"/>
          <w:szCs w:val="21"/>
          <w:lang w:val="zh-CN"/>
        </w:rPr>
        <w:t>请使用黑色钢笔、中性笔签字。</w:t>
      </w:r>
    </w:p>
    <w:p>
      <w:pPr>
        <w:spacing w:line="0" w:lineRule="atLeast"/>
        <w:rPr>
          <w:rFonts w:hint="eastAsia" w:ascii="宋体" w:hAnsi="宋体"/>
          <w:szCs w:val="21"/>
          <w:lang w:val="zh-CN"/>
        </w:rPr>
      </w:pPr>
      <w:r>
        <w:rPr>
          <w:rFonts w:hint="eastAsia" w:ascii="宋体" w:hAnsi="宋体"/>
          <w:szCs w:val="21"/>
        </w:rPr>
        <w:t>3.</w:t>
      </w:r>
      <w:r>
        <w:rPr>
          <w:rFonts w:hint="eastAsia" w:ascii="宋体" w:hAnsi="宋体"/>
          <w:szCs w:val="21"/>
          <w:lang w:val="en-US" w:eastAsia="zh-CN"/>
        </w:rPr>
        <w:t>本查询结果有效期为20天。</w:t>
      </w:r>
    </w:p>
    <w:p>
      <w:pPr>
        <w:spacing w:line="0" w:lineRule="atLeast"/>
        <w:rPr>
          <w:rFonts w:hint="default" w:eastAsia="宋体"/>
          <w:lang w:val="en-US" w:eastAsia="zh-CN"/>
        </w:rPr>
      </w:pPr>
      <w:r>
        <w:rPr>
          <w:rFonts w:hint="eastAsia" w:ascii="宋体" w:hAnsi="宋体"/>
          <w:szCs w:val="21"/>
          <w:lang w:val="en-US" w:eastAsia="zh-CN"/>
        </w:rPr>
        <w:t>4.</w:t>
      </w:r>
      <w:r>
        <w:rPr>
          <w:rFonts w:hint="eastAsia" w:ascii="宋体" w:hAnsi="宋体"/>
          <w:szCs w:val="21"/>
          <w:lang w:val="zh-CN"/>
        </w:rPr>
        <w:t>受理查询后</w:t>
      </w:r>
      <w:r>
        <w:rPr>
          <w:rFonts w:hint="eastAsia" w:ascii="宋体" w:hAnsi="宋体"/>
          <w:szCs w:val="21"/>
          <w:lang w:val="en-US" w:eastAsia="zh-CN"/>
        </w:rPr>
        <w:t>2</w:t>
      </w:r>
      <w:r>
        <w:rPr>
          <w:rFonts w:hint="eastAsia" w:ascii="宋体" w:hAnsi="宋体"/>
          <w:szCs w:val="21"/>
        </w:rPr>
        <w:t>个工作日</w:t>
      </w:r>
      <w:r>
        <w:rPr>
          <w:rFonts w:hint="eastAsia" w:ascii="宋体" w:hAnsi="宋体"/>
          <w:szCs w:val="21"/>
          <w:lang w:val="zh-CN"/>
        </w:rPr>
        <w:t>提供所申请的企业信用信息情况。</w:t>
      </w:r>
    </w:p>
    <w:p>
      <w:pPr>
        <w:spacing w:line="0" w:lineRule="atLeast"/>
        <w:rPr>
          <w:rFonts w:ascii="宋体" w:hAnsi="宋体"/>
          <w:szCs w:val="21"/>
          <w:lang w:val="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zh-CN"/>
        </w:rPr>
        <w:t>如有不提供、失效的、弄虚作假等行为的，评标委员会有权否决其投标资格。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黑体" w:hAnsi="华文中宋" w:eastAsia="黑体"/>
          <w:b/>
          <w:sz w:val="36"/>
          <w:szCs w:val="36"/>
        </w:rPr>
      </w:pPr>
      <w:r>
        <w:rPr>
          <w:rFonts w:hint="eastAsia" w:ascii="黑体" w:hAnsi="华文中宋" w:eastAsia="黑体"/>
          <w:b/>
          <w:sz w:val="32"/>
          <w:szCs w:val="32"/>
        </w:rPr>
        <w:t>鄂托克前旗社会信用管理中心制表</w:t>
      </w:r>
    </w:p>
    <w:p>
      <w:pPr>
        <w:autoSpaceDE w:val="0"/>
        <w:autoSpaceDN w:val="0"/>
        <w:spacing w:line="500" w:lineRule="exact"/>
        <w:ind w:firstLine="480" w:firstLineChars="200"/>
        <w:rPr>
          <w:rFonts w:ascii="宋体" w:hAnsi="宋体"/>
          <w:color w:val="000000"/>
          <w:sz w:val="24"/>
          <w:szCs w:val="24"/>
        </w:rPr>
      </w:pPr>
    </w:p>
    <w:p>
      <w:pPr>
        <w:autoSpaceDE w:val="0"/>
        <w:autoSpaceDN w:val="0"/>
        <w:spacing w:line="500" w:lineRule="exact"/>
        <w:ind w:firstLine="480" w:firstLineChars="200"/>
        <w:rPr>
          <w:rFonts w:hint="eastAsia" w:ascii="宋体" w:hAnsi="宋体"/>
          <w:color w:val="auto"/>
          <w:sz w:val="24"/>
          <w:szCs w:val="24"/>
        </w:rPr>
      </w:pPr>
    </w:p>
    <w:p>
      <w:pPr>
        <w:autoSpaceDE w:val="0"/>
        <w:autoSpaceDN w:val="0"/>
        <w:spacing w:line="500" w:lineRule="exact"/>
        <w:ind w:firstLine="480" w:firstLineChars="200"/>
        <w:rPr>
          <w:rFonts w:hint="eastAsia" w:ascii="宋体" w:hAnsi="宋体"/>
          <w:color w:val="auto"/>
          <w:sz w:val="24"/>
          <w:szCs w:val="24"/>
        </w:rPr>
      </w:pPr>
    </w:p>
    <w:p>
      <w:pPr>
        <w:autoSpaceDE w:val="0"/>
        <w:autoSpaceDN w:val="0"/>
        <w:spacing w:line="500" w:lineRule="exact"/>
        <w:ind w:firstLine="480" w:firstLineChars="200"/>
        <w:rPr>
          <w:rFonts w:ascii="宋体" w:hAnsi="宋体"/>
          <w:b/>
          <w:bCs/>
          <w:color w:val="auto"/>
          <w:kern w:val="0"/>
          <w:sz w:val="24"/>
          <w:szCs w:val="24"/>
        </w:rPr>
      </w:pPr>
      <w:r>
        <w:rPr>
          <w:rFonts w:hint="eastAsia" w:ascii="宋体" w:hAnsi="宋体"/>
          <w:color w:val="auto"/>
          <w:sz w:val="24"/>
          <w:szCs w:val="24"/>
        </w:rPr>
        <w:t>供应商须在</w:t>
      </w:r>
      <w:r>
        <w:rPr>
          <w:rFonts w:hint="eastAsia" w:ascii="宋体" w:hAnsi="宋体"/>
          <w:color w:val="auto"/>
          <w:sz w:val="24"/>
          <w:szCs w:val="24"/>
          <w:lang w:eastAsia="zh-CN"/>
        </w:rPr>
        <w:t>响应文件</w:t>
      </w:r>
      <w:r>
        <w:rPr>
          <w:rFonts w:hint="eastAsia" w:ascii="宋体" w:hAnsi="宋体"/>
          <w:color w:val="auto"/>
          <w:sz w:val="24"/>
          <w:szCs w:val="24"/>
        </w:rPr>
        <w:t>中提供企业工商注册所在地或项目所在地信用管理中心出具的《信用信息查询结果》且在有效期范围内（注：鄂托克前旗社会信用管理中心：地址．</w:t>
      </w:r>
      <w:r>
        <w:rPr>
          <w:rFonts w:hint="eastAsia" w:ascii="宋体" w:hAnsi="宋体"/>
          <w:color w:val="auto"/>
          <w:sz w:val="24"/>
          <w:szCs w:val="24"/>
          <w:lang w:eastAsia="zh-CN"/>
        </w:rPr>
        <w:t>鄂托克前旗敖勒召其镇</w:t>
      </w:r>
      <w:r>
        <w:rPr>
          <w:rFonts w:hint="eastAsia" w:ascii="宋体" w:hAnsi="宋体"/>
          <w:color w:val="auto"/>
          <w:sz w:val="24"/>
          <w:szCs w:val="24"/>
        </w:rPr>
        <w:t>综合办公楼700</w:t>
      </w:r>
      <w:r>
        <w:rPr>
          <w:rFonts w:hint="eastAsia" w:ascii="宋体" w:hAnsi="宋体"/>
          <w:color w:val="auto"/>
          <w:sz w:val="24"/>
          <w:szCs w:val="24"/>
          <w:lang w:val="en-US" w:eastAsia="zh-CN"/>
        </w:rPr>
        <w:t>6</w:t>
      </w:r>
      <w:r>
        <w:rPr>
          <w:rFonts w:hint="eastAsia" w:ascii="宋体" w:hAnsi="宋体"/>
          <w:color w:val="auto"/>
          <w:sz w:val="24"/>
          <w:szCs w:val="24"/>
        </w:rPr>
        <w:t>房间；　电话：0477-7625899）。</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办理步骤：</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1.营业执照彩色扫描件jpeg图片格式。（必须能够清楚的分辨统一社会信用代码以及企业名称）。</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3.鄂托克前旗企业信用信息查询申请表盖章彩色扫描件jpeg图片格式。</w:t>
      </w:r>
      <w:r>
        <w:rPr>
          <w:rFonts w:hint="eastAsia" w:ascii="宋体" w:hAnsi="宋体"/>
          <w:color w:val="auto"/>
          <w:sz w:val="24"/>
          <w:szCs w:val="24"/>
          <w:lang w:val="en-US" w:eastAsia="zh-CN"/>
        </w:rPr>
        <w:t>（高清jpeg图片格式。右上角编号请勿填写，最后“受理人签名”一行请勿填写，“申请查询企业信用信息事由及用途”请填写“所投项目名称”，必须盖公章）</w:t>
      </w:r>
    </w:p>
    <w:p>
      <w:pPr>
        <w:autoSpaceDE w:val="0"/>
        <w:autoSpaceDN w:val="0"/>
        <w:spacing w:line="500" w:lineRule="exact"/>
        <w:rPr>
          <w:rFonts w:hint="eastAsia"/>
          <w:lang w:eastAsia="zh-CN"/>
        </w:rPr>
      </w:pPr>
      <w:r>
        <w:rPr>
          <w:rFonts w:hint="eastAsia" w:ascii="宋体" w:hAnsi="宋体"/>
          <w:color w:val="auto"/>
          <w:sz w:val="24"/>
          <w:szCs w:val="24"/>
        </w:rPr>
        <w:t xml:space="preserve">申请材料发送到  </w:t>
      </w:r>
      <w:r>
        <w:rPr>
          <w:rFonts w:hint="eastAsia" w:ascii="宋体" w:hAnsi="宋体"/>
          <w:color w:val="auto"/>
          <w:sz w:val="24"/>
          <w:szCs w:val="24"/>
        </w:rPr>
        <w:fldChar w:fldCharType="begin"/>
      </w:r>
      <w:r>
        <w:rPr>
          <w:rFonts w:hint="eastAsia" w:ascii="宋体" w:hAnsi="宋体"/>
          <w:color w:val="auto"/>
          <w:sz w:val="24"/>
          <w:szCs w:val="24"/>
        </w:rPr>
        <w:instrText xml:space="preserve"> HYPERLINK "mailto:eqqfgjxyglzx@163.com" </w:instrText>
      </w:r>
      <w:r>
        <w:rPr>
          <w:rFonts w:hint="eastAsia" w:ascii="宋体" w:hAnsi="宋体"/>
          <w:color w:val="auto"/>
          <w:sz w:val="24"/>
          <w:szCs w:val="24"/>
        </w:rPr>
        <w:fldChar w:fldCharType="separate"/>
      </w:r>
      <w:r>
        <w:rPr>
          <w:rStyle w:val="21"/>
          <w:rFonts w:hint="eastAsia" w:ascii="宋体" w:hAnsi="宋体"/>
          <w:sz w:val="24"/>
          <w:szCs w:val="24"/>
        </w:rPr>
        <w:t>eqqfgjxyglzx@163.com</w:t>
      </w:r>
      <w:r>
        <w:rPr>
          <w:rFonts w:hint="eastAsia" w:ascii="宋体" w:hAnsi="宋体"/>
          <w:color w:val="auto"/>
          <w:sz w:val="24"/>
          <w:szCs w:val="24"/>
        </w:rPr>
        <w:fldChar w:fldCharType="end"/>
      </w: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bCs/>
          <w:color w:val="000000"/>
          <w:sz w:val="30"/>
          <w:szCs w:val="30"/>
        </w:rPr>
      </w:pPr>
      <w:r>
        <w:rPr>
          <w:rFonts w:hint="eastAsia" w:ascii="宋体" w:hAnsi="宋体"/>
          <w:b/>
          <w:bCs/>
          <w:color w:val="000000"/>
          <w:sz w:val="30"/>
          <w:szCs w:val="30"/>
        </w:rPr>
        <w:t>二、</w:t>
      </w:r>
      <w:bookmarkEnd w:id="52"/>
      <w:bookmarkEnd w:id="53"/>
      <w:bookmarkEnd w:id="54"/>
      <w:r>
        <w:rPr>
          <w:rFonts w:hint="eastAsia" w:ascii="宋体" w:hAnsi="宋体"/>
          <w:b/>
          <w:bCs/>
          <w:color w:val="000000"/>
          <w:sz w:val="30"/>
          <w:szCs w:val="30"/>
        </w:rPr>
        <w:t>“中国政府采购网”查询记录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2" w:firstLineChars="200"/>
        <w:rPr>
          <w:rFonts w:ascii="宋体" w:hAnsi="宋体"/>
          <w:b/>
          <w:bCs/>
          <w:color w:val="000000"/>
          <w:sz w:val="30"/>
          <w:szCs w:val="30"/>
        </w:rPr>
      </w:pPr>
      <w:r>
        <w:rPr>
          <w:rFonts w:hint="eastAsia" w:ascii="宋体" w:hAnsi="宋体"/>
          <w:b/>
          <w:bCs/>
          <w:color w:val="000000"/>
          <w:sz w:val="30"/>
          <w:szCs w:val="30"/>
        </w:rPr>
        <w:t>供应商需登录“中国政府采购网”网站（www.ccgp.gov.cn）查询，并提供近一个月内的任意一天的查询截图。</w:t>
      </w: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autoSpaceDE w:val="0"/>
        <w:autoSpaceDN w:val="0"/>
        <w:spacing w:line="360" w:lineRule="auto"/>
        <w:jc w:val="center"/>
        <w:rPr>
          <w:rFonts w:ascii="宋体" w:hAnsi="宋体"/>
          <w:bCs/>
          <w:color w:val="000000"/>
          <w:kern w:val="0"/>
          <w:sz w:val="24"/>
          <w:szCs w:val="24"/>
          <w:lang w:val="zh-CN"/>
        </w:rPr>
      </w:pPr>
      <w:r>
        <w:rPr>
          <w:rFonts w:hint="eastAsia" w:ascii="宋体" w:hAnsi="宋体"/>
          <w:sz w:val="21"/>
          <w:szCs w:val="21"/>
        </w:rPr>
        <w:t>十九、政府采购政策情况表</w:t>
      </w:r>
    </w:p>
    <w:tbl>
      <w:tblPr>
        <w:tblStyle w:val="1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26"/>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hint="eastAsia" w:ascii="宋体" w:hAnsi="宋体" w:cs="宋体"/>
                <w:kern w:val="0"/>
                <w:sz w:val="24"/>
              </w:rPr>
              <w:t>中小企业扶持政策</w:t>
            </w:r>
          </w:p>
          <w:p>
            <w:pPr>
              <w:pStyle w:val="26"/>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7899" w:type="dxa"/>
            <w:gridSpan w:val="5"/>
            <w:shd w:val="clear" w:color="auto" w:fill="auto"/>
            <w:vAlign w:val="center"/>
          </w:tcPr>
          <w:p>
            <w:pPr>
              <w:pStyle w:val="26"/>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如属所列情形的，请在括号内打“√”：</w:t>
            </w:r>
          </w:p>
          <w:p>
            <w:pPr>
              <w:pStyle w:val="26"/>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  ）小型、微型企业投标且提供本企业制造的产品。</w:t>
            </w:r>
          </w:p>
          <w:p>
            <w:pPr>
              <w:pStyle w:val="26"/>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26"/>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核心产品名称</w:t>
            </w:r>
          </w:p>
        </w:tc>
        <w:tc>
          <w:tcPr>
            <w:tcW w:w="1196"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品牌型号</w:t>
            </w:r>
          </w:p>
        </w:tc>
        <w:tc>
          <w:tcPr>
            <w:tcW w:w="1356"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制造商</w:t>
            </w:r>
          </w:p>
        </w:tc>
        <w:tc>
          <w:tcPr>
            <w:tcW w:w="1960"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制造商企业类型</w:t>
            </w:r>
          </w:p>
        </w:tc>
        <w:tc>
          <w:tcPr>
            <w:tcW w:w="1685"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26"/>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196"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356"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960"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685"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26"/>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196"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356"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960"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685"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26"/>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6214" w:type="dxa"/>
            <w:gridSpan w:val="4"/>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本表内容不填写或与本采购文件其他要求填写不一致、填写不完整的，不予价格扣除。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sz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spacing w:line="588" w:lineRule="exact"/>
        <w:jc w:val="center"/>
        <w:rPr>
          <w:rFonts w:ascii="宋体" w:hAnsi="宋体" w:cs="宋体"/>
          <w:kern w:val="0"/>
          <w:sz w:val="24"/>
          <w:szCs w:val="24"/>
        </w:rPr>
      </w:pPr>
      <w:r>
        <w:rPr>
          <w:rFonts w:hint="eastAsia" w:ascii="宋体" w:hAnsi="宋体" w:cs="宋体"/>
          <w:kern w:val="0"/>
          <w:sz w:val="24"/>
          <w:szCs w:val="24"/>
        </w:rPr>
        <w:t>二十、中小企业声明函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55" w:name="OLE_LINK5"/>
      <w:bookmarkStart w:id="56" w:name="OLE_LINK2"/>
      <w:r>
        <w:rPr>
          <w:rFonts w:hint="eastAsia" w:ascii="宋体" w:hAnsi="宋体" w:cs="宋体"/>
          <w:kern w:val="0"/>
          <w:sz w:val="24"/>
          <w:szCs w:val="24"/>
        </w:rPr>
        <w:t>______（请填写：中型、小型、微型）企业</w:t>
      </w:r>
      <w:bookmarkEnd w:id="55"/>
      <w:bookmarkEnd w:id="56"/>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说明：</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1.供应商不按要求填写、盖章的将不享受中小微企业有关政策。</w:t>
      </w:r>
      <w:r>
        <w:rPr>
          <w:rFonts w:ascii="宋体" w:hAnsi="宋体" w:cs="宋体"/>
          <w:kern w:val="0"/>
          <w:sz w:val="24"/>
          <w:szCs w:val="24"/>
        </w:rPr>
        <w:br w:type="page"/>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二十一、残疾人福利性单位声明函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sz w:val="24"/>
        </w:rPr>
      </w:pPr>
    </w:p>
    <w:p>
      <w:pPr>
        <w:autoSpaceDE w:val="0"/>
        <w:autoSpaceDN w:val="0"/>
        <w:spacing w:line="360" w:lineRule="auto"/>
        <w:rPr>
          <w:sz w:val="24"/>
        </w:rPr>
      </w:pPr>
    </w:p>
    <w:p>
      <w:pPr>
        <w:autoSpaceDE w:val="0"/>
        <w:autoSpaceDN w:val="0"/>
        <w:spacing w:line="360" w:lineRule="auto"/>
        <w:rPr>
          <w:sz w:val="24"/>
        </w:rPr>
      </w:pPr>
      <w:r>
        <w:rPr>
          <w:rFonts w:hint="eastAsia"/>
          <w:sz w:val="24"/>
        </w:rPr>
        <w:t>说明：供应商不按要求填写、盖章的将不享受残疾人企业有关政策。</w:t>
      </w:r>
      <w:r>
        <w:rPr>
          <w:sz w:val="24"/>
        </w:rPr>
        <w:br w:type="page"/>
      </w:r>
    </w:p>
    <w:p>
      <w:pPr>
        <w:autoSpaceDE w:val="0"/>
        <w:autoSpaceDN w:val="0"/>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textWrapping"/>
      </w:r>
    </w:p>
    <w:p>
      <w:pPr>
        <w:autoSpaceDE w:val="0"/>
        <w:autoSpaceDN w:val="0"/>
        <w:spacing w:line="360" w:lineRule="auto"/>
        <w:jc w:val="center"/>
        <w:rPr>
          <w:rFonts w:ascii="宋体" w:hAnsi="宋体"/>
          <w:b/>
          <w:color w:val="000000"/>
          <w:sz w:val="24"/>
          <w:szCs w:val="24"/>
          <w:lang w:val="zh-CN"/>
        </w:rPr>
      </w:pPr>
    </w:p>
    <w:p>
      <w:pPr>
        <w:autoSpaceDE w:val="0"/>
        <w:autoSpaceDN w:val="0"/>
        <w:spacing w:line="360" w:lineRule="auto"/>
        <w:jc w:val="center"/>
        <w:rPr>
          <w:rFonts w:ascii="宋体" w:hAnsi="宋体"/>
          <w:color w:val="000000"/>
          <w:sz w:val="24"/>
          <w:szCs w:val="24"/>
          <w:lang w:val="zh-CN"/>
        </w:rPr>
      </w:pPr>
      <w:r>
        <w:rPr>
          <w:rFonts w:hint="eastAsia" w:ascii="宋体" w:hAnsi="宋体"/>
          <w:color w:val="000000"/>
          <w:sz w:val="24"/>
          <w:szCs w:val="24"/>
        </w:rPr>
        <w:t>二十二、各类</w:t>
      </w:r>
      <w:r>
        <w:rPr>
          <w:rFonts w:hint="eastAsia" w:ascii="宋体" w:hAnsi="宋体"/>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1.谈判文件要求提供的其他资料。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4"/>
        <w:keepNext w:val="0"/>
        <w:keepLines w:val="0"/>
        <w:spacing w:line="360" w:lineRule="auto"/>
        <w:ind w:firstLine="3012" w:firstLineChars="1250"/>
        <w:rPr>
          <w:rFonts w:ascii="宋体" w:hAnsi="宋体" w:eastAsia="宋体"/>
          <w:bCs w:val="0"/>
          <w:color w:val="000000"/>
          <w:kern w:val="2"/>
          <w:sz w:val="24"/>
          <w:szCs w:val="24"/>
          <w:lang w:val="en-US"/>
        </w:rPr>
      </w:pPr>
      <w:r>
        <w:rPr>
          <w:rFonts w:ascii="宋体" w:hAnsi="宋体" w:eastAsia="宋体"/>
          <w:bCs w:val="0"/>
          <w:color w:val="000000"/>
          <w:kern w:val="2"/>
          <w:sz w:val="24"/>
          <w:szCs w:val="24"/>
          <w:lang w:val="en-US"/>
        </w:rPr>
        <w:br w:type="page"/>
      </w:r>
    </w:p>
    <w:p>
      <w:pPr>
        <w:pStyle w:val="3"/>
        <w:keepNext w:val="0"/>
        <w:keepLines w:val="0"/>
        <w:spacing w:line="360" w:lineRule="auto"/>
        <w:rPr>
          <w:rFonts w:ascii="宋体" w:hAnsi="宋体"/>
          <w:color w:val="000000"/>
          <w:sz w:val="24"/>
          <w:szCs w:val="24"/>
        </w:rPr>
      </w:pPr>
      <w:bookmarkStart w:id="57" w:name="_Toc16614"/>
      <w:r>
        <w:rPr>
          <w:rFonts w:hint="eastAsia" w:ascii="宋体" w:hAnsi="宋体"/>
          <w:color w:val="000000"/>
          <w:sz w:val="24"/>
          <w:szCs w:val="24"/>
        </w:rPr>
        <w:t>第八章 温馨提示</w:t>
      </w:r>
      <w:bookmarkEnd w:id="57"/>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spacing w:line="360" w:lineRule="auto"/>
        <w:rPr>
          <w:rFonts w:ascii="宋体" w:hAnsi="宋体"/>
          <w:sz w:val="24"/>
          <w:szCs w:val="24"/>
        </w:rPr>
      </w:pPr>
      <w:r>
        <w:rPr>
          <w:rFonts w:hint="eastAsia" w:ascii="宋体" w:hAnsi="宋体"/>
          <w:sz w:val="24"/>
          <w:szCs w:val="24"/>
        </w:rPr>
        <w:t xml:space="preserve">    请在编制响应文件前请认真阅读并理解谈判文件。现就容易导致废标或无效投标的条款特别提示如下：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及时查看投标项目的相关信息公告，如谈判公告、变更公告、废标公告等。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认真填写报名信息，在递交响应文件截止时间前核对保证金缴纳情况，若报名成功、保证金缴纳之后，如保证金状态仍显示“未缴纳”，请及时与我单位联系。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注意响应文件的密封、装订及签署、盖章，如项目分包，响应文件务必分包、分别编制。</w:t>
      </w:r>
    </w:p>
    <w:p>
      <w:pPr>
        <w:tabs>
          <w:tab w:val="left" w:pos="851"/>
        </w:tabs>
        <w:spacing w:line="360" w:lineRule="auto"/>
        <w:rPr>
          <w:rFonts w:ascii="宋体" w:hAnsi="宋体"/>
          <w:sz w:val="24"/>
          <w:szCs w:val="24"/>
        </w:rPr>
      </w:pPr>
      <w:r>
        <w:rPr>
          <w:rFonts w:hint="eastAsia" w:ascii="宋体" w:hAnsi="宋体"/>
          <w:sz w:val="24"/>
          <w:szCs w:val="24"/>
        </w:rPr>
        <w:t>4.注意《开标一览表》应单独密封、单独递交一份，用于唱标之用。</w:t>
      </w:r>
    </w:p>
    <w:p>
      <w:pPr>
        <w:tabs>
          <w:tab w:val="left" w:pos="851"/>
        </w:tabs>
        <w:spacing w:line="360" w:lineRule="auto"/>
        <w:rPr>
          <w:rFonts w:ascii="宋体" w:hAnsi="宋体"/>
          <w:sz w:val="24"/>
          <w:szCs w:val="24"/>
        </w:rPr>
      </w:pPr>
      <w:r>
        <w:rPr>
          <w:rFonts w:hint="eastAsia" w:ascii="宋体" w:hAnsi="宋体"/>
          <w:sz w:val="24"/>
          <w:szCs w:val="24"/>
        </w:rPr>
        <w:t>5. 注意响应文件中相关证明材料的完整性及有效期限。</w:t>
      </w:r>
    </w:p>
    <w:p>
      <w:pPr>
        <w:tabs>
          <w:tab w:val="left" w:pos="851"/>
        </w:tabs>
        <w:spacing w:line="360" w:lineRule="auto"/>
        <w:rPr>
          <w:rFonts w:ascii="宋体" w:hAnsi="宋体"/>
          <w:sz w:val="24"/>
          <w:szCs w:val="24"/>
        </w:rPr>
      </w:pPr>
    </w:p>
    <w:p>
      <w:pPr>
        <w:tabs>
          <w:tab w:val="left" w:pos="851"/>
        </w:tabs>
        <w:spacing w:line="360" w:lineRule="auto"/>
        <w:ind w:firstLine="480" w:firstLineChars="200"/>
        <w:rPr>
          <w:rFonts w:ascii="宋体" w:hAnsi="宋体"/>
          <w:sz w:val="24"/>
          <w:szCs w:val="24"/>
        </w:rPr>
      </w:pPr>
      <w:r>
        <w:rPr>
          <w:rFonts w:hint="eastAsia" w:ascii="宋体" w:hAnsi="宋体"/>
          <w:sz w:val="24"/>
          <w:szCs w:val="24"/>
        </w:rPr>
        <w:t>请各供应商严格遵守《中华人民共和国政府采购法》及其条例，如出现违法、违规行为，将承担相应法律责任。</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12" w:type="first"/>
      <w:footerReference r:id="rId15" w:type="first"/>
      <w:headerReference r:id="rId11" w:type="default"/>
      <w:footerReference r:id="rId13" w:type="default"/>
      <w:footerReference r:id="rId14" w:type="even"/>
      <w:pgSz w:w="11907" w:h="16840"/>
      <w:pgMar w:top="1134" w:right="1134" w:bottom="1134" w:left="1134"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黑体....">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rPr>
                              <w:rStyle w:val="19"/>
                            </w:rPr>
                            <w:instrText xml:space="preserve"> PAGE  </w:instrText>
                          </w:r>
                          <w:r>
                            <w:fldChar w:fldCharType="separate"/>
                          </w:r>
                          <w:r>
                            <w:rPr>
                              <w:rStyle w:val="19"/>
                            </w:rP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10"/>
                    </w:pPr>
                    <w:r>
                      <w:fldChar w:fldCharType="begin"/>
                    </w:r>
                    <w:r>
                      <w:rPr>
                        <w:rStyle w:val="19"/>
                      </w:rPr>
                      <w:instrText xml:space="preserve"> PAGE  </w:instrText>
                    </w:r>
                    <w:r>
                      <w:fldChar w:fldCharType="separate"/>
                    </w:r>
                    <w:r>
                      <w:rPr>
                        <w:rStyle w:val="19"/>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87"/>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rPr>
                              <w:rStyle w:val="19"/>
                            </w:rPr>
                            <w:instrText xml:space="preserve"> PAGE  </w:instrText>
                          </w:r>
                          <w:r>
                            <w:fldChar w:fldCharType="separate"/>
                          </w:r>
                          <w:r>
                            <w:rPr>
                              <w:rStyle w:val="19"/>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pPr>
                    <w:r>
                      <w:fldChar w:fldCharType="begin"/>
                    </w:r>
                    <w:r>
                      <w:rPr>
                        <w:rStyle w:val="19"/>
                      </w:rPr>
                      <w:instrText xml:space="preserve"> PAGE  </w:instrText>
                    </w:r>
                    <w:r>
                      <w:fldChar w:fldCharType="separate"/>
                    </w:r>
                    <w:r>
                      <w:rPr>
                        <w:rStyle w:val="19"/>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Cs/>
        <w:sz w:val="21"/>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r>
      <w:rPr>
        <w:rFonts w:ascii="宋体" w:hAnsi="宋体"/>
        <w:bCs/>
        <w:sz w:val="21"/>
        <w:szCs w:val="21"/>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-635</wp:posOffset>
              </wp:positionV>
              <wp:extent cx="49149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6pt;margin-top:-0.05pt;height:0pt;width:387pt;z-index:251660288;mso-width-relative:page;mso-height-relative:page;" filled="f" stroked="t" coordsize="21600,21600" o:gfxdata="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sMYwDSAAAABQEAAA8AAAAAAAAAAQAgAAAAIgAA&#10;AGRycy9kb3ducmV2LnhtbFBLAQIUABQAAAAIAIdO4kB5AiBo1QEAAHQDAAAOAAAAAAAAAAEAIAAA&#10;ACEBAABkcnMvZTJvRG9jLnhtbFBLBQYAAAAABgAGAFkBAABoBQAAAAA=&#10;">
              <v:fill on="f" focussize="0,0"/>
              <v:stroke color="#000000" joinstyle="round"/>
              <v:imagedata o:title=""/>
              <o:lock v:ext="edit" aspectratio="f"/>
            </v:line>
          </w:pict>
        </mc:Fallback>
      </mc:AlternateContent>
    </w:r>
    <w:r>
      <w:rPr>
        <w:rFonts w:ascii="宋体" w:hAnsi="宋体"/>
        <w:bCs/>
        <w:sz w:val="21"/>
        <w:szCs w:val="21"/>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2982595</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234.85pt;height:0pt;width:414pt;z-index:251659264;mso-width-relative:page;mso-height-relative:page;" filled="f" stroked="t" coordsize="21600,21600" o:gfxdata="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GUda2QAAAAwBAAAPAAAAAAAAAAEAIAAAACIAAABk&#10;cnMvZG93bnJldi54bWxQSwECFAAUAAAACACHTuJA3MfypswBAABqAwAADgAAAAAAAAABACAAAAAo&#10;AQAAZHJzL2Uyb0RvYy54bWxQSwUGAAAAAAYABgBZAQAAZgU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sz w:val="17"/>
        <w:szCs w:val="17"/>
      </w:rPr>
    </w:pPr>
    <w:r>
      <w:rPr>
        <w:rStyle w:val="19"/>
        <w:sz w:val="17"/>
        <w:szCs w:val="17"/>
      </w:rPr>
      <w:fldChar w:fldCharType="begin"/>
    </w:r>
    <w:r>
      <w:rPr>
        <w:rStyle w:val="19"/>
        <w:sz w:val="17"/>
        <w:szCs w:val="17"/>
      </w:rPr>
      <w:instrText xml:space="preserve">PAGE  </w:instrText>
    </w:r>
    <w:r>
      <w:rPr>
        <w:rStyle w:val="19"/>
        <w:sz w:val="17"/>
        <w:szCs w:val="17"/>
      </w:rPr>
      <w:fldChar w:fldCharType="end"/>
    </w:r>
  </w:p>
  <w:p>
    <w:pPr>
      <w:pStyle w:val="10"/>
      <w:ind w:right="360" w:firstLine="360"/>
      <w:rPr>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255F4D"/>
    <w:multiLevelType w:val="singleLevel"/>
    <w:tmpl w:val="F6255F4D"/>
    <w:lvl w:ilvl="0" w:tentative="0">
      <w:start w:val="2"/>
      <w:numFmt w:val="chineseCounting"/>
      <w:lvlText w:val="%1."/>
      <w:lvlJc w:val="left"/>
      <w:pPr>
        <w:tabs>
          <w:tab w:val="left" w:pos="312"/>
        </w:tabs>
      </w:pPr>
      <w:rPr>
        <w:rFonts w:hint="eastAsia"/>
      </w:rPr>
    </w:lvl>
  </w:abstractNum>
  <w:abstractNum w:abstractNumId="1">
    <w:nsid w:val="0D860106"/>
    <w:multiLevelType w:val="singleLevel"/>
    <w:tmpl w:val="0D860106"/>
    <w:lvl w:ilvl="0" w:tentative="0">
      <w:start w:val="9"/>
      <w:numFmt w:val="chineseCounting"/>
      <w:suff w:val="nothing"/>
      <w:lvlText w:val="%1、"/>
      <w:lvlJc w:val="left"/>
      <w:rPr>
        <w:rFonts w:hint="eastAsia"/>
      </w:rPr>
    </w:lvl>
  </w:abstractNum>
  <w:abstractNum w:abstractNumId="2">
    <w:nsid w:val="118AFF2C"/>
    <w:multiLevelType w:val="singleLevel"/>
    <w:tmpl w:val="118AFF2C"/>
    <w:lvl w:ilvl="0" w:tentative="0">
      <w:start w:val="1"/>
      <w:numFmt w:val="decimal"/>
      <w:lvlText w:val="%1."/>
      <w:lvlJc w:val="left"/>
      <w:pPr>
        <w:tabs>
          <w:tab w:val="left" w:pos="312"/>
        </w:tabs>
      </w:pPr>
    </w:lvl>
  </w:abstractNum>
  <w:abstractNum w:abstractNumId="3">
    <w:nsid w:val="2F7BF258"/>
    <w:multiLevelType w:val="singleLevel"/>
    <w:tmpl w:val="2F7BF258"/>
    <w:lvl w:ilvl="0" w:tentative="0">
      <w:start w:val="1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F8"/>
    <w:rsid w:val="00220264"/>
    <w:rsid w:val="003362BB"/>
    <w:rsid w:val="005D7AD8"/>
    <w:rsid w:val="006419CA"/>
    <w:rsid w:val="00661515"/>
    <w:rsid w:val="00703804"/>
    <w:rsid w:val="008F44F8"/>
    <w:rsid w:val="009452BC"/>
    <w:rsid w:val="00C34F4B"/>
    <w:rsid w:val="00C40735"/>
    <w:rsid w:val="011338AD"/>
    <w:rsid w:val="01781A89"/>
    <w:rsid w:val="01E42938"/>
    <w:rsid w:val="026C54C9"/>
    <w:rsid w:val="033136A5"/>
    <w:rsid w:val="0337231F"/>
    <w:rsid w:val="0357788A"/>
    <w:rsid w:val="039E56D4"/>
    <w:rsid w:val="0424606B"/>
    <w:rsid w:val="043266F1"/>
    <w:rsid w:val="043C3C58"/>
    <w:rsid w:val="0535601B"/>
    <w:rsid w:val="05D169E2"/>
    <w:rsid w:val="061E6E1F"/>
    <w:rsid w:val="063604C4"/>
    <w:rsid w:val="06F013DF"/>
    <w:rsid w:val="07DC1A2D"/>
    <w:rsid w:val="07FC18B7"/>
    <w:rsid w:val="088D240A"/>
    <w:rsid w:val="08DD4943"/>
    <w:rsid w:val="094910AF"/>
    <w:rsid w:val="099974B8"/>
    <w:rsid w:val="09C12D73"/>
    <w:rsid w:val="0B706FAC"/>
    <w:rsid w:val="0C4D77DA"/>
    <w:rsid w:val="0D491AB1"/>
    <w:rsid w:val="0D9E1147"/>
    <w:rsid w:val="0DA209DB"/>
    <w:rsid w:val="0DA54627"/>
    <w:rsid w:val="0F1869EF"/>
    <w:rsid w:val="0F697792"/>
    <w:rsid w:val="0F8B4F39"/>
    <w:rsid w:val="0FFB0D00"/>
    <w:rsid w:val="106F2965"/>
    <w:rsid w:val="1105293A"/>
    <w:rsid w:val="1153494F"/>
    <w:rsid w:val="118C656D"/>
    <w:rsid w:val="11EE0787"/>
    <w:rsid w:val="123A1676"/>
    <w:rsid w:val="1280182A"/>
    <w:rsid w:val="131A5BA8"/>
    <w:rsid w:val="14242EBA"/>
    <w:rsid w:val="14F52FC6"/>
    <w:rsid w:val="15627929"/>
    <w:rsid w:val="15D2012D"/>
    <w:rsid w:val="16FD4D33"/>
    <w:rsid w:val="1711103A"/>
    <w:rsid w:val="17236AB2"/>
    <w:rsid w:val="17363706"/>
    <w:rsid w:val="178120EB"/>
    <w:rsid w:val="189E75EB"/>
    <w:rsid w:val="19DC1A45"/>
    <w:rsid w:val="1A495E7D"/>
    <w:rsid w:val="1D39061E"/>
    <w:rsid w:val="1D7E1F28"/>
    <w:rsid w:val="1DCB1214"/>
    <w:rsid w:val="1E365E1C"/>
    <w:rsid w:val="1F037F24"/>
    <w:rsid w:val="1F0A525E"/>
    <w:rsid w:val="1FE56904"/>
    <w:rsid w:val="20F22EB9"/>
    <w:rsid w:val="21357EF6"/>
    <w:rsid w:val="22120F2B"/>
    <w:rsid w:val="233566A3"/>
    <w:rsid w:val="239C1B76"/>
    <w:rsid w:val="23CF5D5A"/>
    <w:rsid w:val="24507E27"/>
    <w:rsid w:val="246C6495"/>
    <w:rsid w:val="24A7662B"/>
    <w:rsid w:val="250147C8"/>
    <w:rsid w:val="267A3381"/>
    <w:rsid w:val="28D63AD0"/>
    <w:rsid w:val="29705068"/>
    <w:rsid w:val="2977799F"/>
    <w:rsid w:val="2A711A1F"/>
    <w:rsid w:val="2A832733"/>
    <w:rsid w:val="2B1503A4"/>
    <w:rsid w:val="2B963C46"/>
    <w:rsid w:val="2BAA433B"/>
    <w:rsid w:val="2C261199"/>
    <w:rsid w:val="2C546FB0"/>
    <w:rsid w:val="2CFA02DF"/>
    <w:rsid w:val="2DC05AD7"/>
    <w:rsid w:val="2E3D232F"/>
    <w:rsid w:val="2E4352D7"/>
    <w:rsid w:val="2ECD430B"/>
    <w:rsid w:val="2EFD0AB3"/>
    <w:rsid w:val="2F276572"/>
    <w:rsid w:val="2FB7075D"/>
    <w:rsid w:val="2FC61E69"/>
    <w:rsid w:val="302512E5"/>
    <w:rsid w:val="30390C28"/>
    <w:rsid w:val="30553CF2"/>
    <w:rsid w:val="31D437A3"/>
    <w:rsid w:val="32285FCA"/>
    <w:rsid w:val="32610053"/>
    <w:rsid w:val="333A0568"/>
    <w:rsid w:val="335A7F1F"/>
    <w:rsid w:val="3491719B"/>
    <w:rsid w:val="34B2604A"/>
    <w:rsid w:val="34BF7B23"/>
    <w:rsid w:val="34CE1393"/>
    <w:rsid w:val="35735217"/>
    <w:rsid w:val="37640C86"/>
    <w:rsid w:val="3B3875CA"/>
    <w:rsid w:val="3B7B0A60"/>
    <w:rsid w:val="3C0606FC"/>
    <w:rsid w:val="3D5D752F"/>
    <w:rsid w:val="3E86435E"/>
    <w:rsid w:val="3F4F7BCE"/>
    <w:rsid w:val="40167A21"/>
    <w:rsid w:val="40412039"/>
    <w:rsid w:val="40BC134E"/>
    <w:rsid w:val="4105009F"/>
    <w:rsid w:val="41180BA9"/>
    <w:rsid w:val="41907C75"/>
    <w:rsid w:val="41D750A4"/>
    <w:rsid w:val="41E751B1"/>
    <w:rsid w:val="42243EAF"/>
    <w:rsid w:val="42DF6974"/>
    <w:rsid w:val="43970BA0"/>
    <w:rsid w:val="443C5C6C"/>
    <w:rsid w:val="469E2FB8"/>
    <w:rsid w:val="471963C6"/>
    <w:rsid w:val="474220F6"/>
    <w:rsid w:val="49AF127F"/>
    <w:rsid w:val="4A083B47"/>
    <w:rsid w:val="4A4E3F00"/>
    <w:rsid w:val="4A69030B"/>
    <w:rsid w:val="4AB444FE"/>
    <w:rsid w:val="4B3F76CB"/>
    <w:rsid w:val="4BCA16C0"/>
    <w:rsid w:val="4BCD4A0A"/>
    <w:rsid w:val="4C5272AB"/>
    <w:rsid w:val="4C7664FD"/>
    <w:rsid w:val="4D2F6ECA"/>
    <w:rsid w:val="4E6A0824"/>
    <w:rsid w:val="4E9855FF"/>
    <w:rsid w:val="4F436D34"/>
    <w:rsid w:val="4FBC23DE"/>
    <w:rsid w:val="503832F3"/>
    <w:rsid w:val="508E3207"/>
    <w:rsid w:val="50F56082"/>
    <w:rsid w:val="513160EB"/>
    <w:rsid w:val="515510EC"/>
    <w:rsid w:val="51783F85"/>
    <w:rsid w:val="518F77E4"/>
    <w:rsid w:val="51DB561F"/>
    <w:rsid w:val="52722EBE"/>
    <w:rsid w:val="53045DF6"/>
    <w:rsid w:val="53285298"/>
    <w:rsid w:val="546F3C36"/>
    <w:rsid w:val="54906A09"/>
    <w:rsid w:val="5564582F"/>
    <w:rsid w:val="560D35AB"/>
    <w:rsid w:val="56231466"/>
    <w:rsid w:val="57000B64"/>
    <w:rsid w:val="580378B8"/>
    <w:rsid w:val="58230F82"/>
    <w:rsid w:val="58C9050A"/>
    <w:rsid w:val="591D5E42"/>
    <w:rsid w:val="59215EA7"/>
    <w:rsid w:val="5A17155A"/>
    <w:rsid w:val="5A3B2476"/>
    <w:rsid w:val="5A987E91"/>
    <w:rsid w:val="5B7E5729"/>
    <w:rsid w:val="5BB24C05"/>
    <w:rsid w:val="5C194B40"/>
    <w:rsid w:val="5C3E070F"/>
    <w:rsid w:val="5C7758C5"/>
    <w:rsid w:val="5CAF1537"/>
    <w:rsid w:val="5D0F7881"/>
    <w:rsid w:val="5D7969D1"/>
    <w:rsid w:val="5DA01035"/>
    <w:rsid w:val="5DA07EE9"/>
    <w:rsid w:val="5E604BA2"/>
    <w:rsid w:val="5F4714EC"/>
    <w:rsid w:val="5FE155D3"/>
    <w:rsid w:val="60002731"/>
    <w:rsid w:val="606C2978"/>
    <w:rsid w:val="6088070C"/>
    <w:rsid w:val="60AE73E1"/>
    <w:rsid w:val="61381CC7"/>
    <w:rsid w:val="61E16C11"/>
    <w:rsid w:val="62375CF7"/>
    <w:rsid w:val="63D369D8"/>
    <w:rsid w:val="63EC140C"/>
    <w:rsid w:val="64B66AA9"/>
    <w:rsid w:val="64D102FE"/>
    <w:rsid w:val="64EC2233"/>
    <w:rsid w:val="659819B1"/>
    <w:rsid w:val="659F3C4D"/>
    <w:rsid w:val="66A44ED5"/>
    <w:rsid w:val="67A9399C"/>
    <w:rsid w:val="68771A55"/>
    <w:rsid w:val="688220EB"/>
    <w:rsid w:val="694C59C5"/>
    <w:rsid w:val="6A4913F9"/>
    <w:rsid w:val="6A99293D"/>
    <w:rsid w:val="6B385488"/>
    <w:rsid w:val="6BAF0B1B"/>
    <w:rsid w:val="6C490A55"/>
    <w:rsid w:val="6C774788"/>
    <w:rsid w:val="6D777663"/>
    <w:rsid w:val="6E8F764E"/>
    <w:rsid w:val="6EA72794"/>
    <w:rsid w:val="6EC33102"/>
    <w:rsid w:val="6F390A38"/>
    <w:rsid w:val="6F4A1797"/>
    <w:rsid w:val="6F503EF5"/>
    <w:rsid w:val="7054603B"/>
    <w:rsid w:val="707659E4"/>
    <w:rsid w:val="72E07888"/>
    <w:rsid w:val="72E35BD3"/>
    <w:rsid w:val="72E965AC"/>
    <w:rsid w:val="73107482"/>
    <w:rsid w:val="73E46DEE"/>
    <w:rsid w:val="740D50E6"/>
    <w:rsid w:val="741D2F02"/>
    <w:rsid w:val="759C65DA"/>
    <w:rsid w:val="75BE7C54"/>
    <w:rsid w:val="75CA3305"/>
    <w:rsid w:val="7644128C"/>
    <w:rsid w:val="766F59E5"/>
    <w:rsid w:val="767A6A66"/>
    <w:rsid w:val="77504A7A"/>
    <w:rsid w:val="7793137E"/>
    <w:rsid w:val="779701A7"/>
    <w:rsid w:val="77A84F43"/>
    <w:rsid w:val="77B31AB0"/>
    <w:rsid w:val="78295DD6"/>
    <w:rsid w:val="791139AB"/>
    <w:rsid w:val="794C6B5E"/>
    <w:rsid w:val="7A4356DF"/>
    <w:rsid w:val="7A62545A"/>
    <w:rsid w:val="7AA06765"/>
    <w:rsid w:val="7B5E12AF"/>
    <w:rsid w:val="7CD33B08"/>
    <w:rsid w:val="7CE339CB"/>
    <w:rsid w:val="7CFE602D"/>
    <w:rsid w:val="7D287039"/>
    <w:rsid w:val="7E5D0261"/>
    <w:rsid w:val="7F754137"/>
    <w:rsid w:val="7FD8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2"/>
    <w:basedOn w:val="1"/>
    <w:link w:val="31"/>
    <w:unhideWhenUsed/>
    <w:qFormat/>
    <w:uiPriority w:val="99"/>
    <w:pPr>
      <w:spacing w:line="480" w:lineRule="auto"/>
    </w:pPr>
  </w:style>
  <w:style w:type="paragraph" w:styleId="5">
    <w:name w:val="Body Text 3"/>
    <w:basedOn w:val="1"/>
    <w:qFormat/>
    <w:uiPriority w:val="0"/>
    <w:rPr>
      <w:rFonts w:ascii="黑体" w:hAnsi="Arial" w:eastAsia="黑体"/>
      <w:b/>
      <w:kern w:val="0"/>
    </w:rPr>
  </w:style>
  <w:style w:type="paragraph" w:styleId="6">
    <w:name w:val="Body Text"/>
    <w:basedOn w:val="1"/>
    <w:qFormat/>
    <w:uiPriority w:val="0"/>
  </w:style>
  <w:style w:type="paragraph" w:styleId="7">
    <w:name w:val="Body Text Indent"/>
    <w:basedOn w:val="1"/>
    <w:qFormat/>
    <w:uiPriority w:val="0"/>
    <w:pPr>
      <w:ind w:firstLine="830" w:firstLineChars="352"/>
    </w:pPr>
    <w:rPr>
      <w:rFonts w:ascii="仿宋_GB2312" w:eastAsia="仿宋_GB2312"/>
      <w:kern w:val="0"/>
      <w:sz w:val="32"/>
    </w:rPr>
  </w:style>
  <w:style w:type="paragraph" w:styleId="8">
    <w:name w:val="Plain Text"/>
    <w:basedOn w:val="1"/>
    <w:qFormat/>
    <w:uiPriority w:val="99"/>
    <w:rPr>
      <w:rFonts w:ascii="宋体" w:hAnsi="Courier New" w:cs="Courier New"/>
      <w:kern w:val="0"/>
      <w:sz w:val="20"/>
      <w:szCs w:val="21"/>
    </w:rPr>
  </w:style>
  <w:style w:type="paragraph" w:styleId="9">
    <w:name w:val="Balloon Text"/>
    <w:basedOn w:val="1"/>
    <w:link w:val="30"/>
    <w:qFormat/>
    <w:uiPriority w:val="0"/>
    <w:rPr>
      <w:sz w:val="18"/>
      <w:szCs w:val="18"/>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b/>
      <w:bCs/>
      <w:caps/>
    </w:rPr>
  </w:style>
  <w:style w:type="paragraph" w:styleId="13">
    <w:name w:val="Normal (Web)"/>
    <w:basedOn w:val="1"/>
    <w:unhideWhenUsed/>
    <w:qFormat/>
    <w:uiPriority w:val="0"/>
    <w:pPr>
      <w:jc w:val="left"/>
    </w:pPr>
    <w:rPr>
      <w:kern w:val="0"/>
      <w:sz w:val="24"/>
    </w:rPr>
  </w:style>
  <w:style w:type="paragraph" w:styleId="14">
    <w:name w:val="Title"/>
    <w:basedOn w:val="1"/>
    <w:next w:val="1"/>
    <w:qFormat/>
    <w:uiPriority w:val="99"/>
    <w:pPr>
      <w:spacing w:before="240" w:after="60"/>
      <w:jc w:val="center"/>
      <w:outlineLvl w:val="0"/>
    </w:pPr>
    <w:rPr>
      <w:rFonts w:ascii="Cambria" w:hAnsi="Cambria" w:eastAsia="方正小标宋简体"/>
      <w:b/>
      <w:bCs/>
      <w:kern w:val="0"/>
      <w:sz w:val="44"/>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Hyperlink"/>
    <w:qFormat/>
    <w:uiPriority w:val="99"/>
    <w:rPr>
      <w:color w:val="0000FF"/>
      <w:u w:val="single"/>
    </w:rPr>
  </w:style>
  <w:style w:type="paragraph" w:customStyle="1" w:styleId="22">
    <w:name w:val="Body Text 21"/>
    <w:basedOn w:val="1"/>
    <w:qFormat/>
    <w:uiPriority w:val="0"/>
    <w:pPr>
      <w:spacing w:line="480" w:lineRule="auto"/>
    </w:pPr>
    <w:rPr>
      <w:sz w:val="20"/>
    </w:rPr>
  </w:style>
  <w:style w:type="paragraph" w:customStyle="1" w:styleId="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styleId="24">
    <w:name w:val="List Paragraph"/>
    <w:basedOn w:val="1"/>
    <w:qFormat/>
    <w:uiPriority w:val="34"/>
    <w:pPr>
      <w:ind w:firstLine="420" w:firstLineChars="200"/>
    </w:pPr>
    <w:rPr>
      <w:szCs w:val="21"/>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标题 4_0_0"/>
    <w:basedOn w:val="28"/>
    <w:next w:val="28"/>
    <w:unhideWhenUsed/>
    <w:qFormat/>
    <w:uiPriority w:val="0"/>
    <w:pPr>
      <w:keepNext/>
      <w:keepLines/>
      <w:spacing w:before="280" w:after="290" w:line="376" w:lineRule="auto"/>
      <w:outlineLvl w:val="3"/>
    </w:pPr>
    <w:rPr>
      <w:rFonts w:ascii="Cambria" w:hAnsi="Cambria"/>
      <w:b/>
      <w:bCs/>
      <w:sz w:val="28"/>
      <w:szCs w:val="28"/>
    </w:rPr>
  </w:style>
  <w:style w:type="paragraph" w:customStyle="1" w:styleId="28">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样式1"/>
    <w:basedOn w:val="1"/>
    <w:qFormat/>
    <w:uiPriority w:val="0"/>
  </w:style>
  <w:style w:type="character" w:customStyle="1" w:styleId="30">
    <w:name w:val="批注框文本 Char"/>
    <w:basedOn w:val="17"/>
    <w:link w:val="9"/>
    <w:qFormat/>
    <w:uiPriority w:val="0"/>
    <w:rPr>
      <w:kern w:val="2"/>
      <w:sz w:val="18"/>
      <w:szCs w:val="18"/>
    </w:rPr>
  </w:style>
  <w:style w:type="character" w:customStyle="1" w:styleId="31">
    <w:name w:val="正文文本 2 Char"/>
    <w:basedOn w:val="17"/>
    <w:link w:val="2"/>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46168-162E-4E84-87E9-2A3B1A9A5C9E}">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25846</Words>
  <Characters>6473</Characters>
  <Lines>53</Lines>
  <Paragraphs>64</Paragraphs>
  <TotalTime>9</TotalTime>
  <ScaleCrop>false</ScaleCrop>
  <LinksUpToDate>false</LinksUpToDate>
  <CharactersWithSpaces>32255</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2018-11-20T03:30:00Z</dcterms:created>
  <dc:creator>Administrator</dc:creator>
  <cp:lastModifiedBy>♔ ゛S</cp:lastModifiedBy>
  <cp:lastPrinted>2020-03-16T09:41:18Z</cp:lastPrinted>
  <dcterms:modified xsi:type="dcterms:W3CDTF">2020-03-16T09:42:36Z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