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ind w:firstLine="883" w:firstLineChars="200"/>
        <w:rPr>
          <w:rFonts w:hint="eastAsia" w:ascii="宋体" w:hAnsi="宋体" w:eastAsia="宋体"/>
          <w:b/>
          <w:bCs/>
          <w:color w:val="auto"/>
          <w:sz w:val="44"/>
          <w:szCs w:val="44"/>
          <w:lang w:eastAsia="zh-CN"/>
        </w:rPr>
      </w:pPr>
    </w:p>
    <w:p>
      <w:pPr>
        <w:tabs>
          <w:tab w:val="left" w:pos="420"/>
        </w:tabs>
        <w:spacing w:line="360" w:lineRule="auto"/>
        <w:ind w:firstLine="883" w:firstLineChars="200"/>
        <w:rPr>
          <w:rFonts w:hint="eastAsia" w:ascii="宋体" w:hAnsi="宋体" w:eastAsia="宋体"/>
          <w:b/>
          <w:bCs/>
          <w:color w:val="auto"/>
          <w:sz w:val="44"/>
          <w:szCs w:val="44"/>
          <w:lang w:eastAsia="zh-CN"/>
        </w:rPr>
      </w:pPr>
    </w:p>
    <w:p>
      <w:pPr>
        <w:tabs>
          <w:tab w:val="left" w:pos="420"/>
        </w:tabs>
        <w:spacing w:line="360" w:lineRule="auto"/>
        <w:ind w:firstLine="883" w:firstLineChars="200"/>
        <w:rPr>
          <w:rFonts w:hint="eastAsia" w:ascii="宋体" w:hAnsi="宋体" w:eastAsia="宋体"/>
          <w:b/>
          <w:bCs/>
          <w:color w:val="auto"/>
          <w:sz w:val="44"/>
          <w:szCs w:val="44"/>
          <w:lang w:eastAsia="zh-CN"/>
        </w:rPr>
      </w:pPr>
      <w:r>
        <w:rPr>
          <w:rFonts w:hint="eastAsia" w:ascii="宋体" w:hAnsi="宋体"/>
          <w:b/>
          <w:bCs/>
          <w:color w:val="auto"/>
          <w:sz w:val="44"/>
          <w:szCs w:val="44"/>
          <w:lang w:eastAsia="zh-CN"/>
        </w:rPr>
        <w:t>鄂托克前旗民政局采购殡仪馆火化设备项目</w:t>
      </w:r>
    </w:p>
    <w:p>
      <w:pPr>
        <w:pStyle w:val="13"/>
        <w:rPr>
          <w:rFonts w:hint="eastAsia" w:ascii="宋体" w:hAnsi="宋体" w:eastAsia="宋体"/>
          <w:b/>
          <w:bCs/>
          <w:color w:val="auto"/>
          <w:sz w:val="44"/>
          <w:szCs w:val="44"/>
          <w:lang w:eastAsia="zh-CN"/>
        </w:rPr>
      </w:pPr>
    </w:p>
    <w:p/>
    <w:p>
      <w:pPr>
        <w:pStyle w:val="2"/>
        <w:rPr>
          <w:color w:val="auto"/>
          <w:sz w:val="52"/>
          <w:szCs w:val="52"/>
        </w:rPr>
      </w:pPr>
    </w:p>
    <w:p>
      <w:pPr>
        <w:tabs>
          <w:tab w:val="left" w:pos="315"/>
          <w:tab w:val="left" w:pos="8820"/>
        </w:tabs>
        <w:spacing w:line="360" w:lineRule="auto"/>
        <w:ind w:right="356" w:rightChars="127"/>
        <w:jc w:val="center"/>
        <w:rPr>
          <w:rFonts w:ascii="宋体" w:hAnsi="宋体"/>
          <w:b/>
          <w:bCs/>
          <w:color w:val="auto"/>
          <w:sz w:val="84"/>
          <w:szCs w:val="84"/>
        </w:rPr>
      </w:pPr>
      <w:r>
        <w:rPr>
          <w:rFonts w:hint="eastAsia" w:ascii="宋体" w:hAnsi="宋体"/>
          <w:b/>
          <w:bCs/>
          <w:color w:val="auto"/>
          <w:sz w:val="84"/>
          <w:szCs w:val="84"/>
        </w:rPr>
        <w:t>招 标 文 件</w:t>
      </w:r>
    </w:p>
    <w:p>
      <w:pPr>
        <w:tabs>
          <w:tab w:val="left" w:pos="315"/>
          <w:tab w:val="left" w:pos="8820"/>
        </w:tabs>
        <w:spacing w:line="360" w:lineRule="auto"/>
        <w:ind w:right="356" w:rightChars="127"/>
        <w:rPr>
          <w:rFonts w:ascii="宋体" w:hAnsi="宋体"/>
          <w:b/>
          <w:color w:val="auto"/>
          <w:kern w:val="0"/>
          <w:szCs w:val="28"/>
        </w:rPr>
      </w:pPr>
    </w:p>
    <w:p>
      <w:pPr>
        <w:tabs>
          <w:tab w:val="left" w:pos="315"/>
          <w:tab w:val="left" w:pos="8820"/>
        </w:tabs>
        <w:spacing w:line="360" w:lineRule="auto"/>
        <w:ind w:right="356" w:rightChars="127"/>
        <w:rPr>
          <w:rFonts w:ascii="宋体" w:hAnsi="宋体"/>
          <w:b/>
          <w:bCs/>
          <w:color w:val="auto"/>
          <w:szCs w:val="28"/>
        </w:rPr>
      </w:pPr>
      <w:r>
        <w:rPr>
          <w:color w:val="000000"/>
          <w:szCs w:val="28"/>
        </w:rPr>
        <w:drawing>
          <wp:anchor distT="0" distB="0" distL="0" distR="0" simplePos="0" relativeHeight="251658240" behindDoc="1" locked="0" layoutInCell="1" allowOverlap="1">
            <wp:simplePos x="0" y="0"/>
            <wp:positionH relativeFrom="column">
              <wp:posOffset>2004060</wp:posOffset>
            </wp:positionH>
            <wp:positionV relativeFrom="paragraph">
              <wp:posOffset>303530</wp:posOffset>
            </wp:positionV>
            <wp:extent cx="2237105" cy="1677670"/>
            <wp:effectExtent l="0" t="0" r="10795" b="17780"/>
            <wp:wrapTight wrapText="bothSides">
              <wp:wrapPolygon>
                <wp:start x="0" y="0"/>
                <wp:lineTo x="0" y="21338"/>
                <wp:lineTo x="21336" y="21338"/>
                <wp:lineTo x="21336" y="0"/>
                <wp:lineTo x="0" y="0"/>
              </wp:wrapPolygon>
            </wp:wrapTight>
            <wp:docPr id="2" name="图片 2" descr="终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终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237105" cy="1677670"/>
                    </a:xfrm>
                    <a:prstGeom prst="rect">
                      <a:avLst/>
                    </a:prstGeom>
                    <a:noFill/>
                    <a:ln>
                      <a:noFill/>
                    </a:ln>
                  </pic:spPr>
                </pic:pic>
              </a:graphicData>
            </a:graphic>
          </wp:anchor>
        </w:drawing>
      </w:r>
    </w:p>
    <w:p>
      <w:pPr>
        <w:tabs>
          <w:tab w:val="left" w:pos="315"/>
          <w:tab w:val="left" w:pos="8820"/>
        </w:tabs>
        <w:spacing w:line="360" w:lineRule="auto"/>
        <w:ind w:right="356" w:rightChars="127"/>
        <w:jc w:val="center"/>
        <w:rPr>
          <w:rFonts w:ascii="宋体" w:hAnsi="宋体"/>
          <w:color w:val="auto"/>
          <w:szCs w:val="28"/>
        </w:rPr>
      </w:pPr>
    </w:p>
    <w:p>
      <w:pPr>
        <w:tabs>
          <w:tab w:val="left" w:pos="315"/>
          <w:tab w:val="left" w:pos="8820"/>
        </w:tabs>
        <w:spacing w:line="500" w:lineRule="exact"/>
        <w:ind w:right="356" w:rightChars="127" w:firstLine="1606" w:firstLineChars="500"/>
        <w:rPr>
          <w:rFonts w:ascii="宋体" w:hAnsi="宋体"/>
          <w:b/>
          <w:color w:val="auto"/>
          <w:sz w:val="32"/>
          <w:szCs w:val="36"/>
        </w:rPr>
      </w:pPr>
    </w:p>
    <w:p>
      <w:pPr>
        <w:tabs>
          <w:tab w:val="left" w:pos="315"/>
          <w:tab w:val="left" w:pos="8820"/>
        </w:tabs>
        <w:spacing w:line="500" w:lineRule="exact"/>
        <w:ind w:right="356" w:rightChars="127" w:firstLine="1606" w:firstLineChars="500"/>
        <w:rPr>
          <w:rFonts w:ascii="宋体" w:hAnsi="宋体"/>
          <w:b/>
          <w:color w:val="auto"/>
          <w:sz w:val="32"/>
          <w:szCs w:val="36"/>
        </w:rPr>
      </w:pPr>
    </w:p>
    <w:p>
      <w:pPr>
        <w:tabs>
          <w:tab w:val="left" w:pos="315"/>
          <w:tab w:val="left" w:pos="8820"/>
        </w:tabs>
        <w:spacing w:line="500" w:lineRule="exact"/>
        <w:ind w:right="356" w:rightChars="127" w:firstLine="2731" w:firstLineChars="850"/>
        <w:rPr>
          <w:rFonts w:ascii="宋体" w:hAnsi="宋体"/>
          <w:b/>
          <w:color w:val="auto"/>
          <w:sz w:val="32"/>
          <w:szCs w:val="36"/>
        </w:rPr>
      </w:pPr>
    </w:p>
    <w:p>
      <w:pPr>
        <w:tabs>
          <w:tab w:val="left" w:pos="315"/>
          <w:tab w:val="left" w:pos="8820"/>
        </w:tabs>
        <w:spacing w:line="360" w:lineRule="auto"/>
        <w:ind w:right="356" w:rightChars="127"/>
        <w:jc w:val="center"/>
        <w:rPr>
          <w:rFonts w:ascii="宋体" w:hAnsi="宋体"/>
          <w:color w:val="auto"/>
          <w:sz w:val="32"/>
          <w:szCs w:val="32"/>
        </w:rPr>
      </w:pPr>
    </w:p>
    <w:p>
      <w:pPr>
        <w:tabs>
          <w:tab w:val="left" w:pos="315"/>
          <w:tab w:val="left" w:pos="8820"/>
        </w:tabs>
        <w:spacing w:line="360" w:lineRule="auto"/>
        <w:ind w:right="356" w:rightChars="127"/>
        <w:rPr>
          <w:rFonts w:ascii="宋体" w:hAnsi="宋体"/>
          <w:b/>
          <w:color w:val="auto"/>
          <w:sz w:val="32"/>
          <w:szCs w:val="32"/>
        </w:rPr>
      </w:pPr>
    </w:p>
    <w:p>
      <w:pPr>
        <w:tabs>
          <w:tab w:val="left" w:pos="315"/>
          <w:tab w:val="left" w:pos="8820"/>
        </w:tabs>
        <w:spacing w:line="360" w:lineRule="auto"/>
        <w:ind w:right="356" w:rightChars="127"/>
        <w:rPr>
          <w:rFonts w:hint="eastAsia" w:ascii="宋体" w:hAnsi="宋体"/>
          <w:b/>
          <w:sz w:val="32"/>
          <w:szCs w:val="32"/>
          <w:lang w:eastAsia="zh-CN"/>
        </w:rPr>
      </w:pPr>
      <w:r>
        <w:rPr>
          <w:rFonts w:hint="eastAsia" w:ascii="宋体" w:hAnsi="宋体"/>
          <w:b/>
          <w:sz w:val="32"/>
          <w:szCs w:val="32"/>
        </w:rPr>
        <w:t>项目编号：</w:t>
      </w:r>
      <w:r>
        <w:rPr>
          <w:rFonts w:hint="eastAsia" w:ascii="宋体" w:hAnsi="宋体"/>
          <w:b/>
          <w:sz w:val="32"/>
          <w:szCs w:val="32"/>
          <w:lang w:val="en-US" w:eastAsia="zh-CN"/>
        </w:rPr>
        <w:t>CG2020HGK100</w:t>
      </w:r>
    </w:p>
    <w:p>
      <w:pPr>
        <w:pStyle w:val="12"/>
        <w:spacing w:line="360" w:lineRule="auto"/>
        <w:ind w:left="2719" w:leftChars="971" w:firstLine="480" w:firstLineChars="150"/>
        <w:rPr>
          <w:rFonts w:ascii="宋体" w:hAnsi="宋体"/>
          <w:b w:val="0"/>
          <w:color w:val="auto"/>
          <w:sz w:val="32"/>
          <w:szCs w:val="32"/>
        </w:rPr>
      </w:pPr>
    </w:p>
    <w:p>
      <w:pPr>
        <w:pStyle w:val="12"/>
        <w:spacing w:line="360" w:lineRule="auto"/>
        <w:ind w:left="2719" w:leftChars="971" w:firstLine="480" w:firstLineChars="150"/>
        <w:rPr>
          <w:rFonts w:ascii="宋体" w:hAnsi="宋体"/>
          <w:b w:val="0"/>
          <w:color w:val="auto"/>
          <w:sz w:val="32"/>
          <w:szCs w:val="32"/>
        </w:rPr>
      </w:pPr>
      <w:bookmarkStart w:id="92" w:name="_GoBack"/>
      <w:bookmarkEnd w:id="92"/>
    </w:p>
    <w:p>
      <w:pPr>
        <w:tabs>
          <w:tab w:val="left" w:pos="315"/>
          <w:tab w:val="left" w:pos="8820"/>
        </w:tabs>
        <w:spacing w:line="360" w:lineRule="auto"/>
        <w:ind w:right="356" w:rightChars="127"/>
        <w:rPr>
          <w:rFonts w:hint="eastAsia" w:ascii="宋体" w:hAnsi="宋体" w:eastAsia="宋体"/>
          <w:b/>
          <w:sz w:val="32"/>
          <w:szCs w:val="32"/>
          <w:lang w:eastAsia="zh-CN"/>
        </w:rPr>
      </w:pPr>
      <w:r>
        <w:rPr>
          <w:rFonts w:hint="eastAsia" w:ascii="宋体" w:hAnsi="宋体"/>
          <w:b/>
          <w:sz w:val="32"/>
          <w:szCs w:val="32"/>
        </w:rPr>
        <w:t>采 购 人：鄂托克前旗民政局</w:t>
      </w:r>
    </w:p>
    <w:p>
      <w:pPr>
        <w:tabs>
          <w:tab w:val="left" w:pos="315"/>
          <w:tab w:val="left" w:pos="8820"/>
        </w:tabs>
        <w:spacing w:line="360" w:lineRule="auto"/>
        <w:ind w:right="356" w:rightChars="127"/>
        <w:rPr>
          <w:rFonts w:ascii="宋体" w:hAnsi="宋体"/>
          <w:b/>
          <w:sz w:val="32"/>
          <w:szCs w:val="32"/>
        </w:rPr>
      </w:pPr>
      <w:r>
        <w:rPr>
          <w:rFonts w:hint="eastAsia" w:ascii="宋体" w:hAnsi="宋体"/>
          <w:b/>
          <w:sz w:val="32"/>
          <w:szCs w:val="32"/>
          <w:lang w:eastAsia="zh-CN"/>
        </w:rPr>
        <w:t>采购</w:t>
      </w:r>
      <w:r>
        <w:rPr>
          <w:rFonts w:hint="eastAsia" w:ascii="宋体" w:hAnsi="宋体"/>
          <w:b/>
          <w:sz w:val="32"/>
          <w:szCs w:val="32"/>
        </w:rPr>
        <w:t>代理机构：内蒙古久诺项目管理有限公司</w:t>
      </w:r>
    </w:p>
    <w:p>
      <w:pPr>
        <w:pStyle w:val="12"/>
        <w:spacing w:line="360" w:lineRule="auto"/>
        <w:rPr>
          <w:rFonts w:ascii="宋体" w:hAnsi="宋体"/>
          <w:b w:val="0"/>
          <w:bCs/>
          <w:sz w:val="32"/>
          <w:szCs w:val="32"/>
        </w:rPr>
      </w:pPr>
      <w:r>
        <w:rPr>
          <w:rFonts w:hint="eastAsia" w:ascii="宋体" w:hAnsi="宋体"/>
          <w:b w:val="0"/>
          <w:bCs/>
          <w:sz w:val="32"/>
          <w:szCs w:val="32"/>
        </w:rPr>
        <w:t>日    期：20</w:t>
      </w:r>
      <w:r>
        <w:rPr>
          <w:rFonts w:hint="eastAsia" w:ascii="宋体" w:hAnsi="宋体"/>
          <w:b w:val="0"/>
          <w:bCs/>
          <w:sz w:val="32"/>
          <w:szCs w:val="32"/>
          <w:lang w:val="en-US" w:eastAsia="zh-CN"/>
        </w:rPr>
        <w:t>20</w:t>
      </w:r>
      <w:r>
        <w:rPr>
          <w:rFonts w:hint="eastAsia" w:ascii="宋体" w:hAnsi="宋体"/>
          <w:b w:val="0"/>
          <w:bCs/>
          <w:sz w:val="32"/>
          <w:szCs w:val="32"/>
        </w:rPr>
        <w:t>年</w:t>
      </w:r>
      <w:r>
        <w:rPr>
          <w:rFonts w:hint="eastAsia" w:ascii="宋体" w:hAnsi="宋体"/>
          <w:b w:val="0"/>
          <w:bCs/>
          <w:sz w:val="32"/>
          <w:szCs w:val="32"/>
          <w:lang w:val="en-US" w:eastAsia="zh-CN"/>
        </w:rPr>
        <w:t>04</w:t>
      </w:r>
      <w:r>
        <w:rPr>
          <w:rFonts w:hint="eastAsia" w:ascii="宋体" w:hAnsi="宋体"/>
          <w:b w:val="0"/>
          <w:bCs/>
          <w:sz w:val="32"/>
          <w:szCs w:val="32"/>
        </w:rPr>
        <w:t>月</w:t>
      </w:r>
      <w:r>
        <w:rPr>
          <w:rFonts w:hint="eastAsia" w:ascii="宋体" w:hAnsi="宋体"/>
          <w:b w:val="0"/>
          <w:bCs/>
          <w:sz w:val="32"/>
          <w:szCs w:val="32"/>
          <w:lang w:val="en-US" w:eastAsia="zh-CN"/>
        </w:rPr>
        <w:t>03</w:t>
      </w:r>
      <w:r>
        <w:rPr>
          <w:rFonts w:hint="eastAsia" w:ascii="宋体" w:hAnsi="宋体"/>
          <w:b w:val="0"/>
          <w:bCs/>
          <w:sz w:val="32"/>
          <w:szCs w:val="32"/>
        </w:rPr>
        <w:t>日</w:t>
      </w:r>
    </w:p>
    <w:p>
      <w:pPr>
        <w:pStyle w:val="12"/>
        <w:spacing w:line="360" w:lineRule="auto"/>
        <w:ind w:left="2719" w:leftChars="971" w:firstLine="480" w:firstLineChars="150"/>
        <w:rPr>
          <w:rFonts w:ascii="宋体" w:hAnsi="宋体"/>
          <w:b w:val="0"/>
          <w:color w:val="auto"/>
          <w:sz w:val="32"/>
          <w:szCs w:val="32"/>
        </w:rPr>
      </w:pPr>
    </w:p>
    <w:sdt>
      <w:sdtPr>
        <w:rPr>
          <w:rFonts w:ascii="宋体" w:hAnsi="宋体"/>
          <w:color w:val="auto"/>
          <w:kern w:val="0"/>
          <w:sz w:val="32"/>
          <w:szCs w:val="32"/>
        </w:rPr>
        <w:id w:val="147470574"/>
      </w:sdtPr>
      <w:sdtEndPr>
        <w:rPr>
          <w:rFonts w:ascii="宋体" w:hAnsi="宋体"/>
          <w:color w:val="auto"/>
          <w:kern w:val="0"/>
          <w:sz w:val="20"/>
          <w:szCs w:val="20"/>
        </w:rPr>
      </w:sdtEndPr>
      <w:sdtContent>
        <w:p>
          <w:pPr>
            <w:jc w:val="center"/>
            <w:rPr>
              <w:rFonts w:ascii="宋体" w:hAnsi="宋体"/>
              <w:color w:val="auto"/>
              <w:kern w:val="0"/>
              <w:sz w:val="32"/>
              <w:szCs w:val="32"/>
            </w:rPr>
          </w:pPr>
          <w:bookmarkStart w:id="0" w:name="_Toc27824_WPSOffice_Type1"/>
          <w:bookmarkStart w:id="1" w:name="_Toc497408657"/>
        </w:p>
        <w:p>
          <w:pPr>
            <w:jc w:val="center"/>
            <w:rPr>
              <w:color w:val="auto"/>
              <w:sz w:val="32"/>
              <w:szCs w:val="32"/>
            </w:rPr>
          </w:pPr>
          <w:r>
            <w:rPr>
              <w:rFonts w:ascii="宋体" w:hAnsi="宋体"/>
              <w:color w:val="auto"/>
              <w:sz w:val="32"/>
              <w:szCs w:val="32"/>
            </w:rPr>
            <w:t>目录</w:t>
          </w:r>
        </w:p>
        <w:p>
          <w:pPr>
            <w:pStyle w:val="74"/>
            <w:tabs>
              <w:tab w:val="right" w:leader="dot" w:pos="9412"/>
            </w:tabs>
            <w:rPr>
              <w:color w:val="auto"/>
              <w:sz w:val="32"/>
              <w:szCs w:val="32"/>
            </w:rPr>
          </w:pPr>
          <w:r>
            <w:rPr>
              <w:color w:val="auto"/>
            </w:rPr>
            <w:fldChar w:fldCharType="begin"/>
          </w:r>
          <w:r>
            <w:rPr>
              <w:color w:val="auto"/>
            </w:rPr>
            <w:instrText xml:space="preserve"> HYPERLINK \l "_Toc10609_WPSOffice_Level1" </w:instrText>
          </w:r>
          <w:r>
            <w:rPr>
              <w:color w:val="auto"/>
            </w:rPr>
            <w:fldChar w:fldCharType="separate"/>
          </w:r>
          <w:r>
            <w:rPr>
              <w:rFonts w:hint="eastAsia" w:ascii="宋体" w:hAnsi="宋体"/>
              <w:color w:val="auto"/>
              <w:sz w:val="32"/>
              <w:szCs w:val="32"/>
            </w:rPr>
            <w:t>第一章 招标公告</w:t>
          </w:r>
          <w:r>
            <w:rPr>
              <w:color w:val="auto"/>
              <w:sz w:val="32"/>
              <w:szCs w:val="32"/>
            </w:rPr>
            <w:tab/>
          </w:r>
          <w:r>
            <w:rPr>
              <w:rFonts w:hint="eastAsia"/>
              <w:color w:val="auto"/>
              <w:sz w:val="32"/>
              <w:szCs w:val="32"/>
            </w:rPr>
            <w:t xml:space="preserve"> 3</w:t>
          </w:r>
          <w:r>
            <w:rPr>
              <w:rFonts w:hint="eastAsia"/>
              <w:color w:val="auto"/>
              <w:sz w:val="32"/>
              <w:szCs w:val="32"/>
            </w:rPr>
            <w:fldChar w:fldCharType="end"/>
          </w:r>
        </w:p>
        <w:p>
          <w:pPr>
            <w:pStyle w:val="74"/>
            <w:tabs>
              <w:tab w:val="right" w:leader="dot" w:pos="9412"/>
            </w:tabs>
            <w:rPr>
              <w:color w:val="auto"/>
              <w:sz w:val="32"/>
              <w:szCs w:val="32"/>
            </w:rPr>
          </w:pPr>
          <w:r>
            <w:rPr>
              <w:color w:val="auto"/>
            </w:rPr>
            <w:fldChar w:fldCharType="begin"/>
          </w:r>
          <w:r>
            <w:rPr>
              <w:color w:val="auto"/>
            </w:rPr>
            <w:instrText xml:space="preserve"> HYPERLINK \l "_Toc27824_WPSOffice_Level1" </w:instrText>
          </w:r>
          <w:r>
            <w:rPr>
              <w:color w:val="auto"/>
            </w:rPr>
            <w:fldChar w:fldCharType="separate"/>
          </w:r>
          <w:r>
            <w:rPr>
              <w:rFonts w:hint="eastAsia" w:ascii="宋体" w:hAnsi="宋体"/>
              <w:color w:val="auto"/>
              <w:sz w:val="32"/>
              <w:szCs w:val="32"/>
            </w:rPr>
            <w:t>第二章 投标人须知</w:t>
          </w:r>
          <w:r>
            <w:rPr>
              <w:color w:val="auto"/>
              <w:sz w:val="32"/>
              <w:szCs w:val="32"/>
            </w:rPr>
            <w:tab/>
          </w:r>
          <w:r>
            <w:rPr>
              <w:rFonts w:hint="eastAsia"/>
              <w:color w:val="auto"/>
              <w:sz w:val="32"/>
              <w:szCs w:val="32"/>
            </w:rPr>
            <w:t>6</w:t>
          </w:r>
          <w:r>
            <w:rPr>
              <w:rFonts w:hint="eastAsia"/>
              <w:color w:val="auto"/>
              <w:sz w:val="32"/>
              <w:szCs w:val="32"/>
            </w:rPr>
            <w:fldChar w:fldCharType="end"/>
          </w:r>
        </w:p>
        <w:p>
          <w:pPr>
            <w:pStyle w:val="74"/>
            <w:tabs>
              <w:tab w:val="right" w:leader="dot" w:pos="9412"/>
            </w:tabs>
            <w:rPr>
              <w:color w:val="auto"/>
              <w:sz w:val="32"/>
              <w:szCs w:val="32"/>
            </w:rPr>
          </w:pPr>
          <w:r>
            <w:rPr>
              <w:color w:val="auto"/>
            </w:rPr>
            <w:fldChar w:fldCharType="begin"/>
          </w:r>
          <w:r>
            <w:rPr>
              <w:color w:val="auto"/>
            </w:rPr>
            <w:instrText xml:space="preserve"> HYPERLINK \l "_Toc6175_WPSOffice_Level1" </w:instrText>
          </w:r>
          <w:r>
            <w:rPr>
              <w:color w:val="auto"/>
            </w:rPr>
            <w:fldChar w:fldCharType="separate"/>
          </w:r>
          <w:r>
            <w:rPr>
              <w:rFonts w:hint="eastAsia" w:ascii="宋体" w:hAnsi="宋体" w:cs="宋体"/>
              <w:color w:val="auto"/>
              <w:sz w:val="32"/>
              <w:szCs w:val="32"/>
            </w:rPr>
            <w:t>第三章 合同与验收</w:t>
          </w:r>
          <w:r>
            <w:rPr>
              <w:color w:val="auto"/>
              <w:sz w:val="32"/>
              <w:szCs w:val="32"/>
            </w:rPr>
            <w:tab/>
          </w:r>
          <w:r>
            <w:rPr>
              <w:rFonts w:hint="eastAsia"/>
              <w:color w:val="auto"/>
              <w:sz w:val="32"/>
              <w:szCs w:val="32"/>
            </w:rPr>
            <w:t>1</w:t>
          </w:r>
          <w:r>
            <w:rPr>
              <w:rFonts w:hint="eastAsia"/>
              <w:color w:val="auto"/>
              <w:sz w:val="32"/>
              <w:szCs w:val="32"/>
            </w:rPr>
            <w:fldChar w:fldCharType="end"/>
          </w:r>
          <w:r>
            <w:rPr>
              <w:rFonts w:hint="eastAsia"/>
              <w:color w:val="auto"/>
              <w:sz w:val="32"/>
              <w:szCs w:val="32"/>
            </w:rPr>
            <w:t>8</w:t>
          </w:r>
        </w:p>
        <w:p>
          <w:pPr>
            <w:pStyle w:val="74"/>
            <w:tabs>
              <w:tab w:val="right" w:leader="dot" w:pos="9412"/>
            </w:tabs>
            <w:rPr>
              <w:color w:val="auto"/>
              <w:sz w:val="32"/>
              <w:szCs w:val="32"/>
            </w:rPr>
          </w:pPr>
          <w:r>
            <w:rPr>
              <w:color w:val="auto"/>
            </w:rPr>
            <w:fldChar w:fldCharType="begin"/>
          </w:r>
          <w:r>
            <w:rPr>
              <w:color w:val="auto"/>
            </w:rPr>
            <w:instrText xml:space="preserve"> HYPERLINK \l "_Toc29659_WPSOffice_Level1" </w:instrText>
          </w:r>
          <w:r>
            <w:rPr>
              <w:color w:val="auto"/>
            </w:rPr>
            <w:fldChar w:fldCharType="separate"/>
          </w:r>
          <w:r>
            <w:rPr>
              <w:rFonts w:hint="eastAsia" w:ascii="宋体" w:hAnsi="宋体"/>
              <w:color w:val="auto"/>
              <w:sz w:val="32"/>
              <w:szCs w:val="32"/>
            </w:rPr>
            <w:t>第四章 招标内容与技术要求</w:t>
          </w:r>
          <w:r>
            <w:rPr>
              <w:color w:val="auto"/>
              <w:sz w:val="32"/>
              <w:szCs w:val="32"/>
            </w:rPr>
            <w:tab/>
          </w:r>
          <w:r>
            <w:rPr>
              <w:rFonts w:hint="eastAsia"/>
              <w:color w:val="auto"/>
              <w:sz w:val="32"/>
              <w:szCs w:val="32"/>
            </w:rPr>
            <w:t>2</w:t>
          </w:r>
          <w:r>
            <w:rPr>
              <w:rFonts w:hint="eastAsia"/>
              <w:color w:val="auto"/>
              <w:sz w:val="32"/>
              <w:szCs w:val="32"/>
            </w:rPr>
            <w:fldChar w:fldCharType="end"/>
          </w:r>
          <w:r>
            <w:rPr>
              <w:rFonts w:hint="eastAsia"/>
              <w:color w:val="auto"/>
              <w:sz w:val="32"/>
              <w:szCs w:val="32"/>
            </w:rPr>
            <w:t>1</w:t>
          </w:r>
        </w:p>
        <w:p>
          <w:pPr>
            <w:pStyle w:val="74"/>
            <w:tabs>
              <w:tab w:val="right" w:leader="dot" w:pos="9412"/>
            </w:tabs>
            <w:rPr>
              <w:color w:val="auto"/>
              <w:sz w:val="32"/>
              <w:szCs w:val="32"/>
            </w:rPr>
          </w:pPr>
          <w:r>
            <w:rPr>
              <w:color w:val="auto"/>
            </w:rPr>
            <w:fldChar w:fldCharType="begin"/>
          </w:r>
          <w:r>
            <w:rPr>
              <w:color w:val="auto"/>
            </w:rPr>
            <w:instrText xml:space="preserve"> HYPERLINK \l "_Toc20924_WPSOffice_Level1" </w:instrText>
          </w:r>
          <w:r>
            <w:rPr>
              <w:color w:val="auto"/>
            </w:rPr>
            <w:fldChar w:fldCharType="separate"/>
          </w:r>
          <w:r>
            <w:rPr>
              <w:rFonts w:hint="eastAsia" w:ascii="宋体" w:hAnsi="宋体"/>
              <w:color w:val="auto"/>
              <w:sz w:val="32"/>
              <w:szCs w:val="32"/>
            </w:rPr>
            <w:t>第五章 投标人资格证明及相关文件要求</w:t>
          </w:r>
          <w:r>
            <w:rPr>
              <w:color w:val="auto"/>
              <w:sz w:val="32"/>
              <w:szCs w:val="32"/>
            </w:rPr>
            <w:tab/>
          </w:r>
          <w:r>
            <w:rPr>
              <w:rFonts w:hint="eastAsia"/>
              <w:color w:val="auto"/>
              <w:sz w:val="32"/>
              <w:szCs w:val="32"/>
            </w:rPr>
            <w:t>3</w:t>
          </w:r>
          <w:r>
            <w:rPr>
              <w:rFonts w:hint="eastAsia"/>
              <w:color w:val="auto"/>
              <w:sz w:val="32"/>
              <w:szCs w:val="32"/>
            </w:rPr>
            <w:fldChar w:fldCharType="end"/>
          </w:r>
          <w:r>
            <w:rPr>
              <w:rFonts w:hint="eastAsia"/>
              <w:color w:val="auto"/>
              <w:sz w:val="32"/>
              <w:szCs w:val="32"/>
            </w:rPr>
            <w:t>6</w:t>
          </w:r>
        </w:p>
        <w:p>
          <w:pPr>
            <w:pStyle w:val="74"/>
            <w:tabs>
              <w:tab w:val="right" w:leader="dot" w:pos="9412"/>
            </w:tabs>
            <w:rPr>
              <w:color w:val="auto"/>
              <w:sz w:val="32"/>
              <w:szCs w:val="32"/>
            </w:rPr>
          </w:pPr>
          <w:r>
            <w:rPr>
              <w:color w:val="auto"/>
            </w:rPr>
            <w:fldChar w:fldCharType="begin"/>
          </w:r>
          <w:r>
            <w:rPr>
              <w:color w:val="auto"/>
            </w:rPr>
            <w:instrText xml:space="preserve"> HYPERLINK \l "_Toc844_WPSOffice_Level1" </w:instrText>
          </w:r>
          <w:r>
            <w:rPr>
              <w:color w:val="auto"/>
            </w:rPr>
            <w:fldChar w:fldCharType="separate"/>
          </w:r>
          <w:r>
            <w:rPr>
              <w:rFonts w:hint="eastAsia" w:ascii="宋体" w:hAnsi="宋体"/>
              <w:color w:val="auto"/>
              <w:sz w:val="32"/>
              <w:szCs w:val="32"/>
            </w:rPr>
            <w:t>第六章 评标办法</w:t>
          </w:r>
          <w:r>
            <w:rPr>
              <w:color w:val="auto"/>
              <w:sz w:val="32"/>
              <w:szCs w:val="32"/>
            </w:rPr>
            <w:tab/>
          </w:r>
          <w:r>
            <w:rPr>
              <w:rFonts w:hint="eastAsia"/>
              <w:color w:val="auto"/>
              <w:sz w:val="32"/>
              <w:szCs w:val="32"/>
            </w:rPr>
            <w:t>3</w:t>
          </w:r>
          <w:r>
            <w:rPr>
              <w:rFonts w:hint="eastAsia"/>
              <w:color w:val="auto"/>
              <w:sz w:val="32"/>
              <w:szCs w:val="32"/>
            </w:rPr>
            <w:fldChar w:fldCharType="end"/>
          </w:r>
          <w:r>
            <w:rPr>
              <w:rFonts w:hint="eastAsia"/>
              <w:color w:val="auto"/>
              <w:sz w:val="32"/>
              <w:szCs w:val="32"/>
            </w:rPr>
            <w:t>8</w:t>
          </w:r>
        </w:p>
        <w:p>
          <w:pPr>
            <w:pStyle w:val="74"/>
            <w:tabs>
              <w:tab w:val="right" w:leader="dot" w:pos="9412"/>
            </w:tabs>
            <w:rPr>
              <w:color w:val="auto"/>
            </w:rPr>
          </w:pPr>
          <w:r>
            <w:rPr>
              <w:color w:val="auto"/>
            </w:rPr>
            <w:fldChar w:fldCharType="begin"/>
          </w:r>
          <w:r>
            <w:rPr>
              <w:color w:val="auto"/>
            </w:rPr>
            <w:instrText xml:space="preserve"> HYPERLINK \l "_Toc29111_WPSOffice_Level1" </w:instrText>
          </w:r>
          <w:r>
            <w:rPr>
              <w:color w:val="auto"/>
            </w:rPr>
            <w:fldChar w:fldCharType="separate"/>
          </w:r>
          <w:r>
            <w:rPr>
              <w:rFonts w:hint="eastAsia" w:ascii="宋体" w:hAnsi="宋体"/>
              <w:color w:val="auto"/>
              <w:sz w:val="32"/>
              <w:szCs w:val="32"/>
            </w:rPr>
            <w:t>第七章 投标文件格式与要求</w:t>
          </w:r>
          <w:r>
            <w:rPr>
              <w:color w:val="auto"/>
              <w:sz w:val="32"/>
              <w:szCs w:val="32"/>
            </w:rPr>
            <w:tab/>
          </w:r>
          <w:r>
            <w:rPr>
              <w:rFonts w:hint="eastAsia"/>
              <w:color w:val="auto"/>
              <w:sz w:val="32"/>
              <w:szCs w:val="32"/>
            </w:rPr>
            <w:t>4</w:t>
          </w:r>
          <w:r>
            <w:rPr>
              <w:rFonts w:hint="eastAsia"/>
              <w:color w:val="auto"/>
              <w:sz w:val="32"/>
              <w:szCs w:val="32"/>
            </w:rPr>
            <w:fldChar w:fldCharType="end"/>
          </w:r>
          <w:bookmarkEnd w:id="0"/>
          <w:r>
            <w:rPr>
              <w:rFonts w:hint="eastAsia"/>
              <w:color w:val="auto"/>
              <w:sz w:val="32"/>
              <w:szCs w:val="32"/>
            </w:rPr>
            <w:t>3</w:t>
          </w:r>
        </w:p>
        <w:p>
          <w:pPr>
            <w:pStyle w:val="74"/>
            <w:tabs>
              <w:tab w:val="right" w:leader="dot" w:pos="9412"/>
            </w:tabs>
            <w:rPr>
              <w:color w:val="auto"/>
            </w:rPr>
          </w:pPr>
        </w:p>
        <w:p>
          <w:pPr>
            <w:pStyle w:val="74"/>
            <w:tabs>
              <w:tab w:val="right" w:leader="dot" w:pos="9412"/>
            </w:tabs>
            <w:rPr>
              <w:color w:val="auto"/>
            </w:rPr>
          </w:pPr>
        </w:p>
        <w:p>
          <w:pPr>
            <w:pStyle w:val="74"/>
            <w:tabs>
              <w:tab w:val="right" w:leader="dot" w:pos="9412"/>
            </w:tabs>
            <w:rPr>
              <w:color w:val="auto"/>
            </w:rPr>
          </w:pPr>
        </w:p>
        <w:p>
          <w:pPr>
            <w:pStyle w:val="74"/>
            <w:tabs>
              <w:tab w:val="right" w:leader="dot" w:pos="9412"/>
            </w:tabs>
            <w:rPr>
              <w:color w:val="auto"/>
            </w:rPr>
          </w:pPr>
        </w:p>
        <w:p>
          <w:pPr>
            <w:pStyle w:val="74"/>
            <w:tabs>
              <w:tab w:val="right" w:leader="dot" w:pos="9412"/>
            </w:tabs>
            <w:rPr>
              <w:color w:val="auto"/>
            </w:rPr>
          </w:pPr>
        </w:p>
        <w:p>
          <w:pPr>
            <w:pStyle w:val="74"/>
            <w:tabs>
              <w:tab w:val="right" w:leader="dot" w:pos="9412"/>
            </w:tabs>
            <w:rPr>
              <w:color w:val="auto"/>
            </w:rPr>
          </w:pPr>
        </w:p>
        <w:p>
          <w:pPr>
            <w:pStyle w:val="74"/>
            <w:tabs>
              <w:tab w:val="right" w:leader="dot" w:pos="9412"/>
            </w:tabs>
            <w:rPr>
              <w:color w:val="auto"/>
            </w:rPr>
          </w:pPr>
        </w:p>
        <w:p>
          <w:pPr>
            <w:pStyle w:val="74"/>
            <w:tabs>
              <w:tab w:val="right" w:leader="dot" w:pos="9412"/>
            </w:tabs>
            <w:rPr>
              <w:color w:val="auto"/>
            </w:rPr>
          </w:pPr>
        </w:p>
        <w:p>
          <w:pPr>
            <w:pStyle w:val="74"/>
            <w:tabs>
              <w:tab w:val="right" w:leader="dot" w:pos="9412"/>
            </w:tabs>
            <w:rPr>
              <w:color w:val="auto"/>
            </w:rPr>
          </w:pPr>
        </w:p>
        <w:p>
          <w:pPr>
            <w:pStyle w:val="74"/>
            <w:tabs>
              <w:tab w:val="right" w:leader="dot" w:pos="9412"/>
            </w:tabs>
            <w:rPr>
              <w:color w:val="auto"/>
            </w:rPr>
          </w:pPr>
        </w:p>
        <w:p>
          <w:pPr>
            <w:pStyle w:val="74"/>
            <w:tabs>
              <w:tab w:val="right" w:leader="dot" w:pos="9412"/>
            </w:tabs>
            <w:rPr>
              <w:color w:val="auto"/>
            </w:rPr>
          </w:pPr>
        </w:p>
        <w:p>
          <w:pPr>
            <w:pStyle w:val="74"/>
            <w:tabs>
              <w:tab w:val="right" w:leader="dot" w:pos="9412"/>
            </w:tabs>
            <w:rPr>
              <w:color w:val="auto"/>
            </w:rPr>
          </w:pPr>
        </w:p>
        <w:p>
          <w:pPr>
            <w:pStyle w:val="74"/>
            <w:tabs>
              <w:tab w:val="right" w:leader="dot" w:pos="9412"/>
            </w:tabs>
            <w:rPr>
              <w:color w:val="auto"/>
            </w:rPr>
          </w:pPr>
        </w:p>
        <w:p>
          <w:pPr>
            <w:pStyle w:val="74"/>
            <w:tabs>
              <w:tab w:val="right" w:leader="dot" w:pos="9412"/>
            </w:tabs>
            <w:rPr>
              <w:color w:val="auto"/>
            </w:rPr>
          </w:pPr>
        </w:p>
        <w:p>
          <w:pPr>
            <w:pStyle w:val="74"/>
            <w:tabs>
              <w:tab w:val="right" w:leader="dot" w:pos="9412"/>
            </w:tabs>
            <w:rPr>
              <w:color w:val="auto"/>
            </w:rPr>
          </w:pPr>
        </w:p>
        <w:p>
          <w:pPr>
            <w:pStyle w:val="74"/>
            <w:tabs>
              <w:tab w:val="right" w:leader="dot" w:pos="9412"/>
            </w:tabs>
            <w:rPr>
              <w:color w:val="auto"/>
            </w:rPr>
          </w:pPr>
        </w:p>
        <w:p>
          <w:pPr>
            <w:pStyle w:val="74"/>
            <w:tabs>
              <w:tab w:val="right" w:leader="dot" w:pos="9412"/>
            </w:tabs>
            <w:rPr>
              <w:color w:val="auto"/>
            </w:rPr>
          </w:pPr>
        </w:p>
        <w:p>
          <w:pPr>
            <w:pStyle w:val="74"/>
            <w:tabs>
              <w:tab w:val="right" w:leader="dot" w:pos="9412"/>
            </w:tabs>
            <w:rPr>
              <w:color w:val="auto"/>
            </w:rPr>
          </w:pPr>
        </w:p>
        <w:p>
          <w:pPr>
            <w:pStyle w:val="74"/>
            <w:tabs>
              <w:tab w:val="right" w:leader="dot" w:pos="9412"/>
            </w:tabs>
            <w:rPr>
              <w:color w:val="auto"/>
            </w:rPr>
          </w:pPr>
        </w:p>
        <w:p>
          <w:pPr>
            <w:pStyle w:val="74"/>
            <w:tabs>
              <w:tab w:val="right" w:leader="dot" w:pos="9412"/>
            </w:tabs>
            <w:rPr>
              <w:color w:val="auto"/>
            </w:rPr>
          </w:pPr>
        </w:p>
        <w:p>
          <w:pPr>
            <w:pStyle w:val="74"/>
            <w:tabs>
              <w:tab w:val="right" w:leader="dot" w:pos="9412"/>
            </w:tabs>
            <w:rPr>
              <w:color w:val="auto"/>
            </w:rPr>
          </w:pPr>
        </w:p>
        <w:p>
          <w:pPr>
            <w:pStyle w:val="74"/>
            <w:tabs>
              <w:tab w:val="right" w:leader="dot" w:pos="9412"/>
            </w:tabs>
            <w:rPr>
              <w:color w:val="auto"/>
            </w:rPr>
          </w:pPr>
        </w:p>
        <w:p>
          <w:pPr>
            <w:pStyle w:val="74"/>
            <w:tabs>
              <w:tab w:val="right" w:leader="dot" w:pos="9412"/>
            </w:tabs>
            <w:rPr>
              <w:color w:val="auto"/>
            </w:rPr>
          </w:pPr>
        </w:p>
        <w:p>
          <w:pPr>
            <w:pStyle w:val="74"/>
            <w:tabs>
              <w:tab w:val="right" w:leader="dot" w:pos="9412"/>
            </w:tabs>
            <w:rPr>
              <w:color w:val="auto"/>
            </w:rPr>
          </w:pPr>
        </w:p>
        <w:p>
          <w:pPr>
            <w:pStyle w:val="74"/>
            <w:tabs>
              <w:tab w:val="right" w:leader="dot" w:pos="9412"/>
            </w:tabs>
            <w:rPr>
              <w:color w:val="auto"/>
            </w:rPr>
          </w:pPr>
        </w:p>
        <w:p>
          <w:pPr>
            <w:pStyle w:val="74"/>
            <w:tabs>
              <w:tab w:val="right" w:leader="dot" w:pos="9412"/>
            </w:tabs>
            <w:rPr>
              <w:color w:val="auto"/>
            </w:rPr>
          </w:pPr>
        </w:p>
        <w:p>
          <w:pPr>
            <w:pStyle w:val="74"/>
            <w:tabs>
              <w:tab w:val="right" w:leader="dot" w:pos="9412"/>
            </w:tabs>
            <w:rPr>
              <w:color w:val="auto"/>
            </w:rPr>
          </w:pPr>
        </w:p>
        <w:p>
          <w:pPr>
            <w:pStyle w:val="74"/>
            <w:tabs>
              <w:tab w:val="right" w:leader="dot" w:pos="9412"/>
            </w:tabs>
            <w:rPr>
              <w:color w:val="auto"/>
            </w:rPr>
          </w:pPr>
        </w:p>
      </w:sdtContent>
    </w:sdt>
    <w:p>
      <w:pPr>
        <w:jc w:val="center"/>
        <w:outlineLvl w:val="0"/>
        <w:rPr>
          <w:rFonts w:ascii="宋体" w:hAnsi="宋体"/>
          <w:b/>
          <w:color w:val="auto"/>
          <w:sz w:val="24"/>
          <w:szCs w:val="24"/>
        </w:rPr>
      </w:pPr>
      <w:bookmarkStart w:id="2" w:name="_Toc10609_WPSOffice_Level1"/>
      <w:r>
        <w:rPr>
          <w:rFonts w:hint="eastAsia" w:ascii="宋体" w:hAnsi="宋体"/>
          <w:b/>
          <w:color w:val="auto"/>
          <w:sz w:val="24"/>
          <w:szCs w:val="24"/>
        </w:rPr>
        <w:br w:type="page"/>
      </w:r>
    </w:p>
    <w:p>
      <w:pPr>
        <w:jc w:val="center"/>
        <w:outlineLvl w:val="0"/>
        <w:rPr>
          <w:rFonts w:ascii="宋体" w:hAnsi="宋体"/>
          <w:b/>
          <w:color w:val="auto"/>
          <w:sz w:val="24"/>
          <w:szCs w:val="24"/>
        </w:rPr>
      </w:pPr>
      <w:r>
        <w:rPr>
          <w:rFonts w:hint="eastAsia" w:ascii="宋体" w:hAnsi="宋体"/>
          <w:b/>
          <w:color w:val="auto"/>
          <w:sz w:val="24"/>
          <w:szCs w:val="24"/>
        </w:rPr>
        <w:t>第一章 招标公告</w:t>
      </w:r>
      <w:bookmarkEnd w:id="1"/>
      <w:bookmarkEnd w:id="2"/>
    </w:p>
    <w:p>
      <w:pPr>
        <w:spacing w:line="360" w:lineRule="auto"/>
        <w:ind w:firstLine="482" w:firstLineChars="200"/>
        <w:jc w:val="center"/>
        <w:rPr>
          <w:rFonts w:ascii="宋体" w:hAnsi="宋体"/>
          <w:b/>
          <w:color w:val="auto"/>
          <w:sz w:val="24"/>
          <w:szCs w:val="24"/>
        </w:rPr>
      </w:pPr>
      <w:r>
        <w:rPr>
          <w:rFonts w:hint="eastAsia" w:ascii="宋体" w:hAnsi="宋体"/>
          <w:b/>
          <w:color w:val="auto"/>
          <w:sz w:val="24"/>
          <w:szCs w:val="24"/>
          <w:lang w:eastAsia="zh-CN"/>
        </w:rPr>
        <w:t>鄂托克前旗民政局采购殡仪馆火化设备项目</w:t>
      </w:r>
      <w:r>
        <w:rPr>
          <w:rFonts w:hint="eastAsia" w:ascii="宋体" w:hAnsi="宋体"/>
          <w:b/>
          <w:color w:val="auto"/>
          <w:sz w:val="24"/>
          <w:szCs w:val="24"/>
        </w:rPr>
        <w:t>公开招标公告</w:t>
      </w:r>
    </w:p>
    <w:p>
      <w:pPr>
        <w:spacing w:line="360" w:lineRule="auto"/>
        <w:ind w:firstLine="600" w:firstLineChars="250"/>
        <w:rPr>
          <w:rFonts w:ascii="宋体" w:hAnsi="宋体"/>
          <w:color w:val="auto"/>
          <w:sz w:val="24"/>
          <w:szCs w:val="24"/>
        </w:rPr>
      </w:pPr>
      <w:r>
        <w:rPr>
          <w:rFonts w:hint="eastAsia" w:ascii="宋体" w:hAnsi="宋体"/>
          <w:color w:val="auto"/>
          <w:sz w:val="24"/>
          <w:szCs w:val="24"/>
          <w:lang w:eastAsia="zh-CN"/>
        </w:rPr>
        <w:t>内蒙古久诺项目管理有限公司</w:t>
      </w:r>
      <w:r>
        <w:rPr>
          <w:rFonts w:hint="eastAsia" w:ascii="宋体" w:hAnsi="宋体"/>
          <w:color w:val="auto"/>
          <w:sz w:val="24"/>
          <w:szCs w:val="24"/>
        </w:rPr>
        <w:t>受</w:t>
      </w:r>
      <w:r>
        <w:rPr>
          <w:rFonts w:hint="eastAsia" w:ascii="宋体" w:hAnsi="宋体"/>
          <w:color w:val="auto"/>
          <w:sz w:val="24"/>
          <w:szCs w:val="24"/>
          <w:lang w:eastAsia="zh-CN"/>
        </w:rPr>
        <w:t>鄂托克前旗民政局</w:t>
      </w:r>
      <w:r>
        <w:rPr>
          <w:rFonts w:hint="eastAsia" w:ascii="宋体" w:hAnsi="宋体"/>
          <w:color w:val="auto"/>
          <w:sz w:val="24"/>
          <w:szCs w:val="24"/>
        </w:rPr>
        <w:t>委托，按照采管办审批（公开招标）方式组织采购</w:t>
      </w:r>
      <w:r>
        <w:rPr>
          <w:rFonts w:hint="eastAsia" w:ascii="宋体" w:hAnsi="宋体"/>
          <w:color w:val="auto"/>
          <w:sz w:val="24"/>
          <w:szCs w:val="24"/>
          <w:lang w:eastAsia="zh-CN"/>
        </w:rPr>
        <w:t>鄂托克前旗民政局采购殡仪馆火化设备项目</w:t>
      </w:r>
      <w:r>
        <w:rPr>
          <w:rFonts w:hint="eastAsia" w:ascii="宋体" w:hAnsi="宋体"/>
          <w:color w:val="auto"/>
          <w:sz w:val="24"/>
          <w:szCs w:val="24"/>
        </w:rPr>
        <w:t>，欢迎符合资格条件的投标人前来报名参加。</w:t>
      </w:r>
    </w:p>
    <w:p>
      <w:pPr>
        <w:spacing w:line="360" w:lineRule="auto"/>
        <w:rPr>
          <w:rFonts w:ascii="宋体" w:hAnsi="宋体"/>
          <w:b/>
          <w:color w:val="auto"/>
          <w:sz w:val="24"/>
          <w:szCs w:val="24"/>
        </w:rPr>
      </w:pPr>
      <w:r>
        <w:rPr>
          <w:rFonts w:hint="eastAsia" w:ascii="宋体" w:hAnsi="宋体"/>
          <w:b/>
          <w:color w:val="auto"/>
          <w:sz w:val="24"/>
          <w:szCs w:val="24"/>
        </w:rPr>
        <w:t>一.项目概述</w:t>
      </w:r>
    </w:p>
    <w:p>
      <w:pPr>
        <w:pStyle w:val="59"/>
        <w:spacing w:line="360" w:lineRule="auto"/>
        <w:ind w:firstLine="480"/>
        <w:rPr>
          <w:rFonts w:ascii="宋体" w:hAnsi="宋体"/>
          <w:b/>
          <w:color w:val="auto"/>
          <w:sz w:val="24"/>
          <w:szCs w:val="24"/>
        </w:rPr>
      </w:pPr>
      <w:r>
        <w:rPr>
          <w:rFonts w:hint="eastAsia" w:ascii="宋体" w:hAnsi="宋体"/>
          <w:color w:val="auto"/>
          <w:sz w:val="24"/>
          <w:szCs w:val="24"/>
        </w:rPr>
        <w:t>1.名称与编号</w:t>
      </w:r>
    </w:p>
    <w:p>
      <w:pPr>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项目名称：</w:t>
      </w:r>
      <w:r>
        <w:rPr>
          <w:rFonts w:hint="eastAsia" w:ascii="宋体" w:hAnsi="宋体"/>
          <w:color w:val="auto"/>
          <w:sz w:val="24"/>
          <w:szCs w:val="24"/>
          <w:lang w:eastAsia="zh-CN"/>
        </w:rPr>
        <w:t>鄂托克前旗民政局采购殡仪馆火化设备项目</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批准文件编号：鄂</w:t>
      </w:r>
      <w:r>
        <w:rPr>
          <w:rFonts w:hint="eastAsia" w:ascii="宋体" w:hAnsi="宋体"/>
          <w:color w:val="auto"/>
          <w:sz w:val="24"/>
          <w:szCs w:val="24"/>
          <w:highlight w:val="none"/>
          <w:lang w:eastAsia="zh-CN"/>
        </w:rPr>
        <w:t>财购备</w:t>
      </w:r>
      <w:r>
        <w:rPr>
          <w:rFonts w:hint="eastAsia" w:ascii="宋体" w:hAnsi="宋体"/>
          <w:color w:val="auto"/>
          <w:sz w:val="24"/>
          <w:szCs w:val="24"/>
          <w:highlight w:val="none"/>
        </w:rPr>
        <w:t>字[20</w:t>
      </w:r>
      <w:r>
        <w:rPr>
          <w:rFonts w:hint="eastAsia" w:ascii="宋体" w:hAnsi="宋体"/>
          <w:color w:val="auto"/>
          <w:sz w:val="24"/>
          <w:szCs w:val="24"/>
          <w:highlight w:val="none"/>
          <w:lang w:val="en-US" w:eastAsia="zh-CN"/>
        </w:rPr>
        <w:t>20</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QQ00043</w:t>
      </w:r>
      <w:r>
        <w:rPr>
          <w:rFonts w:hint="eastAsia" w:ascii="宋体" w:hAnsi="宋体"/>
          <w:color w:val="auto"/>
          <w:sz w:val="24"/>
          <w:szCs w:val="24"/>
          <w:highlight w:val="none"/>
        </w:rPr>
        <w:t>号</w:t>
      </w:r>
    </w:p>
    <w:p>
      <w:pPr>
        <w:spacing w:line="360" w:lineRule="auto"/>
        <w:ind w:firstLine="480" w:firstLineChars="200"/>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采购文件编号：</w:t>
      </w:r>
      <w:r>
        <w:rPr>
          <w:rFonts w:hint="eastAsia" w:ascii="宋体" w:hAnsi="宋体"/>
          <w:color w:val="auto"/>
          <w:sz w:val="24"/>
          <w:szCs w:val="24"/>
          <w:highlight w:val="none"/>
          <w:lang w:val="en-US" w:eastAsia="zh-CN"/>
        </w:rPr>
        <w:t>CG2020HGK100</w:t>
      </w:r>
    </w:p>
    <w:p>
      <w:pPr>
        <w:numPr>
          <w:ilvl w:val="0"/>
          <w:numId w:val="2"/>
        </w:numPr>
        <w:spacing w:line="360" w:lineRule="auto"/>
        <w:ind w:firstLine="480" w:firstLineChars="200"/>
        <w:jc w:val="left"/>
        <w:rPr>
          <w:rFonts w:ascii="宋体" w:hAnsi="宋体"/>
          <w:color w:val="auto"/>
          <w:sz w:val="24"/>
          <w:szCs w:val="24"/>
        </w:rPr>
      </w:pPr>
      <w:r>
        <w:rPr>
          <w:rFonts w:hint="eastAsia" w:ascii="宋体" w:hAnsi="宋体"/>
          <w:color w:val="auto"/>
          <w:sz w:val="24"/>
          <w:szCs w:val="24"/>
        </w:rPr>
        <w:t>内容及分包情况（技术规格、参数及要求）</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312"/>
        <w:gridCol w:w="851"/>
        <w:gridCol w:w="1701"/>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auto"/>
                <w:sz w:val="24"/>
                <w:szCs w:val="24"/>
              </w:rPr>
            </w:pPr>
            <w:r>
              <w:rPr>
                <w:rFonts w:hint="eastAsia" w:ascii="宋体" w:hAnsi="宋体"/>
                <w:color w:val="auto"/>
                <w:sz w:val="24"/>
                <w:szCs w:val="24"/>
              </w:rPr>
              <w:t>序号</w:t>
            </w:r>
          </w:p>
        </w:tc>
        <w:tc>
          <w:tcPr>
            <w:tcW w:w="33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auto"/>
                <w:sz w:val="24"/>
                <w:szCs w:val="24"/>
              </w:rPr>
            </w:pPr>
            <w:r>
              <w:rPr>
                <w:rFonts w:hint="eastAsia" w:ascii="宋体" w:hAnsi="宋体"/>
                <w:color w:val="auto"/>
                <w:sz w:val="24"/>
                <w:szCs w:val="24"/>
              </w:rPr>
              <w:t>采购名称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auto"/>
                <w:sz w:val="24"/>
                <w:szCs w:val="24"/>
              </w:rPr>
            </w:pPr>
            <w:r>
              <w:rPr>
                <w:rFonts w:hint="eastAsia" w:ascii="宋体" w:hAnsi="宋体"/>
                <w:color w:val="auto"/>
                <w:sz w:val="24"/>
                <w:szCs w:val="24"/>
              </w:rPr>
              <w:t>数量</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auto"/>
                <w:sz w:val="24"/>
                <w:szCs w:val="24"/>
              </w:rPr>
            </w:pPr>
            <w:r>
              <w:rPr>
                <w:rFonts w:hint="eastAsia" w:ascii="宋体" w:hAnsi="宋体"/>
                <w:color w:val="auto"/>
                <w:sz w:val="24"/>
                <w:szCs w:val="24"/>
              </w:rPr>
              <w:t>采购需求</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auto"/>
                <w:sz w:val="24"/>
                <w:szCs w:val="24"/>
              </w:rPr>
            </w:pPr>
            <w:r>
              <w:rPr>
                <w:rFonts w:hint="eastAsia" w:ascii="宋体" w:hAnsi="宋体"/>
                <w:color w:val="auto"/>
                <w:sz w:val="24"/>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auto"/>
                <w:sz w:val="24"/>
                <w:szCs w:val="24"/>
              </w:rPr>
            </w:pPr>
            <w:r>
              <w:rPr>
                <w:rFonts w:hint="eastAsia" w:ascii="宋体" w:hAnsi="宋体"/>
                <w:color w:val="auto"/>
                <w:sz w:val="24"/>
                <w:szCs w:val="24"/>
              </w:rPr>
              <w:t>1</w:t>
            </w:r>
          </w:p>
        </w:tc>
        <w:tc>
          <w:tcPr>
            <w:tcW w:w="33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olor w:val="auto"/>
                <w:sz w:val="24"/>
                <w:szCs w:val="24"/>
                <w:lang w:eastAsia="zh-CN"/>
              </w:rPr>
            </w:pPr>
            <w:r>
              <w:rPr>
                <w:rFonts w:hint="eastAsia" w:ascii="宋体" w:hAnsi="宋体"/>
                <w:color w:val="auto"/>
                <w:sz w:val="24"/>
                <w:szCs w:val="24"/>
                <w:lang w:eastAsia="zh-CN"/>
              </w:rPr>
              <w:t>鄂托克前旗民政局采购殡仪馆火化设备项目</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auto"/>
                <w:sz w:val="24"/>
                <w:szCs w:val="24"/>
              </w:rPr>
            </w:pPr>
            <w:r>
              <w:rPr>
                <w:rFonts w:hint="eastAsia" w:ascii="宋体" w:hAnsi="宋体"/>
                <w:color w:val="auto"/>
                <w:sz w:val="24"/>
                <w:szCs w:val="24"/>
              </w:rPr>
              <w:t>1</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r>
              <w:rPr>
                <w:rFonts w:hint="eastAsia" w:ascii="宋体" w:hAnsi="宋体"/>
                <w:color w:val="auto"/>
                <w:sz w:val="24"/>
                <w:szCs w:val="24"/>
              </w:rPr>
              <w:t>详见招标文件</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olor w:val="auto"/>
                <w:sz w:val="24"/>
                <w:szCs w:val="24"/>
                <w:lang w:eastAsia="zh-CN"/>
              </w:rPr>
            </w:pPr>
            <w:r>
              <w:rPr>
                <w:rFonts w:hint="eastAsia"/>
                <w:color w:val="auto"/>
                <w:sz w:val="24"/>
                <w:szCs w:val="24"/>
                <w:lang w:eastAsia="zh-CN"/>
              </w:rPr>
              <w:t>3982300.00</w:t>
            </w:r>
          </w:p>
        </w:tc>
      </w:tr>
    </w:tbl>
    <w:p>
      <w:pPr>
        <w:spacing w:line="360" w:lineRule="auto"/>
        <w:ind w:firstLine="236" w:firstLineChars="98"/>
        <w:rPr>
          <w:rFonts w:ascii="宋体" w:hAnsi="宋体"/>
          <w:b/>
          <w:color w:val="auto"/>
          <w:sz w:val="24"/>
          <w:szCs w:val="24"/>
        </w:rPr>
      </w:pPr>
      <w:r>
        <w:rPr>
          <w:rFonts w:hint="eastAsia" w:ascii="宋体" w:hAnsi="宋体"/>
          <w:b/>
          <w:color w:val="auto"/>
          <w:sz w:val="24"/>
          <w:szCs w:val="24"/>
        </w:rPr>
        <w:t>二.投标人的资格要求</w:t>
      </w:r>
    </w:p>
    <w:p>
      <w:pPr>
        <w:spacing w:line="360" w:lineRule="auto"/>
        <w:ind w:firstLine="240" w:firstLineChars="100"/>
        <w:rPr>
          <w:rFonts w:ascii="宋体" w:hAnsi="宋体"/>
          <w:color w:val="auto"/>
          <w:sz w:val="24"/>
          <w:szCs w:val="24"/>
        </w:rPr>
      </w:pPr>
      <w:r>
        <w:rPr>
          <w:rFonts w:hint="eastAsia" w:ascii="宋体" w:hAnsi="宋体"/>
          <w:color w:val="auto"/>
          <w:sz w:val="24"/>
          <w:szCs w:val="24"/>
        </w:rPr>
        <w:t>1.投标人应符合《中华人民共和国政府采购法》第二十二条规定的条件。</w:t>
      </w:r>
    </w:p>
    <w:p>
      <w:pPr>
        <w:autoSpaceDE w:val="0"/>
        <w:autoSpaceDN w:val="0"/>
        <w:adjustRightInd w:val="0"/>
        <w:snapToGrid w:val="0"/>
        <w:spacing w:line="360" w:lineRule="auto"/>
        <w:ind w:right="32" w:firstLine="240" w:firstLineChars="100"/>
        <w:rPr>
          <w:rFonts w:ascii="宋体" w:hAnsi="宋体" w:cs="宋体"/>
          <w:color w:val="auto"/>
          <w:sz w:val="24"/>
          <w:szCs w:val="24"/>
        </w:rPr>
      </w:pPr>
      <w:r>
        <w:rPr>
          <w:rFonts w:hint="eastAsia" w:ascii="宋体" w:hAnsi="宋体"/>
          <w:color w:val="auto"/>
          <w:sz w:val="24"/>
          <w:szCs w:val="24"/>
        </w:rPr>
        <w:t>2.本项目不接受联合体投标。</w:t>
      </w:r>
    </w:p>
    <w:p>
      <w:pPr>
        <w:spacing w:line="360" w:lineRule="auto"/>
        <w:ind w:firstLine="236" w:firstLineChars="98"/>
        <w:rPr>
          <w:rFonts w:ascii="宋体" w:hAnsi="宋体"/>
          <w:color w:val="auto"/>
          <w:sz w:val="24"/>
          <w:szCs w:val="24"/>
        </w:rPr>
      </w:pPr>
      <w:r>
        <w:rPr>
          <w:rFonts w:hint="eastAsia" w:ascii="宋体" w:hAnsi="宋体"/>
          <w:b/>
          <w:color w:val="auto"/>
          <w:sz w:val="24"/>
          <w:szCs w:val="24"/>
        </w:rPr>
        <w:t>三.获取招标文件的时间、地点、方式</w:t>
      </w:r>
    </w:p>
    <w:p>
      <w:pPr>
        <w:spacing w:line="360" w:lineRule="auto"/>
        <w:ind w:firstLine="240" w:firstLineChars="100"/>
        <w:rPr>
          <w:rFonts w:hint="eastAsia" w:ascii="宋体" w:hAnsi="宋体" w:cs="Times New Roman"/>
          <w:color w:val="auto"/>
          <w:sz w:val="24"/>
          <w:szCs w:val="24"/>
        </w:rPr>
      </w:pPr>
      <w:r>
        <w:rPr>
          <w:rFonts w:hint="eastAsia" w:ascii="宋体" w:hAnsi="宋体" w:cs="Times New Roman"/>
          <w:color w:val="auto"/>
          <w:sz w:val="24"/>
          <w:szCs w:val="24"/>
        </w:rPr>
        <w:t>符合上述条件的投标人可于2020年0</w:t>
      </w:r>
      <w:r>
        <w:rPr>
          <w:rFonts w:hint="eastAsia" w:ascii="宋体" w:hAnsi="宋体" w:cs="Times New Roman"/>
          <w:color w:val="auto"/>
          <w:sz w:val="24"/>
          <w:szCs w:val="24"/>
          <w:lang w:val="en-US" w:eastAsia="zh-CN"/>
        </w:rPr>
        <w:t>4</w:t>
      </w:r>
      <w:r>
        <w:rPr>
          <w:rFonts w:hint="eastAsia" w:ascii="宋体" w:hAnsi="宋体" w:cs="Times New Roman"/>
          <w:color w:val="auto"/>
          <w:sz w:val="24"/>
          <w:szCs w:val="24"/>
        </w:rPr>
        <w:t>月</w:t>
      </w:r>
      <w:r>
        <w:rPr>
          <w:rFonts w:hint="eastAsia" w:ascii="宋体" w:hAnsi="宋体" w:cs="Times New Roman"/>
          <w:color w:val="auto"/>
          <w:sz w:val="24"/>
          <w:szCs w:val="24"/>
          <w:lang w:val="en-US" w:eastAsia="zh-CN"/>
        </w:rPr>
        <w:t>03</w:t>
      </w:r>
      <w:r>
        <w:rPr>
          <w:rFonts w:hint="eastAsia" w:ascii="宋体" w:hAnsi="宋体" w:cs="Times New Roman"/>
          <w:color w:val="auto"/>
          <w:sz w:val="24"/>
          <w:szCs w:val="24"/>
        </w:rPr>
        <w:t>日起登录内蒙古自治区政府采购网、内蒙古自治区公共资源交易网、鄂尔多斯市政府采购网或鄂尔多斯市鄂托克前旗公共资源交易网站获取招标文件。</w:t>
      </w:r>
    </w:p>
    <w:p>
      <w:pPr>
        <w:spacing w:line="360" w:lineRule="auto"/>
        <w:ind w:firstLine="240" w:firstLineChars="100"/>
        <w:rPr>
          <w:rFonts w:hint="eastAsia" w:ascii="宋体" w:hAnsi="宋体" w:cs="Times New Roman"/>
          <w:color w:val="auto"/>
          <w:sz w:val="24"/>
          <w:szCs w:val="24"/>
        </w:rPr>
      </w:pPr>
      <w:r>
        <w:rPr>
          <w:rFonts w:hint="eastAsia" w:ascii="宋体" w:hAnsi="宋体" w:cs="Times New Roman"/>
          <w:color w:val="auto"/>
          <w:sz w:val="24"/>
          <w:szCs w:val="24"/>
        </w:rPr>
        <w:t>1.内蒙古自治区政府采购网（http://www.nmgp.gov.cn）。登录网站页面，在“盟市旗县采购公告”中查询采购信息，点击信息公告页面下方的“相关附件”即可浏览、下载招标文件。</w:t>
      </w:r>
    </w:p>
    <w:p>
      <w:pPr>
        <w:spacing w:line="360" w:lineRule="auto"/>
        <w:ind w:firstLine="240" w:firstLineChars="100"/>
        <w:rPr>
          <w:rFonts w:hint="eastAsia" w:ascii="宋体" w:hAnsi="宋体" w:cs="Times New Roman"/>
          <w:color w:val="auto"/>
          <w:sz w:val="24"/>
          <w:szCs w:val="24"/>
        </w:rPr>
      </w:pPr>
      <w:r>
        <w:rPr>
          <w:rFonts w:hint="eastAsia" w:ascii="宋体" w:hAnsi="宋体" w:cs="Times New Roman"/>
          <w:color w:val="auto"/>
          <w:sz w:val="24"/>
          <w:szCs w:val="24"/>
        </w:rPr>
        <w:t>2.内蒙古自治区公共资源交易网（www.nmgggzyjy.gov.cn）。登录网站页面，在“政府采购采购公告”中查询采购信息。</w:t>
      </w:r>
    </w:p>
    <w:p>
      <w:pPr>
        <w:spacing w:line="360" w:lineRule="auto"/>
        <w:ind w:firstLine="240" w:firstLineChars="100"/>
        <w:rPr>
          <w:rFonts w:hint="eastAsia" w:ascii="宋体" w:hAnsi="宋体" w:cs="Times New Roman"/>
          <w:color w:val="auto"/>
          <w:sz w:val="24"/>
          <w:szCs w:val="24"/>
        </w:rPr>
      </w:pPr>
      <w:r>
        <w:rPr>
          <w:rFonts w:hint="eastAsia" w:ascii="宋体" w:hAnsi="宋体" w:cs="Times New Roman"/>
          <w:color w:val="auto"/>
          <w:sz w:val="24"/>
          <w:szCs w:val="24"/>
        </w:rPr>
        <w:t>3.鄂尔多斯市政府采购网（http://www.ordoscg.gov.cn）。登陆网站页面，点击“政府采购公告”，查询采购信息，点击信息公告页面中“下载招标文件”可浏览、下载招标文件。</w:t>
      </w:r>
    </w:p>
    <w:p>
      <w:pPr>
        <w:spacing w:line="360" w:lineRule="auto"/>
        <w:ind w:firstLine="240" w:firstLineChars="100"/>
        <w:rPr>
          <w:rFonts w:hint="eastAsia" w:ascii="宋体" w:hAnsi="宋体" w:cs="Times New Roman"/>
          <w:color w:val="auto"/>
          <w:sz w:val="24"/>
          <w:szCs w:val="24"/>
        </w:rPr>
      </w:pPr>
      <w:r>
        <w:rPr>
          <w:rFonts w:hint="eastAsia" w:ascii="宋体" w:hAnsi="宋体" w:cs="Times New Roman"/>
          <w:color w:val="auto"/>
          <w:sz w:val="24"/>
          <w:szCs w:val="24"/>
        </w:rPr>
        <w:t>4.鄂尔多斯市公共资源交易网（http://www.ordosggzyjy.org.cn）。登陆网站页面，点击“政府采购”中的“信息公告”栏，查询采购信息，点击信息公告页面左下角“附件”即可浏览、下载招标文件。</w:t>
      </w:r>
    </w:p>
    <w:p>
      <w:pPr>
        <w:spacing w:line="360" w:lineRule="auto"/>
        <w:ind w:firstLine="240" w:firstLineChars="100"/>
        <w:rPr>
          <w:rFonts w:hint="eastAsia" w:ascii="宋体" w:hAnsi="宋体" w:cs="Times New Roman"/>
          <w:color w:val="auto"/>
          <w:sz w:val="24"/>
          <w:szCs w:val="24"/>
        </w:rPr>
      </w:pPr>
      <w:r>
        <w:rPr>
          <w:rFonts w:hint="eastAsia" w:ascii="宋体" w:hAnsi="宋体" w:cs="Times New Roman"/>
          <w:color w:val="auto"/>
          <w:sz w:val="24"/>
          <w:szCs w:val="24"/>
        </w:rPr>
        <w:t>5. 鄂尔多斯市鄂托克前旗公共资源交易网（http://www.ordosggzyjy.org.cn/TPFront_etkqq/）。登陆网站页面，点击“政府采购”中的“信息公告”栏，查询采购信息,点击信息公告页面左下角“附件”即可浏览、下载招标文件。</w:t>
      </w:r>
    </w:p>
    <w:p>
      <w:pPr>
        <w:spacing w:line="360" w:lineRule="auto"/>
        <w:ind w:firstLine="240" w:firstLineChars="100"/>
        <w:rPr>
          <w:rFonts w:hint="eastAsia" w:ascii="宋体" w:hAnsi="宋体" w:cs="Times New Roman"/>
          <w:color w:val="auto"/>
          <w:sz w:val="24"/>
          <w:szCs w:val="24"/>
        </w:rPr>
      </w:pPr>
      <w:r>
        <w:rPr>
          <w:rFonts w:hint="eastAsia" w:ascii="宋体" w:hAnsi="宋体" w:cs="Times New Roman"/>
          <w:color w:val="auto"/>
          <w:sz w:val="24"/>
          <w:szCs w:val="24"/>
        </w:rPr>
        <w:t>6. 鄂托克前旗人民政府网（http://www.etkqq.gov.cn/）。登陆网站页面，点击“信息公开目录”栏，点击公共资源交易中心链接进入后，栏目右侧通知公告一栏中即可浏览采购公告、也可下载招标文件。</w:t>
      </w:r>
    </w:p>
    <w:p>
      <w:pPr>
        <w:spacing w:line="360" w:lineRule="auto"/>
        <w:ind w:firstLine="240" w:firstLineChars="100"/>
        <w:rPr>
          <w:rFonts w:hint="eastAsia" w:ascii="宋体" w:hAnsi="宋体" w:cs="Times New Roman"/>
          <w:color w:val="auto"/>
          <w:sz w:val="24"/>
          <w:szCs w:val="24"/>
        </w:rPr>
      </w:pPr>
      <w:r>
        <w:rPr>
          <w:rFonts w:hint="eastAsia" w:ascii="宋体" w:hAnsi="宋体" w:cs="Times New Roman"/>
          <w:color w:val="auto"/>
          <w:sz w:val="24"/>
          <w:szCs w:val="24"/>
        </w:rPr>
        <w:t>7.报名方式及报名时间</w:t>
      </w:r>
    </w:p>
    <w:p>
      <w:pPr>
        <w:pStyle w:val="16"/>
        <w:snapToGrid w:val="0"/>
        <w:spacing w:line="400" w:lineRule="exact"/>
        <w:ind w:firstLine="480"/>
        <w:rPr>
          <w:rFonts w:ascii="Times New Roman" w:hAnsi="Times New Roman" w:cs="Times New Roman"/>
          <w:b/>
          <w:kern w:val="2"/>
          <w:sz w:val="24"/>
          <w:szCs w:val="24"/>
        </w:rPr>
      </w:pPr>
      <w:r>
        <w:rPr>
          <w:rFonts w:ascii="Times New Roman" w:hAnsi="Times New Roman" w:cs="Times New Roman"/>
          <w:b/>
          <w:kern w:val="2"/>
          <w:sz w:val="24"/>
          <w:szCs w:val="24"/>
        </w:rPr>
        <w:t>1）报名方式流程如下：</w:t>
      </w:r>
    </w:p>
    <w:p>
      <w:pPr>
        <w:spacing w:line="360" w:lineRule="auto"/>
        <w:ind w:firstLine="240" w:firstLineChars="100"/>
        <w:rPr>
          <w:rFonts w:hint="eastAsia" w:ascii="宋体" w:hAnsi="宋体" w:cs="Times New Roman"/>
          <w:color w:val="auto"/>
          <w:sz w:val="24"/>
          <w:szCs w:val="24"/>
        </w:rPr>
      </w:pPr>
      <w:r>
        <w:rPr>
          <w:rFonts w:hint="eastAsia" w:ascii="宋体" w:hAnsi="宋体" w:cs="Times New Roman"/>
          <w:color w:val="auto"/>
          <w:sz w:val="24"/>
          <w:szCs w:val="24"/>
        </w:rPr>
        <w:t>1.1登录鄂尔多斯市公共资源交易网站（</w:t>
      </w:r>
      <w:r>
        <w:rPr>
          <w:rFonts w:hint="eastAsia" w:ascii="宋体" w:hAnsi="宋体" w:cs="Times New Roman"/>
          <w:color w:val="auto"/>
          <w:sz w:val="24"/>
          <w:szCs w:val="24"/>
        </w:rPr>
        <w:fldChar w:fldCharType="begin"/>
      </w:r>
      <w:r>
        <w:rPr>
          <w:rFonts w:hint="eastAsia" w:ascii="宋体" w:hAnsi="宋体" w:cs="Times New Roman"/>
          <w:color w:val="auto"/>
          <w:sz w:val="24"/>
          <w:szCs w:val="24"/>
        </w:rPr>
        <w:instrText xml:space="preserve"> HYPERLINK "http://www.ordosggzyjy.com/" </w:instrText>
      </w:r>
      <w:r>
        <w:rPr>
          <w:rFonts w:hint="eastAsia" w:ascii="宋体" w:hAnsi="宋体" w:cs="Times New Roman"/>
          <w:color w:val="auto"/>
          <w:sz w:val="24"/>
          <w:szCs w:val="24"/>
        </w:rPr>
        <w:fldChar w:fldCharType="separate"/>
      </w:r>
      <w:r>
        <w:rPr>
          <w:rFonts w:hint="eastAsia" w:ascii="宋体" w:hAnsi="宋体" w:cs="Times New Roman"/>
          <w:color w:val="auto"/>
          <w:sz w:val="24"/>
          <w:szCs w:val="24"/>
        </w:rPr>
        <w:t>http://www.ordosggzyjy.org.cn</w:t>
      </w:r>
      <w:r>
        <w:rPr>
          <w:rFonts w:hint="eastAsia" w:ascii="宋体" w:hAnsi="宋体" w:cs="Times New Roman"/>
          <w:color w:val="auto"/>
          <w:sz w:val="24"/>
          <w:szCs w:val="24"/>
        </w:rPr>
        <w:fldChar w:fldCharType="end"/>
      </w:r>
      <w:r>
        <w:rPr>
          <w:rFonts w:hint="eastAsia" w:ascii="宋体" w:hAnsi="宋体" w:cs="Times New Roman"/>
          <w:color w:val="auto"/>
          <w:sz w:val="24"/>
          <w:szCs w:val="24"/>
        </w:rPr>
        <w:t>）页面，点击“政府采购”中的“采购公告”栏，打开本项目的招标公告，点击公告页面下方的“企业报名”或“自然人报名”进入“投标项目信息”，填写“投标人信息”、“保证金缴纳开户行信息”、“分包信息”、“回执码找回信息填写”，按照页面提示点击“确认报名”，进入下一步“回执信息”页面并点击红色字体“点击此处”，在进入新页面中核对报名信息，并点击“保证金缴纳信息获取”处获取“保证金缴纳信息”。</w:t>
      </w:r>
    </w:p>
    <w:p>
      <w:pPr>
        <w:spacing w:line="360" w:lineRule="auto"/>
        <w:ind w:firstLine="240" w:firstLineChars="100"/>
        <w:rPr>
          <w:rFonts w:hint="eastAsia" w:ascii="宋体" w:hAnsi="宋体" w:cs="Times New Roman"/>
          <w:color w:val="auto"/>
          <w:sz w:val="24"/>
          <w:szCs w:val="24"/>
        </w:rPr>
      </w:pPr>
      <w:r>
        <w:rPr>
          <w:rFonts w:hint="eastAsia" w:ascii="宋体" w:hAnsi="宋体" w:cs="Times New Roman"/>
          <w:color w:val="auto"/>
          <w:sz w:val="24"/>
          <w:szCs w:val="24"/>
        </w:rPr>
        <w:t>1.2缴纳投标保证金。本招标项目采用“虚拟子账号”形式收退投标保证金，每一个投标人在所投的每一项目或标包会自动生成一个账号，称为“虚拟子账号”。投标人在进行投标信息确认后，应查看“保证金缴纳信息”下方所载明的账号，并按照招标文件规定的金额、时间电汇或转账至上述账号中，付款人名称必须为投标单位全称且与报名信息一致，该账号可以自动识别单位名称、缴纳金额金额是否正确，缴纳时间是否符合招标文件的规定，如果不符合，一律不予收取。  </w:t>
      </w:r>
    </w:p>
    <w:p>
      <w:pPr>
        <w:spacing w:line="360" w:lineRule="auto"/>
        <w:ind w:firstLine="240" w:firstLineChars="100"/>
        <w:rPr>
          <w:rFonts w:hint="eastAsia" w:ascii="宋体" w:hAnsi="宋体" w:cs="Times New Roman"/>
          <w:color w:val="auto"/>
          <w:sz w:val="24"/>
          <w:szCs w:val="24"/>
        </w:rPr>
      </w:pPr>
      <w:r>
        <w:rPr>
          <w:rFonts w:hint="eastAsia" w:ascii="宋体" w:hAnsi="宋体" w:cs="Times New Roman"/>
          <w:color w:val="auto"/>
          <w:sz w:val="24"/>
          <w:szCs w:val="24"/>
        </w:rPr>
        <w:t>1.3查看报名状况。用“回执码”登录可查看报名状况；只有“是否缴纳保证金”显示“已缴纳”，报名才能成功。</w:t>
      </w:r>
    </w:p>
    <w:p>
      <w:pPr>
        <w:spacing w:line="360" w:lineRule="auto"/>
        <w:ind w:firstLine="240" w:firstLineChars="100"/>
        <w:rPr>
          <w:rFonts w:hint="eastAsia" w:ascii="宋体" w:hAnsi="宋体" w:cs="Times New Roman"/>
          <w:color w:val="auto"/>
          <w:sz w:val="24"/>
          <w:szCs w:val="24"/>
        </w:rPr>
      </w:pPr>
      <w:r>
        <w:rPr>
          <w:rFonts w:hint="eastAsia" w:ascii="宋体" w:hAnsi="宋体" w:cs="Times New Roman"/>
          <w:color w:val="auto"/>
          <w:sz w:val="24"/>
          <w:szCs w:val="24"/>
        </w:rPr>
        <w:t>2）报名时间：2020年0</w:t>
      </w:r>
      <w:r>
        <w:rPr>
          <w:rFonts w:hint="eastAsia" w:ascii="宋体" w:hAnsi="宋体" w:cs="Times New Roman"/>
          <w:color w:val="auto"/>
          <w:sz w:val="24"/>
          <w:szCs w:val="24"/>
          <w:lang w:val="en-US" w:eastAsia="zh-CN"/>
        </w:rPr>
        <w:t>4</w:t>
      </w:r>
      <w:r>
        <w:rPr>
          <w:rFonts w:hint="eastAsia" w:ascii="宋体" w:hAnsi="宋体" w:cs="Times New Roman"/>
          <w:color w:val="auto"/>
          <w:sz w:val="24"/>
          <w:szCs w:val="24"/>
        </w:rPr>
        <w:t>月</w:t>
      </w:r>
      <w:r>
        <w:rPr>
          <w:rFonts w:hint="eastAsia" w:ascii="宋体" w:hAnsi="宋体" w:cs="Times New Roman"/>
          <w:color w:val="auto"/>
          <w:sz w:val="24"/>
          <w:szCs w:val="24"/>
          <w:lang w:val="en-US" w:eastAsia="zh-CN"/>
        </w:rPr>
        <w:t>03</w:t>
      </w:r>
      <w:r>
        <w:rPr>
          <w:rFonts w:hint="eastAsia" w:ascii="宋体" w:hAnsi="宋体" w:cs="Times New Roman"/>
          <w:color w:val="auto"/>
          <w:sz w:val="24"/>
          <w:szCs w:val="24"/>
        </w:rPr>
        <w:t>日至</w:t>
      </w:r>
      <w:r>
        <w:rPr>
          <w:rFonts w:hint="eastAsia" w:ascii="宋体" w:hAnsi="宋体" w:cs="Times New Roman"/>
          <w:color w:val="auto"/>
          <w:sz w:val="24"/>
          <w:szCs w:val="24"/>
          <w:lang w:eastAsia="zh-CN"/>
        </w:rPr>
        <w:t>2020年04月</w:t>
      </w:r>
      <w:r>
        <w:rPr>
          <w:rFonts w:hint="eastAsia" w:ascii="宋体" w:hAnsi="宋体" w:cs="Times New Roman"/>
          <w:color w:val="auto"/>
          <w:sz w:val="24"/>
          <w:szCs w:val="24"/>
          <w:lang w:val="en-US" w:eastAsia="zh-CN"/>
        </w:rPr>
        <w:t>13</w:t>
      </w:r>
      <w:r>
        <w:rPr>
          <w:rFonts w:hint="eastAsia" w:ascii="宋体" w:hAnsi="宋体" w:cs="Times New Roman"/>
          <w:color w:val="auto"/>
          <w:sz w:val="24"/>
          <w:szCs w:val="24"/>
          <w:lang w:eastAsia="zh-CN"/>
        </w:rPr>
        <w:t>日</w:t>
      </w:r>
      <w:r>
        <w:rPr>
          <w:rFonts w:hint="eastAsia" w:ascii="宋体" w:hAnsi="宋体" w:cs="Times New Roman"/>
          <w:color w:val="auto"/>
          <w:sz w:val="24"/>
          <w:szCs w:val="24"/>
        </w:rPr>
        <w:t xml:space="preserve"> 17点 30分</w:t>
      </w:r>
    </w:p>
    <w:p>
      <w:pPr>
        <w:spacing w:line="360" w:lineRule="auto"/>
        <w:ind w:firstLine="472" w:firstLineChars="196"/>
        <w:textAlignment w:val="baseline"/>
        <w:rPr>
          <w:rFonts w:ascii="宋体" w:hAnsi="宋体"/>
          <w:b/>
          <w:color w:val="auto"/>
          <w:sz w:val="24"/>
          <w:szCs w:val="24"/>
        </w:rPr>
      </w:pPr>
      <w:r>
        <w:rPr>
          <w:rFonts w:hint="eastAsia" w:ascii="宋体" w:hAnsi="宋体"/>
          <w:b/>
          <w:color w:val="auto"/>
          <w:sz w:val="24"/>
          <w:szCs w:val="24"/>
        </w:rPr>
        <w:t>四.采购文件售价</w:t>
      </w:r>
    </w:p>
    <w:p>
      <w:pPr>
        <w:pStyle w:val="80"/>
        <w:spacing w:line="360" w:lineRule="auto"/>
        <w:rPr>
          <w:rFonts w:ascii="宋体"/>
          <w:color w:val="auto"/>
          <w:sz w:val="24"/>
          <w:szCs w:val="24"/>
        </w:rPr>
      </w:pPr>
      <w:r>
        <w:rPr>
          <w:rFonts w:hint="eastAsia" w:ascii="宋体" w:hAnsi="宋体"/>
          <w:color w:val="auto"/>
          <w:sz w:val="24"/>
          <w:szCs w:val="24"/>
        </w:rPr>
        <w:t>本次招标文件的售价为：</w:t>
      </w:r>
      <w:r>
        <w:rPr>
          <w:rFonts w:hint="eastAsia" w:ascii="宋体" w:hAnsi="宋体" w:cs="宋体"/>
          <w:b/>
          <w:bCs/>
          <w:color w:val="auto"/>
          <w:sz w:val="24"/>
          <w:szCs w:val="24"/>
          <w:u w:val="single"/>
          <w:lang w:val="en-US" w:eastAsia="zh-CN"/>
        </w:rPr>
        <w:t>500</w:t>
      </w:r>
      <w:r>
        <w:rPr>
          <w:rFonts w:ascii="宋体" w:hAnsi="宋体" w:cs="宋体"/>
          <w:b/>
          <w:bCs/>
          <w:color w:val="auto"/>
          <w:sz w:val="24"/>
          <w:szCs w:val="24"/>
          <w:u w:val="single"/>
        </w:rPr>
        <w:t xml:space="preserve"> </w:t>
      </w:r>
      <w:r>
        <w:rPr>
          <w:rFonts w:hint="eastAsia" w:ascii="宋体" w:hAnsi="宋体"/>
          <w:color w:val="auto"/>
          <w:sz w:val="24"/>
          <w:szCs w:val="24"/>
        </w:rPr>
        <w:t>元人民币</w:t>
      </w:r>
      <w:r>
        <w:rPr>
          <w:rFonts w:ascii="宋体" w:hAnsi="宋体"/>
          <w:color w:val="auto"/>
          <w:sz w:val="24"/>
          <w:szCs w:val="24"/>
        </w:rPr>
        <w:t>,</w:t>
      </w:r>
      <w:r>
        <w:rPr>
          <w:rFonts w:hint="eastAsia" w:ascii="宋体" w:hAnsi="宋体"/>
          <w:color w:val="auto"/>
          <w:sz w:val="24"/>
          <w:szCs w:val="24"/>
        </w:rPr>
        <w:t>文件费在开标现场交纳给采购代理机构，售后不退。拒不交纳者将不予接收响应文件。</w:t>
      </w:r>
    </w:p>
    <w:p>
      <w:pPr>
        <w:spacing w:line="360" w:lineRule="auto"/>
        <w:ind w:firstLine="472" w:firstLineChars="196"/>
        <w:rPr>
          <w:rFonts w:ascii="宋体" w:hAnsi="宋体"/>
          <w:b/>
          <w:color w:val="auto"/>
          <w:sz w:val="24"/>
          <w:szCs w:val="24"/>
        </w:rPr>
      </w:pPr>
      <w:r>
        <w:rPr>
          <w:rFonts w:hint="eastAsia" w:ascii="宋体" w:hAnsi="宋体"/>
          <w:b/>
          <w:color w:val="auto"/>
          <w:sz w:val="24"/>
          <w:szCs w:val="24"/>
        </w:rPr>
        <w:t>五.递交投标（响应）文件截止时间、开标时间及地点</w:t>
      </w:r>
    </w:p>
    <w:p>
      <w:pPr>
        <w:spacing w:line="360" w:lineRule="auto"/>
        <w:ind w:firstLine="480" w:firstLineChars="200"/>
        <w:rPr>
          <w:rFonts w:ascii="宋体" w:hAnsi="宋体"/>
          <w:color w:val="auto"/>
          <w:sz w:val="24"/>
          <w:szCs w:val="24"/>
        </w:rPr>
      </w:pPr>
      <w:r>
        <w:rPr>
          <w:rFonts w:hint="eastAsia" w:ascii="宋体" w:hAnsi="宋体"/>
          <w:color w:val="auto"/>
          <w:sz w:val="24"/>
          <w:szCs w:val="24"/>
        </w:rPr>
        <w:t>递交投标（响应）文件截止时间：</w:t>
      </w:r>
      <w:r>
        <w:rPr>
          <w:rFonts w:hint="eastAsia" w:ascii="宋体" w:hAnsi="宋体"/>
          <w:color w:val="auto"/>
          <w:sz w:val="24"/>
          <w:szCs w:val="24"/>
          <w:lang w:eastAsia="zh-CN"/>
        </w:rPr>
        <w:t>20</w:t>
      </w:r>
      <w:r>
        <w:rPr>
          <w:rFonts w:hint="eastAsia" w:ascii="宋体" w:hAnsi="宋体"/>
          <w:color w:val="auto"/>
          <w:sz w:val="24"/>
          <w:szCs w:val="24"/>
          <w:lang w:val="en-US" w:eastAsia="zh-CN"/>
        </w:rPr>
        <w:t>20</w:t>
      </w:r>
      <w:r>
        <w:rPr>
          <w:rFonts w:hint="eastAsia" w:ascii="宋体" w:hAnsi="宋体"/>
          <w:color w:val="auto"/>
          <w:sz w:val="24"/>
          <w:szCs w:val="24"/>
          <w:lang w:eastAsia="zh-CN"/>
        </w:rPr>
        <w:t>年</w:t>
      </w:r>
      <w:r>
        <w:rPr>
          <w:rFonts w:hint="eastAsia" w:ascii="宋体" w:hAnsi="宋体"/>
          <w:color w:val="auto"/>
          <w:sz w:val="24"/>
          <w:szCs w:val="24"/>
          <w:lang w:val="en-US" w:eastAsia="zh-CN"/>
        </w:rPr>
        <w:t>04</w:t>
      </w:r>
      <w:r>
        <w:rPr>
          <w:rFonts w:hint="eastAsia" w:ascii="宋体" w:hAnsi="宋体"/>
          <w:color w:val="auto"/>
          <w:sz w:val="24"/>
          <w:szCs w:val="24"/>
          <w:lang w:eastAsia="zh-CN"/>
        </w:rPr>
        <w:t>月</w:t>
      </w:r>
      <w:r>
        <w:rPr>
          <w:rFonts w:hint="eastAsia" w:ascii="宋体" w:hAnsi="宋体"/>
          <w:color w:val="auto"/>
          <w:sz w:val="24"/>
          <w:szCs w:val="24"/>
          <w:lang w:val="en-US" w:eastAsia="zh-CN"/>
        </w:rPr>
        <w:t>24</w:t>
      </w:r>
      <w:r>
        <w:rPr>
          <w:rFonts w:hint="eastAsia" w:ascii="宋体" w:hAnsi="宋体"/>
          <w:color w:val="auto"/>
          <w:sz w:val="24"/>
          <w:szCs w:val="24"/>
          <w:lang w:eastAsia="zh-CN"/>
        </w:rPr>
        <w:t>日下</w:t>
      </w:r>
      <w:r>
        <w:rPr>
          <w:rFonts w:hint="eastAsia" w:ascii="宋体" w:hAnsi="宋体"/>
          <w:color w:val="auto"/>
          <w:sz w:val="24"/>
          <w:szCs w:val="24"/>
        </w:rPr>
        <w:t>午</w:t>
      </w:r>
      <w:r>
        <w:rPr>
          <w:rFonts w:hint="eastAsia" w:ascii="宋体" w:hAnsi="宋体"/>
          <w:color w:val="auto"/>
          <w:sz w:val="24"/>
          <w:szCs w:val="24"/>
          <w:lang w:val="en-US" w:eastAsia="zh-CN"/>
        </w:rPr>
        <w:t>15</w:t>
      </w:r>
      <w:r>
        <w:rPr>
          <w:rFonts w:hint="eastAsia" w:ascii="宋体" w:hAnsi="宋体"/>
          <w:color w:val="auto"/>
          <w:sz w:val="24"/>
          <w:szCs w:val="24"/>
        </w:rPr>
        <w:t>时</w:t>
      </w:r>
      <w:r>
        <w:rPr>
          <w:rFonts w:hint="eastAsia" w:ascii="宋体" w:hAnsi="宋体"/>
          <w:color w:val="auto"/>
          <w:sz w:val="24"/>
          <w:szCs w:val="24"/>
          <w:lang w:val="en-US" w:eastAsia="zh-CN"/>
        </w:rPr>
        <w:t>00</w:t>
      </w:r>
      <w:r>
        <w:rPr>
          <w:rFonts w:hint="eastAsia" w:ascii="宋体" w:hAnsi="宋体"/>
          <w:color w:val="auto"/>
          <w:sz w:val="24"/>
          <w:szCs w:val="24"/>
        </w:rPr>
        <w:t>分</w:t>
      </w:r>
    </w:p>
    <w:p>
      <w:pPr>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投标地点：</w:t>
      </w:r>
      <w:r>
        <w:rPr>
          <w:rFonts w:hint="eastAsia" w:ascii="宋体" w:hAnsi="宋体"/>
          <w:color w:val="auto"/>
          <w:sz w:val="24"/>
          <w:szCs w:val="24"/>
          <w:lang w:eastAsia="zh-CN"/>
        </w:rPr>
        <w:t>鄂托克前旗公共资源交易中心开标二室（鄂托克前旗公园西路文化产业园东区C2座）</w:t>
      </w:r>
    </w:p>
    <w:p>
      <w:pPr>
        <w:spacing w:line="360" w:lineRule="auto"/>
        <w:ind w:firstLine="480" w:firstLineChars="200"/>
        <w:rPr>
          <w:rFonts w:ascii="宋体" w:hAnsi="宋体"/>
          <w:color w:val="0000FF"/>
          <w:sz w:val="24"/>
          <w:szCs w:val="24"/>
        </w:rPr>
      </w:pPr>
      <w:r>
        <w:rPr>
          <w:rFonts w:hint="eastAsia" w:ascii="宋体" w:hAnsi="宋体"/>
          <w:color w:val="auto"/>
          <w:sz w:val="24"/>
          <w:szCs w:val="24"/>
        </w:rPr>
        <w:t>开标时间：</w:t>
      </w:r>
      <w:r>
        <w:rPr>
          <w:rFonts w:hint="eastAsia" w:ascii="宋体" w:hAnsi="宋体"/>
          <w:color w:val="auto"/>
          <w:sz w:val="24"/>
          <w:szCs w:val="24"/>
          <w:lang w:eastAsia="zh-CN"/>
        </w:rPr>
        <w:t>20</w:t>
      </w:r>
      <w:r>
        <w:rPr>
          <w:rFonts w:hint="eastAsia" w:ascii="宋体" w:hAnsi="宋体"/>
          <w:color w:val="auto"/>
          <w:sz w:val="24"/>
          <w:szCs w:val="24"/>
          <w:lang w:val="en-US" w:eastAsia="zh-CN"/>
        </w:rPr>
        <w:t>20</w:t>
      </w:r>
      <w:r>
        <w:rPr>
          <w:rFonts w:hint="eastAsia" w:ascii="宋体" w:hAnsi="宋体"/>
          <w:color w:val="auto"/>
          <w:sz w:val="24"/>
          <w:szCs w:val="24"/>
          <w:lang w:eastAsia="zh-CN"/>
        </w:rPr>
        <w:t>年</w:t>
      </w:r>
      <w:r>
        <w:rPr>
          <w:rFonts w:hint="eastAsia" w:ascii="宋体" w:hAnsi="宋体"/>
          <w:color w:val="auto"/>
          <w:sz w:val="24"/>
          <w:szCs w:val="24"/>
          <w:lang w:val="en-US" w:eastAsia="zh-CN"/>
        </w:rPr>
        <w:t>04</w:t>
      </w:r>
      <w:r>
        <w:rPr>
          <w:rFonts w:hint="eastAsia" w:ascii="宋体" w:hAnsi="宋体"/>
          <w:color w:val="auto"/>
          <w:sz w:val="24"/>
          <w:szCs w:val="24"/>
          <w:lang w:eastAsia="zh-CN"/>
        </w:rPr>
        <w:t>月</w:t>
      </w:r>
      <w:r>
        <w:rPr>
          <w:rFonts w:hint="eastAsia" w:ascii="宋体" w:hAnsi="宋体"/>
          <w:color w:val="auto"/>
          <w:sz w:val="24"/>
          <w:szCs w:val="24"/>
          <w:lang w:val="en-US" w:eastAsia="zh-CN"/>
        </w:rPr>
        <w:t>24</w:t>
      </w:r>
      <w:r>
        <w:rPr>
          <w:rFonts w:hint="eastAsia" w:ascii="宋体" w:hAnsi="宋体"/>
          <w:color w:val="auto"/>
          <w:sz w:val="24"/>
          <w:szCs w:val="24"/>
          <w:lang w:eastAsia="zh-CN"/>
        </w:rPr>
        <w:t>日下</w:t>
      </w:r>
      <w:r>
        <w:rPr>
          <w:rFonts w:hint="eastAsia" w:ascii="宋体" w:hAnsi="宋体"/>
          <w:color w:val="auto"/>
          <w:sz w:val="24"/>
          <w:szCs w:val="24"/>
        </w:rPr>
        <w:t>午</w:t>
      </w:r>
      <w:r>
        <w:rPr>
          <w:rFonts w:hint="eastAsia" w:ascii="宋体" w:hAnsi="宋体"/>
          <w:color w:val="auto"/>
          <w:sz w:val="24"/>
          <w:szCs w:val="24"/>
          <w:lang w:val="en-US" w:eastAsia="zh-CN"/>
        </w:rPr>
        <w:t>15</w:t>
      </w:r>
      <w:r>
        <w:rPr>
          <w:rFonts w:hint="eastAsia" w:ascii="宋体" w:hAnsi="宋体"/>
          <w:color w:val="auto"/>
          <w:sz w:val="24"/>
          <w:szCs w:val="24"/>
        </w:rPr>
        <w:t>时</w:t>
      </w:r>
      <w:r>
        <w:rPr>
          <w:rFonts w:hint="eastAsia" w:ascii="宋体" w:hAnsi="宋体"/>
          <w:color w:val="auto"/>
          <w:sz w:val="24"/>
          <w:szCs w:val="24"/>
          <w:lang w:val="en-US" w:eastAsia="zh-CN"/>
        </w:rPr>
        <w:t>00</w:t>
      </w:r>
      <w:r>
        <w:rPr>
          <w:rFonts w:hint="eastAsia" w:ascii="宋体" w:hAnsi="宋体"/>
          <w:color w:val="auto"/>
          <w:sz w:val="24"/>
          <w:szCs w:val="24"/>
        </w:rPr>
        <w:t>分</w:t>
      </w:r>
    </w:p>
    <w:p>
      <w:pPr>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开标地点：</w:t>
      </w:r>
      <w:r>
        <w:rPr>
          <w:rFonts w:hint="eastAsia" w:ascii="宋体" w:hAnsi="宋体"/>
          <w:color w:val="auto"/>
          <w:sz w:val="24"/>
          <w:szCs w:val="24"/>
          <w:lang w:eastAsia="zh-CN"/>
        </w:rPr>
        <w:t>鄂托克前旗公共资源交易中心开标二室（鄂托克前旗公园西路文化产业园东区C2座）</w:t>
      </w:r>
    </w:p>
    <w:p>
      <w:pPr>
        <w:numPr>
          <w:ilvl w:val="0"/>
          <w:numId w:val="3"/>
        </w:numPr>
        <w:spacing w:line="360" w:lineRule="auto"/>
        <w:ind w:firstLine="354" w:firstLineChars="147"/>
        <w:rPr>
          <w:rFonts w:ascii="宋体" w:hAnsi="宋体"/>
          <w:b/>
          <w:color w:val="auto"/>
          <w:sz w:val="24"/>
          <w:szCs w:val="24"/>
        </w:rPr>
      </w:pPr>
      <w:r>
        <w:rPr>
          <w:rFonts w:hint="eastAsia" w:ascii="宋体" w:hAnsi="宋体"/>
          <w:b/>
          <w:color w:val="auto"/>
          <w:sz w:val="24"/>
          <w:szCs w:val="24"/>
        </w:rPr>
        <w:t>联系方式</w:t>
      </w:r>
    </w:p>
    <w:p>
      <w:pPr>
        <w:pStyle w:val="59"/>
        <w:spacing w:line="360" w:lineRule="auto"/>
        <w:ind w:left="420" w:firstLine="120" w:firstLineChars="50"/>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采购人：</w:t>
      </w:r>
      <w:r>
        <w:rPr>
          <w:rFonts w:hint="eastAsia" w:asciiTheme="minorEastAsia" w:hAnsiTheme="minorEastAsia" w:eastAsiaTheme="minorEastAsia"/>
          <w:color w:val="auto"/>
          <w:sz w:val="24"/>
          <w:szCs w:val="24"/>
          <w:lang w:eastAsia="zh-CN"/>
        </w:rPr>
        <w:t>鄂托克前旗民政局</w:t>
      </w:r>
    </w:p>
    <w:p>
      <w:pPr>
        <w:pStyle w:val="59"/>
        <w:shd w:val="clear" w:color="auto" w:fill="FFFFFF"/>
        <w:spacing w:line="360" w:lineRule="auto"/>
        <w:ind w:left="420" w:firstLine="120" w:firstLineChars="5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邮政编码：016200</w:t>
      </w:r>
    </w:p>
    <w:p>
      <w:pPr>
        <w:pStyle w:val="12"/>
        <w:shd w:val="clear" w:color="auto" w:fill="FFFFFF"/>
        <w:spacing w:line="360" w:lineRule="auto"/>
        <w:ind w:firstLine="480" w:firstLineChars="200"/>
        <w:rPr>
          <w:rFonts w:hint="default" w:asciiTheme="minorEastAsia" w:hAnsiTheme="minorEastAsia" w:eastAsiaTheme="minorEastAsia"/>
          <w:b w:val="0"/>
          <w:color w:val="auto"/>
          <w:sz w:val="24"/>
          <w:szCs w:val="24"/>
          <w:lang w:val="en-US" w:eastAsia="zh-CN"/>
        </w:rPr>
      </w:pPr>
      <w:r>
        <w:rPr>
          <w:rFonts w:hint="eastAsia" w:asciiTheme="minorEastAsia" w:hAnsiTheme="minorEastAsia" w:eastAsiaTheme="minorEastAsia"/>
          <w:b w:val="0"/>
          <w:color w:val="auto"/>
          <w:sz w:val="24"/>
          <w:szCs w:val="24"/>
        </w:rPr>
        <w:t>联系人：</w:t>
      </w:r>
      <w:r>
        <w:rPr>
          <w:rFonts w:hint="eastAsia" w:asciiTheme="minorEastAsia" w:hAnsiTheme="minorEastAsia" w:eastAsiaTheme="minorEastAsia"/>
          <w:b w:val="0"/>
          <w:color w:val="auto"/>
          <w:sz w:val="24"/>
          <w:szCs w:val="24"/>
          <w:lang w:eastAsia="zh-CN"/>
        </w:rPr>
        <w:t>张世荣</w:t>
      </w:r>
      <w:r>
        <w:rPr>
          <w:rFonts w:hint="eastAsia" w:asciiTheme="minorEastAsia" w:hAnsiTheme="minorEastAsia" w:eastAsiaTheme="minorEastAsia"/>
          <w:b w:val="0"/>
          <w:color w:val="auto"/>
          <w:sz w:val="24"/>
          <w:szCs w:val="24"/>
        </w:rPr>
        <w:t xml:space="preserve">    联系电话：</w:t>
      </w:r>
      <w:r>
        <w:rPr>
          <w:rFonts w:hint="eastAsia" w:asciiTheme="minorEastAsia" w:hAnsiTheme="minorEastAsia" w:eastAsiaTheme="minorEastAsia"/>
          <w:b w:val="0"/>
          <w:color w:val="auto"/>
          <w:sz w:val="24"/>
          <w:szCs w:val="24"/>
          <w:lang w:val="en-US" w:eastAsia="zh-CN"/>
        </w:rPr>
        <w:t>13134888858</w:t>
      </w:r>
    </w:p>
    <w:p>
      <w:pPr>
        <w:pStyle w:val="12"/>
        <w:shd w:val="clear" w:color="auto" w:fill="FFFFFF"/>
        <w:spacing w:line="360" w:lineRule="auto"/>
        <w:ind w:left="480" w:hanging="480" w:hangingChars="200"/>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    地址：鄂托克前旗敖勒召其镇 </w:t>
      </w:r>
      <w:r>
        <w:rPr>
          <w:rFonts w:ascii="宋体" w:hAnsi="宋体" w:cs="宋体"/>
          <w:color w:val="auto"/>
          <w:sz w:val="24"/>
          <w:szCs w:val="24"/>
        </w:rPr>
        <w:br w:type="textWrapping"/>
      </w:r>
      <w:r>
        <w:rPr>
          <w:rFonts w:hint="eastAsia" w:asciiTheme="minorEastAsia" w:hAnsiTheme="minorEastAsia" w:eastAsiaTheme="minorEastAsia"/>
          <w:b w:val="0"/>
          <w:color w:val="auto"/>
          <w:sz w:val="24"/>
          <w:szCs w:val="24"/>
        </w:rPr>
        <w:t>采购代理机构</w:t>
      </w:r>
      <w:r>
        <w:rPr>
          <w:rFonts w:asciiTheme="minorEastAsia" w:hAnsiTheme="minorEastAsia" w:eastAsiaTheme="minorEastAsia"/>
          <w:b w:val="0"/>
          <w:color w:val="auto"/>
          <w:sz w:val="24"/>
          <w:szCs w:val="24"/>
        </w:rPr>
        <w:t xml:space="preserve">: </w:t>
      </w:r>
      <w:r>
        <w:rPr>
          <w:rFonts w:hint="eastAsia" w:asciiTheme="minorEastAsia" w:hAnsiTheme="minorEastAsia" w:eastAsiaTheme="minorEastAsia"/>
          <w:b w:val="0"/>
          <w:color w:val="auto"/>
          <w:sz w:val="24"/>
          <w:szCs w:val="24"/>
          <w:lang w:eastAsia="zh-CN"/>
        </w:rPr>
        <w:t>内蒙古久诺项目管理有限公司</w:t>
      </w:r>
      <w:r>
        <w:rPr>
          <w:rFonts w:asciiTheme="minorEastAsia" w:hAnsiTheme="minorEastAsia" w:eastAsiaTheme="minorEastAsia"/>
          <w:b w:val="0"/>
          <w:color w:val="auto"/>
          <w:sz w:val="24"/>
          <w:szCs w:val="24"/>
        </w:rPr>
        <w:t xml:space="preserve">  </w:t>
      </w:r>
    </w:p>
    <w:p>
      <w:pPr>
        <w:pStyle w:val="59"/>
        <w:widowControl/>
        <w:shd w:val="clear" w:color="auto" w:fill="FFFFFF"/>
        <w:spacing w:line="360" w:lineRule="auto"/>
        <w:ind w:left="420" w:firstLine="0" w:firstLineChars="0"/>
        <w:jc w:val="left"/>
        <w:rPr>
          <w:rFonts w:ascii="宋体" w:hAnsi="宋体" w:cs="宋体"/>
          <w:color w:val="auto"/>
          <w:kern w:val="0"/>
          <w:sz w:val="24"/>
          <w:szCs w:val="24"/>
        </w:rPr>
      </w:pPr>
      <w:r>
        <w:rPr>
          <w:rFonts w:hint="eastAsia" w:ascii="宋体" w:hAnsi="宋体" w:cs="宋体"/>
          <w:color w:val="auto"/>
          <w:kern w:val="0"/>
          <w:sz w:val="24"/>
          <w:szCs w:val="24"/>
        </w:rPr>
        <w:t>邮政编码：</w:t>
      </w:r>
      <w:r>
        <w:rPr>
          <w:rFonts w:hint="eastAsia" w:ascii="宋体" w:hAnsi="宋体" w:cs="宋体"/>
          <w:color w:val="auto"/>
          <w:kern w:val="0"/>
          <w:sz w:val="24"/>
          <w:szCs w:val="24"/>
          <w:lang w:val="en-US" w:eastAsia="zh-CN"/>
        </w:rPr>
        <w:t>017000</w:t>
      </w:r>
      <w:r>
        <w:rPr>
          <w:rFonts w:ascii="宋体" w:hAnsi="宋体" w:cs="宋体"/>
          <w:color w:val="auto"/>
          <w:kern w:val="0"/>
          <w:sz w:val="24"/>
          <w:szCs w:val="24"/>
        </w:rPr>
        <w:t>        </w:t>
      </w:r>
    </w:p>
    <w:p>
      <w:pPr>
        <w:pStyle w:val="59"/>
        <w:widowControl/>
        <w:shd w:val="clear" w:color="auto" w:fill="FFFFFF"/>
        <w:spacing w:line="360" w:lineRule="auto"/>
        <w:ind w:left="420" w:firstLine="0" w:firstLineChars="0"/>
        <w:jc w:val="lef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联系人：雷晓燕</w:t>
      </w:r>
      <w:r>
        <w:rPr>
          <w:rFonts w:ascii="宋体" w:cs="宋体"/>
          <w:color w:val="auto"/>
          <w:kern w:val="0"/>
          <w:sz w:val="24"/>
          <w:szCs w:val="24"/>
        </w:rPr>
        <w:t>   </w:t>
      </w:r>
      <w:r>
        <w:rPr>
          <w:rFonts w:hint="eastAsia" w:ascii="宋体" w:hAnsi="宋体" w:cs="宋体"/>
          <w:color w:val="auto"/>
          <w:kern w:val="0"/>
          <w:sz w:val="24"/>
          <w:szCs w:val="24"/>
        </w:rPr>
        <w:t>电话：</w:t>
      </w:r>
      <w:r>
        <w:rPr>
          <w:rFonts w:hint="eastAsia" w:ascii="宋体" w:hAnsi="宋体" w:cs="宋体"/>
          <w:kern w:val="0"/>
          <w:sz w:val="24"/>
          <w:szCs w:val="24"/>
        </w:rPr>
        <w:t>15934973738</w:t>
      </w:r>
    </w:p>
    <w:p>
      <w:pPr>
        <w:pStyle w:val="59"/>
        <w:widowControl/>
        <w:shd w:val="clear" w:color="auto" w:fill="FFFFFF"/>
        <w:spacing w:line="360" w:lineRule="auto"/>
        <w:ind w:left="420" w:firstLine="0" w:firstLineChars="0"/>
        <w:jc w:val="left"/>
        <w:rPr>
          <w:rFonts w:ascii="宋体" w:cs="宋体"/>
          <w:color w:val="auto"/>
          <w:kern w:val="0"/>
          <w:sz w:val="24"/>
          <w:szCs w:val="24"/>
        </w:rPr>
      </w:pPr>
      <w:r>
        <w:rPr>
          <w:rFonts w:hint="eastAsia" w:ascii="宋体" w:hAnsi="宋体" w:cs="宋体"/>
          <w:color w:val="auto"/>
          <w:kern w:val="0"/>
          <w:sz w:val="24"/>
          <w:szCs w:val="24"/>
        </w:rPr>
        <w:t>地址：</w:t>
      </w:r>
      <w:r>
        <w:rPr>
          <w:rFonts w:hint="eastAsia" w:asciiTheme="minorEastAsia" w:hAnsiTheme="minorEastAsia" w:eastAsiaTheme="minorEastAsia"/>
          <w:sz w:val="24"/>
          <w:szCs w:val="24"/>
        </w:rPr>
        <w:t>鄂尔多斯市东胜区亿昌商务楼13楼1307室</w:t>
      </w:r>
    </w:p>
    <w:p>
      <w:pPr>
        <w:spacing w:line="360" w:lineRule="auto"/>
        <w:ind w:firstLine="4680" w:firstLineChars="1950"/>
        <w:rPr>
          <w:rFonts w:hint="eastAsia" w:ascii="宋体" w:hAnsi="宋体" w:eastAsia="宋体"/>
          <w:color w:val="auto"/>
          <w:sz w:val="24"/>
          <w:szCs w:val="24"/>
          <w:lang w:eastAsia="zh-CN"/>
        </w:rPr>
      </w:pPr>
      <w:r>
        <w:rPr>
          <w:rFonts w:hint="eastAsia" w:ascii="宋体" w:hAnsi="宋体"/>
          <w:color w:val="auto"/>
          <w:sz w:val="24"/>
          <w:szCs w:val="24"/>
          <w:lang w:val="en-US" w:eastAsia="zh-CN"/>
        </w:rPr>
        <w:t>2020</w:t>
      </w:r>
      <w:r>
        <w:rPr>
          <w:rFonts w:hint="eastAsia" w:ascii="宋体" w:hAnsi="宋体"/>
          <w:color w:val="auto"/>
          <w:sz w:val="24"/>
          <w:szCs w:val="24"/>
          <w:lang w:eastAsia="zh-CN"/>
        </w:rPr>
        <w:t>年</w:t>
      </w:r>
      <w:r>
        <w:rPr>
          <w:rFonts w:hint="eastAsia" w:ascii="宋体" w:hAnsi="宋体"/>
          <w:color w:val="auto"/>
          <w:sz w:val="24"/>
          <w:szCs w:val="24"/>
          <w:lang w:val="en-US" w:eastAsia="zh-CN"/>
        </w:rPr>
        <w:t>04</w:t>
      </w:r>
      <w:r>
        <w:rPr>
          <w:rFonts w:hint="eastAsia" w:ascii="宋体" w:hAnsi="宋体"/>
          <w:color w:val="auto"/>
          <w:sz w:val="24"/>
          <w:szCs w:val="24"/>
          <w:lang w:eastAsia="zh-CN"/>
        </w:rPr>
        <w:t>月</w:t>
      </w:r>
      <w:r>
        <w:rPr>
          <w:rFonts w:hint="eastAsia" w:ascii="宋体" w:hAnsi="宋体"/>
          <w:color w:val="auto"/>
          <w:sz w:val="24"/>
          <w:szCs w:val="24"/>
          <w:lang w:val="en-US" w:eastAsia="zh-CN"/>
        </w:rPr>
        <w:t>03</w:t>
      </w:r>
      <w:r>
        <w:rPr>
          <w:rFonts w:hint="eastAsia" w:ascii="宋体" w:hAnsi="宋体"/>
          <w:color w:val="auto"/>
          <w:sz w:val="24"/>
          <w:szCs w:val="24"/>
          <w:lang w:eastAsia="zh-CN"/>
        </w:rPr>
        <w:t>日</w:t>
      </w:r>
    </w:p>
    <w:p>
      <w:pPr>
        <w:spacing w:line="360" w:lineRule="auto"/>
        <w:rPr>
          <w:rFonts w:ascii="宋体" w:hAnsi="宋体"/>
          <w:b/>
          <w:color w:val="auto"/>
          <w:sz w:val="24"/>
          <w:szCs w:val="24"/>
        </w:rPr>
      </w:pPr>
      <w:r>
        <w:rPr>
          <w:rFonts w:ascii="宋体" w:hAnsi="宋体"/>
          <w:b/>
          <w:color w:val="auto"/>
          <w:sz w:val="24"/>
          <w:szCs w:val="24"/>
        </w:rPr>
        <w:br w:type="page"/>
      </w:r>
    </w:p>
    <w:p>
      <w:pPr>
        <w:spacing w:line="360" w:lineRule="auto"/>
        <w:jc w:val="center"/>
        <w:outlineLvl w:val="0"/>
        <w:rPr>
          <w:rFonts w:ascii="宋体" w:hAnsi="宋体"/>
          <w:b/>
          <w:color w:val="auto"/>
          <w:sz w:val="24"/>
          <w:szCs w:val="24"/>
        </w:rPr>
      </w:pPr>
      <w:bookmarkStart w:id="3" w:name="_Toc27824_WPSOffice_Level1"/>
      <w:bookmarkStart w:id="4" w:name="_Toc497408658"/>
      <w:r>
        <w:rPr>
          <w:rFonts w:hint="eastAsia" w:ascii="宋体" w:hAnsi="宋体"/>
          <w:b/>
          <w:color w:val="auto"/>
          <w:sz w:val="24"/>
          <w:szCs w:val="24"/>
        </w:rPr>
        <w:t>第二章 投标人须知</w:t>
      </w:r>
      <w:bookmarkEnd w:id="3"/>
      <w:bookmarkEnd w:id="4"/>
    </w:p>
    <w:p>
      <w:pPr>
        <w:spacing w:line="360" w:lineRule="auto"/>
        <w:rPr>
          <w:rFonts w:ascii="宋体" w:hAnsi="宋体"/>
          <w:b/>
          <w:color w:val="auto"/>
          <w:sz w:val="24"/>
          <w:szCs w:val="24"/>
        </w:rPr>
      </w:pPr>
      <w:r>
        <w:rPr>
          <w:rFonts w:hint="eastAsia" w:ascii="宋体" w:hAnsi="宋体"/>
          <w:b/>
          <w:color w:val="auto"/>
          <w:sz w:val="24"/>
          <w:szCs w:val="24"/>
        </w:rPr>
        <w:t>一.前附表</w:t>
      </w:r>
    </w:p>
    <w:tbl>
      <w:tblPr>
        <w:tblStyle w:val="27"/>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62"/>
        <w:gridCol w:w="2351"/>
        <w:gridCol w:w="65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序号</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条款名称</w:t>
            </w:r>
          </w:p>
        </w:tc>
        <w:tc>
          <w:tcPr>
            <w:tcW w:w="6515"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840" w:firstLineChars="350"/>
              <w:rPr>
                <w:rFonts w:ascii="宋体" w:hAnsi="宋体"/>
                <w:color w:val="auto"/>
                <w:sz w:val="24"/>
                <w:szCs w:val="24"/>
              </w:rPr>
            </w:pPr>
            <w:r>
              <w:rPr>
                <w:rFonts w:hint="eastAsia" w:ascii="宋体" w:hAnsi="宋体"/>
                <w:color w:val="auto"/>
                <w:sz w:val="24"/>
                <w:szCs w:val="24"/>
              </w:rPr>
              <w:t>采购人</w:t>
            </w:r>
          </w:p>
        </w:tc>
        <w:tc>
          <w:tcPr>
            <w:tcW w:w="651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鄂托克前旗民政局</w:t>
            </w:r>
          </w:p>
          <w:p>
            <w:pPr>
              <w:spacing w:line="360" w:lineRule="auto"/>
              <w:jc w:val="left"/>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联系人：</w:t>
            </w:r>
            <w:r>
              <w:rPr>
                <w:rFonts w:hint="eastAsia" w:asciiTheme="minorEastAsia" w:hAnsiTheme="minorEastAsia" w:eastAsiaTheme="minorEastAsia"/>
                <w:b w:val="0"/>
                <w:color w:val="auto"/>
                <w:sz w:val="24"/>
                <w:szCs w:val="24"/>
                <w:lang w:eastAsia="zh-CN"/>
              </w:rPr>
              <w:t>张世荣</w:t>
            </w:r>
          </w:p>
          <w:p>
            <w:pPr>
              <w:spacing w:line="360" w:lineRule="auto"/>
              <w:jc w:val="left"/>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联系电话：</w:t>
            </w:r>
            <w:r>
              <w:rPr>
                <w:rFonts w:hint="eastAsia" w:asciiTheme="minorEastAsia" w:hAnsiTheme="minorEastAsia" w:eastAsiaTheme="minorEastAsia"/>
                <w:b w:val="0"/>
                <w:color w:val="auto"/>
                <w:sz w:val="24"/>
                <w:szCs w:val="24"/>
                <w:lang w:val="en-US" w:eastAsia="zh-CN"/>
              </w:rPr>
              <w:t>13134888858</w:t>
            </w:r>
          </w:p>
          <w:p>
            <w:pPr>
              <w:spacing w:line="360" w:lineRule="auto"/>
              <w:jc w:val="left"/>
              <w:rPr>
                <w:rFonts w:ascii="宋体" w:hAnsi="宋体"/>
                <w:color w:val="auto"/>
                <w:sz w:val="24"/>
                <w:szCs w:val="24"/>
              </w:rPr>
            </w:pPr>
            <w:r>
              <w:rPr>
                <w:rFonts w:hint="eastAsia" w:ascii="宋体" w:hAnsi="宋体"/>
                <w:color w:val="auto"/>
                <w:sz w:val="24"/>
                <w:szCs w:val="24"/>
              </w:rPr>
              <w:t>地址：</w:t>
            </w:r>
            <w:r>
              <w:rPr>
                <w:rFonts w:hint="eastAsia" w:asciiTheme="minorEastAsia" w:hAnsiTheme="minorEastAsia" w:eastAsiaTheme="minorEastAsia"/>
                <w:color w:val="auto"/>
                <w:sz w:val="24"/>
                <w:szCs w:val="24"/>
              </w:rPr>
              <w:t>鄂托克前旗敖勒召其镇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2</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采购代理机构</w:t>
            </w:r>
          </w:p>
        </w:tc>
        <w:tc>
          <w:tcPr>
            <w:tcW w:w="6515"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内蒙古久诺项目管理有限公司</w:t>
            </w:r>
          </w:p>
          <w:p>
            <w:pPr>
              <w:spacing w:line="360" w:lineRule="auto"/>
              <w:ind w:right="-140" w:rightChars="-50"/>
              <w:rPr>
                <w:rFonts w:ascii="宋体" w:hAnsi="宋体"/>
                <w:sz w:val="24"/>
                <w:szCs w:val="24"/>
              </w:rPr>
            </w:pPr>
            <w:r>
              <w:rPr>
                <w:rFonts w:hint="eastAsia" w:ascii="宋体" w:hAnsi="宋体"/>
                <w:sz w:val="24"/>
                <w:szCs w:val="24"/>
              </w:rPr>
              <w:t>联系人：</w:t>
            </w:r>
            <w:r>
              <w:rPr>
                <w:rFonts w:hint="eastAsia" w:ascii="宋体" w:hAnsi="宋体" w:cs="宋体"/>
                <w:kern w:val="0"/>
                <w:sz w:val="24"/>
                <w:szCs w:val="24"/>
              </w:rPr>
              <w:t>雷晓燕</w:t>
            </w:r>
            <w:r>
              <w:rPr>
                <w:rFonts w:hint="eastAsia" w:ascii="宋体" w:hAnsi="宋体"/>
                <w:sz w:val="24"/>
                <w:szCs w:val="24"/>
              </w:rPr>
              <w:t xml:space="preserve">     </w:t>
            </w:r>
          </w:p>
          <w:p>
            <w:pPr>
              <w:spacing w:line="360" w:lineRule="auto"/>
              <w:ind w:right="-140" w:rightChars="-50"/>
              <w:rPr>
                <w:rFonts w:ascii="宋体" w:hAnsi="宋体"/>
                <w:sz w:val="24"/>
                <w:szCs w:val="24"/>
              </w:rPr>
            </w:pPr>
            <w:r>
              <w:rPr>
                <w:rFonts w:hint="eastAsia" w:ascii="宋体" w:hAnsi="宋体"/>
                <w:sz w:val="24"/>
                <w:szCs w:val="24"/>
              </w:rPr>
              <w:t>联系电话：</w:t>
            </w:r>
            <w:r>
              <w:rPr>
                <w:rFonts w:hint="eastAsia" w:ascii="宋体" w:hAnsi="宋体" w:cs="宋体"/>
                <w:kern w:val="0"/>
                <w:sz w:val="24"/>
                <w:szCs w:val="24"/>
              </w:rPr>
              <w:t>15934973738</w:t>
            </w:r>
          </w:p>
          <w:p>
            <w:pPr>
              <w:widowControl/>
              <w:shd w:val="clear" w:color="auto" w:fill="FFFFFF"/>
              <w:spacing w:line="360" w:lineRule="auto"/>
              <w:jc w:val="left"/>
              <w:rPr>
                <w:rFonts w:ascii="宋体" w:cs="宋体"/>
                <w:color w:val="auto"/>
                <w:kern w:val="0"/>
                <w:sz w:val="24"/>
                <w:szCs w:val="24"/>
              </w:rPr>
            </w:pPr>
            <w:r>
              <w:rPr>
                <w:rFonts w:hint="eastAsia" w:ascii="宋体" w:hAnsi="宋体"/>
                <w:sz w:val="24"/>
                <w:szCs w:val="24"/>
              </w:rPr>
              <w:t>地址：</w:t>
            </w:r>
            <w:r>
              <w:rPr>
                <w:rFonts w:hint="eastAsia" w:asciiTheme="minorEastAsia" w:hAnsiTheme="minorEastAsia" w:eastAsiaTheme="minorEastAsia"/>
                <w:sz w:val="24"/>
                <w:szCs w:val="24"/>
              </w:rPr>
              <w:t>鄂尔多斯市东胜区亿昌商务楼13楼1307室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3</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项目内容及要求</w:t>
            </w:r>
          </w:p>
        </w:tc>
        <w:tc>
          <w:tcPr>
            <w:tcW w:w="651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textAlignment w:val="baseline"/>
              <w:rPr>
                <w:rFonts w:ascii="宋体" w:hAnsi="宋体"/>
                <w:color w:val="auto"/>
                <w:sz w:val="24"/>
                <w:szCs w:val="24"/>
              </w:rPr>
            </w:pPr>
            <w:r>
              <w:rPr>
                <w:rFonts w:hint="eastAsia" w:ascii="宋体" w:hAnsi="宋体"/>
                <w:color w:val="auto"/>
                <w:sz w:val="24"/>
                <w:szCs w:val="24"/>
              </w:rPr>
              <w:t>详见招标文件第四章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4</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采购预算</w:t>
            </w:r>
          </w:p>
        </w:tc>
        <w:tc>
          <w:tcPr>
            <w:tcW w:w="6515"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jc w:val="left"/>
              <w:rPr>
                <w:rFonts w:hint="eastAsia" w:ascii="宋体" w:hAnsi="宋体"/>
                <w:b/>
                <w:sz w:val="24"/>
                <w:szCs w:val="24"/>
                <w:lang w:eastAsia="zh-CN"/>
              </w:rPr>
            </w:pPr>
            <w:bookmarkStart w:id="5" w:name="EB4e18d9f29b374789818bbaffe81f7de9"/>
            <w:r>
              <w:rPr>
                <w:rFonts w:hint="eastAsia" w:ascii="宋体" w:hAnsi="宋体"/>
                <w:b/>
                <w:sz w:val="24"/>
                <w:szCs w:val="24"/>
              </w:rPr>
              <w:t>本项目设采购预算价：</w:t>
            </w:r>
            <w:bookmarkEnd w:id="5"/>
            <w:r>
              <w:rPr>
                <w:rFonts w:hint="eastAsia" w:ascii="宋体" w:hAnsi="宋体"/>
                <w:b/>
                <w:sz w:val="24"/>
                <w:szCs w:val="24"/>
              </w:rPr>
              <w:t>大写</w:t>
            </w:r>
            <w:r>
              <w:rPr>
                <w:rFonts w:hint="eastAsia" w:ascii="宋体" w:hAnsi="宋体"/>
                <w:b/>
                <w:sz w:val="24"/>
                <w:szCs w:val="24"/>
                <w:lang w:eastAsia="zh-CN"/>
              </w:rPr>
              <w:t>：叁佰玖拾捌万贰仟叁佰</w:t>
            </w:r>
            <w:r>
              <w:rPr>
                <w:rFonts w:hint="eastAsia" w:ascii="宋体" w:hAnsi="宋体"/>
                <w:b/>
                <w:sz w:val="24"/>
                <w:szCs w:val="24"/>
              </w:rPr>
              <w:t>元整</w:t>
            </w:r>
            <w:r>
              <w:rPr>
                <w:rFonts w:ascii="宋体" w:hAnsi="宋体"/>
                <w:b/>
                <w:sz w:val="24"/>
                <w:szCs w:val="24"/>
              </w:rPr>
              <w:t>（</w:t>
            </w:r>
            <w:r>
              <w:rPr>
                <w:rFonts w:hint="eastAsia" w:ascii="宋体" w:hAnsi="宋体"/>
                <w:b/>
                <w:sz w:val="24"/>
                <w:szCs w:val="24"/>
              </w:rPr>
              <w:t>小写：3982300.00</w:t>
            </w:r>
            <w:r>
              <w:rPr>
                <w:rFonts w:ascii="宋体" w:hAnsi="宋体"/>
                <w:b/>
                <w:sz w:val="24"/>
                <w:szCs w:val="24"/>
              </w:rPr>
              <w:t>元）</w:t>
            </w:r>
          </w:p>
          <w:p>
            <w:pPr>
              <w:spacing w:line="360" w:lineRule="auto"/>
              <w:ind w:right="-140" w:rightChars="-50"/>
              <w:jc w:val="left"/>
              <w:rPr>
                <w:rFonts w:hint="eastAsia" w:ascii="宋体" w:hAnsi="宋体"/>
                <w:b/>
                <w:sz w:val="24"/>
                <w:szCs w:val="24"/>
                <w:lang w:eastAsia="zh-CN"/>
              </w:rPr>
            </w:pPr>
            <w:r>
              <w:rPr>
                <w:rFonts w:hint="eastAsia" w:ascii="宋体" w:hAnsi="宋体"/>
                <w:b/>
                <w:sz w:val="24"/>
                <w:szCs w:val="24"/>
                <w:lang w:eastAsia="zh-CN"/>
              </w:rPr>
              <w:t>其中分项采购预算单价：</w:t>
            </w:r>
          </w:p>
          <w:tbl>
            <w:tblPr>
              <w:tblStyle w:val="27"/>
              <w:tblpPr w:leftFromText="180" w:rightFromText="180" w:vertAnchor="text" w:horzAnchor="page" w:tblpX="1547" w:tblpY="447"/>
              <w:tblOverlap w:val="never"/>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3"/>
              <w:gridCol w:w="1904"/>
              <w:gridCol w:w="967"/>
              <w:gridCol w:w="799"/>
              <w:gridCol w:w="1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99" w:type="pct"/>
                  <w:tcBorders>
                    <w:top w:val="single" w:color="000000" w:sz="4" w:space="0"/>
                    <w:left w:val="single" w:color="000000" w:sz="4" w:space="0"/>
                    <w:bottom w:val="single" w:color="000000" w:sz="4" w:space="0"/>
                    <w:right w:val="single" w:color="000000" w:sz="4" w:space="0"/>
                  </w:tcBorders>
                  <w:shd w:val="clear" w:color="auto" w:fill="E6E6E6"/>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1514" w:type="pct"/>
                  <w:tcBorders>
                    <w:top w:val="single" w:color="000000" w:sz="4" w:space="0"/>
                    <w:left w:val="single" w:color="000000" w:sz="4" w:space="0"/>
                    <w:bottom w:val="single" w:color="000000" w:sz="4" w:space="0"/>
                    <w:right w:val="single" w:color="000000" w:sz="4" w:space="0"/>
                  </w:tcBorders>
                  <w:shd w:val="clear" w:color="auto" w:fill="E6E6E6"/>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设备名称</w:t>
                  </w:r>
                </w:p>
              </w:tc>
              <w:tc>
                <w:tcPr>
                  <w:tcW w:w="769" w:type="pct"/>
                  <w:tcBorders>
                    <w:top w:val="single" w:color="000000" w:sz="4" w:space="0"/>
                    <w:left w:val="single" w:color="000000" w:sz="4" w:space="0"/>
                    <w:bottom w:val="single" w:color="000000" w:sz="4" w:space="0"/>
                    <w:right w:val="single" w:color="000000" w:sz="4" w:space="0"/>
                  </w:tcBorders>
                  <w:shd w:val="clear" w:color="auto" w:fill="E6E6E6"/>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tc>
              <w:tc>
                <w:tcPr>
                  <w:tcW w:w="635" w:type="pct"/>
                  <w:tcBorders>
                    <w:top w:val="single" w:color="000000" w:sz="4" w:space="0"/>
                    <w:left w:val="single" w:color="000000" w:sz="4" w:space="0"/>
                    <w:bottom w:val="single" w:color="000000" w:sz="4" w:space="0"/>
                    <w:right w:val="single" w:color="000000" w:sz="4" w:space="0"/>
                  </w:tcBorders>
                  <w:shd w:val="clear" w:color="auto" w:fill="E6E6E6"/>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w:t>
                  </w:r>
                </w:p>
              </w:tc>
              <w:tc>
                <w:tcPr>
                  <w:tcW w:w="1481" w:type="pct"/>
                  <w:tcBorders>
                    <w:top w:val="single" w:color="000000" w:sz="4" w:space="0"/>
                    <w:left w:val="single" w:color="000000" w:sz="4" w:space="0"/>
                    <w:bottom w:val="single" w:color="000000" w:sz="4" w:space="0"/>
                    <w:right w:val="single" w:color="000000" w:sz="4" w:space="0"/>
                  </w:tcBorders>
                  <w:shd w:val="clear" w:color="auto" w:fill="E6E6E6"/>
                  <w:vAlign w:val="center"/>
                </w:tcPr>
                <w:p>
                  <w:pPr>
                    <w:pStyle w:val="2"/>
                    <w:spacing w:line="24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预算价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599"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514"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高档</w:t>
                  </w:r>
                </w:p>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拣灰火化机</w:t>
                  </w:r>
                </w:p>
              </w:tc>
              <w:tc>
                <w:tcPr>
                  <w:tcW w:w="769"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635"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c>
                <w:tcPr>
                  <w:tcW w:w="1481"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1512000.00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599"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514"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一拖二尾气净化处理设备</w:t>
                  </w:r>
                </w:p>
              </w:tc>
              <w:tc>
                <w:tcPr>
                  <w:tcW w:w="769"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635"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c>
                <w:tcPr>
                  <w:tcW w:w="1481"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790000.00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599"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514"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三门太平柜</w:t>
                  </w:r>
                </w:p>
              </w:tc>
              <w:tc>
                <w:tcPr>
                  <w:tcW w:w="769"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635"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组</w:t>
                  </w:r>
                </w:p>
              </w:tc>
              <w:tc>
                <w:tcPr>
                  <w:tcW w:w="1481" w:type="pct"/>
                  <w:tcBorders>
                    <w:top w:val="single" w:color="000000" w:sz="4" w:space="0"/>
                    <w:left w:val="single" w:color="000000" w:sz="4" w:space="0"/>
                    <w:bottom w:val="single" w:color="000000" w:sz="4" w:space="0"/>
                    <w:right w:val="single" w:color="000000" w:sz="4" w:space="0"/>
                  </w:tcBorders>
                </w:tcPr>
                <w:p>
                  <w:pPr>
                    <w:pStyle w:val="2"/>
                    <w:spacing w:line="24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144000.00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599"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514"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液压升降车</w:t>
                  </w:r>
                </w:p>
              </w:tc>
              <w:tc>
                <w:tcPr>
                  <w:tcW w:w="769"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635"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辆</w:t>
                  </w:r>
                </w:p>
              </w:tc>
              <w:tc>
                <w:tcPr>
                  <w:tcW w:w="1481"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19800.00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599"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514"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大型豪华</w:t>
                  </w:r>
                </w:p>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瞻仰台</w:t>
                  </w:r>
                </w:p>
              </w:tc>
              <w:tc>
                <w:tcPr>
                  <w:tcW w:w="769"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635"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c>
                <w:tcPr>
                  <w:tcW w:w="1481" w:type="pct"/>
                  <w:tcBorders>
                    <w:top w:val="single" w:color="000000" w:sz="4" w:space="0"/>
                    <w:left w:val="single" w:color="000000" w:sz="4" w:space="0"/>
                    <w:bottom w:val="single" w:color="000000" w:sz="4" w:space="0"/>
                    <w:right w:val="single" w:color="000000" w:sz="4" w:space="0"/>
                  </w:tcBorders>
                </w:tcPr>
                <w:p>
                  <w:pPr>
                    <w:pStyle w:val="2"/>
                    <w:spacing w:line="24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176000.00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599"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514"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中型豪华</w:t>
                  </w:r>
                </w:p>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瞻仰台</w:t>
                  </w:r>
                </w:p>
              </w:tc>
              <w:tc>
                <w:tcPr>
                  <w:tcW w:w="769"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635"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c>
                <w:tcPr>
                  <w:tcW w:w="1481" w:type="pct"/>
                  <w:tcBorders>
                    <w:top w:val="single" w:color="000000" w:sz="4" w:space="0"/>
                    <w:left w:val="single" w:color="000000" w:sz="4" w:space="0"/>
                    <w:bottom w:val="single" w:color="000000" w:sz="4" w:space="0"/>
                    <w:right w:val="single" w:color="000000" w:sz="4" w:space="0"/>
                  </w:tcBorders>
                </w:tcPr>
                <w:p>
                  <w:pPr>
                    <w:pStyle w:val="2"/>
                    <w:spacing w:line="24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270000.00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99"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514"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水晶棺</w:t>
                  </w:r>
                </w:p>
              </w:tc>
              <w:tc>
                <w:tcPr>
                  <w:tcW w:w="769"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635"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张</w:t>
                  </w:r>
                </w:p>
              </w:tc>
              <w:tc>
                <w:tcPr>
                  <w:tcW w:w="1481"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103800.00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599"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514"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跪垫</w:t>
                  </w:r>
                </w:p>
              </w:tc>
              <w:tc>
                <w:tcPr>
                  <w:tcW w:w="769"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w:t>
                  </w:r>
                </w:p>
              </w:tc>
              <w:tc>
                <w:tcPr>
                  <w:tcW w:w="635"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个</w:t>
                  </w:r>
                </w:p>
              </w:tc>
              <w:tc>
                <w:tcPr>
                  <w:tcW w:w="1481"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599"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1514"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供桌</w:t>
                  </w:r>
                </w:p>
              </w:tc>
              <w:tc>
                <w:tcPr>
                  <w:tcW w:w="769"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635"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张</w:t>
                  </w:r>
                </w:p>
              </w:tc>
              <w:tc>
                <w:tcPr>
                  <w:tcW w:w="1481"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24000.00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599"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1514"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推车</w:t>
                  </w:r>
                </w:p>
              </w:tc>
              <w:tc>
                <w:tcPr>
                  <w:tcW w:w="769"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635"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张</w:t>
                  </w:r>
                </w:p>
              </w:tc>
              <w:tc>
                <w:tcPr>
                  <w:tcW w:w="1481"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599"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1514"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洗尸车</w:t>
                  </w:r>
                </w:p>
              </w:tc>
              <w:tc>
                <w:tcPr>
                  <w:tcW w:w="769"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635"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辆</w:t>
                  </w:r>
                </w:p>
              </w:tc>
              <w:tc>
                <w:tcPr>
                  <w:tcW w:w="1481"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27300.00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599"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1514"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骨灰存放架</w:t>
                  </w:r>
                </w:p>
              </w:tc>
              <w:tc>
                <w:tcPr>
                  <w:tcW w:w="769"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2000</w:t>
                  </w:r>
                </w:p>
              </w:tc>
              <w:tc>
                <w:tcPr>
                  <w:tcW w:w="635"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门</w:t>
                  </w:r>
                </w:p>
              </w:tc>
              <w:tc>
                <w:tcPr>
                  <w:tcW w:w="1481" w:type="pc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900000.00</w:t>
                  </w:r>
                </w:p>
              </w:tc>
            </w:tr>
          </w:tbl>
          <w:p>
            <w:pPr>
              <w:spacing w:line="360" w:lineRule="auto"/>
              <w:ind w:right="-140" w:rightChars="-50"/>
              <w:jc w:val="left"/>
              <w:rPr>
                <w:color w:val="auto"/>
              </w:rPr>
            </w:pPr>
            <w:r>
              <w:rPr>
                <w:rFonts w:ascii="宋体" w:hAnsi="宋体"/>
                <w:b/>
                <w:sz w:val="24"/>
                <w:szCs w:val="24"/>
              </w:rPr>
              <w:t>（含</w:t>
            </w:r>
            <w:r>
              <w:rPr>
                <w:rFonts w:hint="eastAsia" w:ascii="宋体" w:hAnsi="宋体"/>
                <w:b/>
                <w:sz w:val="24"/>
                <w:szCs w:val="24"/>
              </w:rPr>
              <w:t>运输、安装、调试、规费税金、后续服务</w:t>
            </w:r>
            <w:r>
              <w:rPr>
                <w:rFonts w:ascii="宋体" w:hAnsi="宋体"/>
                <w:b/>
                <w:sz w:val="24"/>
                <w:szCs w:val="24"/>
              </w:rPr>
              <w:t>等一切费用）</w:t>
            </w:r>
            <w:r>
              <w:rPr>
                <w:rFonts w:hint="eastAsia" w:ascii="宋体" w:hAnsi="宋体"/>
                <w:b/>
                <w:sz w:val="24"/>
                <w:szCs w:val="24"/>
                <w:lang w:eastAsia="zh-CN"/>
              </w:rPr>
              <w:t>；</w:t>
            </w:r>
            <w:r>
              <w:rPr>
                <w:rFonts w:ascii="宋体" w:hAnsi="宋体"/>
                <w:sz w:val="24"/>
                <w:szCs w:val="24"/>
              </w:rPr>
              <w:t>只有一个有效报价且不高于最高竞标限价，凡报价超过最高竞标限价将作否决其</w:t>
            </w:r>
            <w:r>
              <w:rPr>
                <w:rFonts w:hint="eastAsia" w:ascii="宋体" w:hAnsi="宋体"/>
                <w:sz w:val="24"/>
                <w:szCs w:val="24"/>
                <w:lang w:eastAsia="zh-CN"/>
              </w:rPr>
              <w:t>投</w:t>
            </w:r>
            <w:r>
              <w:rPr>
                <w:rFonts w:ascii="宋体" w:hAnsi="宋体"/>
                <w:sz w:val="24"/>
                <w:szCs w:val="24"/>
              </w:rPr>
              <w:t>标处理（有效报价的分项报价也不得超过给定的分项报价，否则将作否决其</w:t>
            </w:r>
            <w:r>
              <w:rPr>
                <w:rFonts w:hint="eastAsia" w:ascii="宋体" w:hAnsi="宋体"/>
                <w:sz w:val="24"/>
                <w:szCs w:val="24"/>
                <w:lang w:eastAsia="zh-CN"/>
              </w:rPr>
              <w:t>投</w:t>
            </w:r>
            <w:r>
              <w:rPr>
                <w:rFonts w:ascii="宋体" w:hAnsi="宋体"/>
                <w:sz w:val="24"/>
                <w:szCs w:val="24"/>
              </w:rPr>
              <w:t>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TOU</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分包情况</w:t>
            </w:r>
          </w:p>
        </w:tc>
        <w:tc>
          <w:tcPr>
            <w:tcW w:w="65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rPr>
            </w:pPr>
            <w:r>
              <w:rPr>
                <w:rFonts w:hint="eastAsia" w:ascii="MS Mincho" w:hAnsi="MS Mincho" w:eastAsia="MS Mincho" w:cs="MS Mincho"/>
                <w:color w:val="auto"/>
                <w:sz w:val="24"/>
                <w:szCs w:val="24"/>
              </w:rPr>
              <w:t>☑</w:t>
            </w:r>
            <w:r>
              <w:rPr>
                <w:rFonts w:hint="eastAsia" w:ascii="宋体" w:hAnsi="宋体"/>
                <w:color w:val="auto"/>
                <w:sz w:val="24"/>
                <w:szCs w:val="24"/>
              </w:rPr>
              <w:t>一整包、□共___包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6</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付款方式</w:t>
            </w:r>
          </w:p>
        </w:tc>
        <w:tc>
          <w:tcPr>
            <w:tcW w:w="65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rPr>
            </w:pPr>
            <w:r>
              <w:rPr>
                <w:rFonts w:hint="eastAsia" w:ascii="宋体" w:hAnsi="宋体"/>
                <w:color w:val="auto"/>
                <w:sz w:val="24"/>
                <w:szCs w:val="24"/>
              </w:rPr>
              <w:t>☑国库集中支付、□单位自行支付、□其他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7</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采购方式</w:t>
            </w:r>
          </w:p>
        </w:tc>
        <w:tc>
          <w:tcPr>
            <w:tcW w:w="65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rPr>
            </w:pPr>
            <w:r>
              <w:rPr>
                <w:rFonts w:hint="eastAsia" w:ascii="宋体" w:hAnsi="宋体"/>
                <w:color w:val="auto"/>
                <w:sz w:val="24"/>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8</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评标办法</w:t>
            </w:r>
          </w:p>
        </w:tc>
        <w:tc>
          <w:tcPr>
            <w:tcW w:w="6515"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color w:val="auto"/>
                <w:sz w:val="24"/>
                <w:szCs w:val="24"/>
              </w:rPr>
            </w:pPr>
            <w:r>
              <w:rPr>
                <w:rFonts w:hint="eastAsia" w:ascii="宋体" w:hAnsi="宋体"/>
                <w:color w:val="auto"/>
                <w:sz w:val="24"/>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9</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评标委员会数量</w:t>
            </w:r>
          </w:p>
        </w:tc>
        <w:tc>
          <w:tcPr>
            <w:tcW w:w="6515"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hint="eastAsia" w:ascii="宋体" w:hAnsi="宋体"/>
                <w:color w:val="auto"/>
                <w:sz w:val="24"/>
                <w:szCs w:val="24"/>
              </w:rPr>
            </w:pPr>
            <w:r>
              <w:rPr>
                <w:rFonts w:hint="eastAsia" w:ascii="宋体" w:hAnsi="宋体"/>
                <w:color w:val="auto"/>
                <w:sz w:val="24"/>
                <w:szCs w:val="24"/>
              </w:rPr>
              <w:t>评标委员会依法组建，由采购人代表和评审专家组成共5人；</w:t>
            </w:r>
          </w:p>
          <w:p>
            <w:pPr>
              <w:spacing w:line="360" w:lineRule="auto"/>
              <w:ind w:left="-140" w:leftChars="-50" w:right="-140" w:rightChars="-50"/>
              <w:rPr>
                <w:rFonts w:ascii="宋体" w:hAnsi="宋体"/>
                <w:color w:val="auto"/>
                <w:sz w:val="24"/>
                <w:szCs w:val="24"/>
              </w:rPr>
            </w:pPr>
            <w:r>
              <w:rPr>
                <w:rFonts w:hint="eastAsia" w:ascii="宋体" w:hAnsi="宋体"/>
                <w:color w:val="auto"/>
                <w:sz w:val="24"/>
                <w:szCs w:val="24"/>
              </w:rPr>
              <w:t>评标专家确定方式：从鄂尔多斯市公共资源交易评标专家库中采用电脑随机抽取语音通知的方式确定。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10</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中标人确定</w:t>
            </w:r>
          </w:p>
        </w:tc>
        <w:tc>
          <w:tcPr>
            <w:tcW w:w="6515"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color w:val="auto"/>
                <w:sz w:val="24"/>
                <w:szCs w:val="24"/>
              </w:rPr>
            </w:pPr>
            <w:r>
              <w:rPr>
                <w:rFonts w:hint="eastAsia" w:ascii="MS Mincho" w:hAnsi="MS Mincho" w:cs="MS Mincho"/>
                <w:color w:val="auto"/>
                <w:sz w:val="24"/>
                <w:szCs w:val="24"/>
                <w:lang w:eastAsia="zh-CN"/>
              </w:rPr>
              <w:t>□</w:t>
            </w:r>
            <w:r>
              <w:rPr>
                <w:rFonts w:hint="eastAsia" w:ascii="宋体" w:hAnsi="宋体"/>
                <w:color w:val="auto"/>
                <w:sz w:val="24"/>
                <w:szCs w:val="24"/>
              </w:rPr>
              <w:t>采购人授权评标委员会按照评审原则直接确定中标人。</w:t>
            </w:r>
          </w:p>
          <w:p>
            <w:pPr>
              <w:spacing w:line="360" w:lineRule="auto"/>
              <w:ind w:left="-140" w:leftChars="-50" w:right="-140" w:rightChars="-50" w:firstLine="120" w:firstLineChars="50"/>
              <w:rPr>
                <w:rFonts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rPr>
              <w:t>采购人按照评标报告中推荐的中标候选人确定中标人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11</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投标人资格要求</w:t>
            </w:r>
          </w:p>
        </w:tc>
        <w:tc>
          <w:tcPr>
            <w:tcW w:w="6515"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auto"/>
                <w:sz w:val="24"/>
                <w:szCs w:val="24"/>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12</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投标有效期</w:t>
            </w:r>
          </w:p>
        </w:tc>
        <w:tc>
          <w:tcPr>
            <w:tcW w:w="6515"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auto"/>
                <w:sz w:val="24"/>
                <w:szCs w:val="24"/>
              </w:rPr>
            </w:pPr>
            <w:r>
              <w:rPr>
                <w:rFonts w:hint="eastAsia" w:ascii="宋体" w:hAnsi="宋体"/>
                <w:color w:val="auto"/>
                <w:sz w:val="24"/>
                <w:szCs w:val="24"/>
              </w:rPr>
              <w:t>从提交投标文件的截止之日起90日历天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13</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提交投标文件时间</w:t>
            </w:r>
          </w:p>
        </w:tc>
        <w:tc>
          <w:tcPr>
            <w:tcW w:w="6515"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6" w:firstLineChars="73"/>
              <w:rPr>
                <w:rFonts w:ascii="宋体" w:hAnsi="宋体"/>
                <w:b/>
                <w:color w:val="auto"/>
                <w:sz w:val="24"/>
                <w:szCs w:val="24"/>
              </w:rPr>
            </w:pPr>
            <w:r>
              <w:rPr>
                <w:rFonts w:hint="eastAsia" w:ascii="宋体" w:hAnsi="宋体"/>
                <w:b/>
                <w:color w:val="auto"/>
                <w:sz w:val="24"/>
                <w:szCs w:val="24"/>
                <w:lang w:eastAsia="zh-CN"/>
              </w:rPr>
              <w:t>20</w:t>
            </w:r>
            <w:r>
              <w:rPr>
                <w:rFonts w:hint="eastAsia" w:ascii="宋体" w:hAnsi="宋体"/>
                <w:b/>
                <w:color w:val="auto"/>
                <w:sz w:val="24"/>
                <w:szCs w:val="24"/>
                <w:lang w:val="en-US" w:eastAsia="zh-CN"/>
              </w:rPr>
              <w:t>20</w:t>
            </w:r>
            <w:r>
              <w:rPr>
                <w:rFonts w:hint="eastAsia" w:ascii="宋体" w:hAnsi="宋体"/>
                <w:b/>
                <w:color w:val="auto"/>
                <w:sz w:val="24"/>
                <w:szCs w:val="24"/>
                <w:lang w:eastAsia="zh-CN"/>
              </w:rPr>
              <w:t>年</w:t>
            </w:r>
            <w:r>
              <w:rPr>
                <w:rFonts w:hint="eastAsia" w:ascii="宋体" w:hAnsi="宋体"/>
                <w:b/>
                <w:color w:val="auto"/>
                <w:sz w:val="24"/>
                <w:szCs w:val="24"/>
                <w:lang w:val="en-US" w:eastAsia="zh-CN"/>
              </w:rPr>
              <w:t>04</w:t>
            </w:r>
            <w:r>
              <w:rPr>
                <w:rFonts w:hint="eastAsia" w:ascii="宋体" w:hAnsi="宋体"/>
                <w:b/>
                <w:color w:val="auto"/>
                <w:sz w:val="24"/>
                <w:szCs w:val="24"/>
                <w:lang w:eastAsia="zh-CN"/>
              </w:rPr>
              <w:t>月2</w:t>
            </w:r>
            <w:r>
              <w:rPr>
                <w:rFonts w:hint="eastAsia" w:ascii="宋体" w:hAnsi="宋体"/>
                <w:b/>
                <w:color w:val="auto"/>
                <w:sz w:val="24"/>
                <w:szCs w:val="24"/>
                <w:lang w:val="en-US" w:eastAsia="zh-CN"/>
              </w:rPr>
              <w:t>4</w:t>
            </w:r>
            <w:r>
              <w:rPr>
                <w:rFonts w:hint="eastAsia" w:ascii="宋体" w:hAnsi="宋体"/>
                <w:b/>
                <w:color w:val="auto"/>
                <w:sz w:val="24"/>
                <w:szCs w:val="24"/>
                <w:lang w:eastAsia="zh-CN"/>
              </w:rPr>
              <w:t>日下</w:t>
            </w:r>
            <w:r>
              <w:rPr>
                <w:rFonts w:hint="eastAsia" w:ascii="宋体" w:hAnsi="宋体"/>
                <w:b/>
                <w:color w:val="auto"/>
                <w:sz w:val="24"/>
                <w:szCs w:val="24"/>
              </w:rPr>
              <w:t>午</w:t>
            </w:r>
            <w:r>
              <w:rPr>
                <w:rFonts w:hint="eastAsia" w:ascii="宋体" w:hAnsi="宋体"/>
                <w:b/>
                <w:color w:val="auto"/>
                <w:sz w:val="24"/>
                <w:szCs w:val="24"/>
                <w:lang w:val="en-US" w:eastAsia="zh-CN"/>
              </w:rPr>
              <w:t>14</w:t>
            </w:r>
            <w:r>
              <w:rPr>
                <w:rFonts w:hint="eastAsia" w:ascii="宋体" w:hAnsi="宋体"/>
                <w:b/>
                <w:color w:val="auto"/>
                <w:sz w:val="24"/>
                <w:szCs w:val="24"/>
              </w:rPr>
              <w:t>时</w:t>
            </w:r>
            <w:r>
              <w:rPr>
                <w:rFonts w:hint="eastAsia" w:ascii="宋体" w:hAnsi="宋体"/>
                <w:b/>
                <w:color w:val="auto"/>
                <w:sz w:val="24"/>
                <w:szCs w:val="24"/>
                <w:lang w:val="en-US" w:eastAsia="zh-CN"/>
              </w:rPr>
              <w:t>30</w:t>
            </w:r>
            <w:r>
              <w:rPr>
                <w:rFonts w:hint="eastAsia" w:ascii="宋体" w:hAnsi="宋体"/>
                <w:b/>
                <w:color w:val="auto"/>
                <w:sz w:val="24"/>
                <w:szCs w:val="24"/>
              </w:rPr>
              <w:t>分--</w:t>
            </w:r>
            <w:r>
              <w:rPr>
                <w:rFonts w:hint="eastAsia" w:ascii="宋体" w:hAnsi="宋体"/>
                <w:b/>
                <w:color w:val="auto"/>
                <w:sz w:val="24"/>
                <w:szCs w:val="24"/>
                <w:lang w:val="en-US" w:eastAsia="zh-CN"/>
              </w:rPr>
              <w:t>15</w:t>
            </w:r>
            <w:r>
              <w:rPr>
                <w:rFonts w:hint="eastAsia" w:ascii="宋体" w:hAnsi="宋体"/>
                <w:b/>
                <w:color w:val="auto"/>
                <w:sz w:val="24"/>
                <w:szCs w:val="24"/>
              </w:rPr>
              <w:t>时</w:t>
            </w:r>
            <w:r>
              <w:rPr>
                <w:rFonts w:hint="eastAsia" w:ascii="宋体" w:hAnsi="宋体"/>
                <w:b/>
                <w:color w:val="auto"/>
                <w:sz w:val="24"/>
                <w:szCs w:val="24"/>
                <w:lang w:val="en-US" w:eastAsia="zh-CN"/>
              </w:rPr>
              <w:t>00</w:t>
            </w:r>
            <w:r>
              <w:rPr>
                <w:rFonts w:hint="eastAsia" w:ascii="宋体" w:hAnsi="宋体"/>
                <w:b/>
                <w:color w:val="auto"/>
                <w:sz w:val="24"/>
                <w:szCs w:val="24"/>
              </w:rPr>
              <w:t xml:space="preserve">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14</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开标时间</w:t>
            </w:r>
          </w:p>
        </w:tc>
        <w:tc>
          <w:tcPr>
            <w:tcW w:w="6515"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6" w:firstLineChars="73"/>
              <w:rPr>
                <w:rFonts w:ascii="宋体" w:hAnsi="宋体"/>
                <w:b/>
                <w:color w:val="auto"/>
                <w:sz w:val="24"/>
                <w:szCs w:val="24"/>
              </w:rPr>
            </w:pPr>
            <w:r>
              <w:rPr>
                <w:rFonts w:hint="eastAsia" w:ascii="宋体" w:hAnsi="宋体"/>
                <w:b/>
                <w:color w:val="auto"/>
                <w:sz w:val="24"/>
                <w:szCs w:val="24"/>
                <w:lang w:eastAsia="zh-CN"/>
              </w:rPr>
              <w:t>20</w:t>
            </w:r>
            <w:r>
              <w:rPr>
                <w:rFonts w:hint="eastAsia" w:ascii="宋体" w:hAnsi="宋体"/>
                <w:b/>
                <w:color w:val="auto"/>
                <w:sz w:val="24"/>
                <w:szCs w:val="24"/>
                <w:lang w:val="en-US" w:eastAsia="zh-CN"/>
              </w:rPr>
              <w:t>20</w:t>
            </w:r>
            <w:r>
              <w:rPr>
                <w:rFonts w:hint="eastAsia" w:ascii="宋体" w:hAnsi="宋体"/>
                <w:b/>
                <w:color w:val="auto"/>
                <w:sz w:val="24"/>
                <w:szCs w:val="24"/>
                <w:lang w:eastAsia="zh-CN"/>
              </w:rPr>
              <w:t>年</w:t>
            </w:r>
            <w:r>
              <w:rPr>
                <w:rFonts w:hint="eastAsia" w:ascii="宋体" w:hAnsi="宋体"/>
                <w:b/>
                <w:color w:val="auto"/>
                <w:sz w:val="24"/>
                <w:szCs w:val="24"/>
                <w:lang w:val="en-US" w:eastAsia="zh-CN"/>
              </w:rPr>
              <w:t>04</w:t>
            </w:r>
            <w:r>
              <w:rPr>
                <w:rFonts w:hint="eastAsia" w:ascii="宋体" w:hAnsi="宋体"/>
                <w:b/>
                <w:color w:val="auto"/>
                <w:sz w:val="24"/>
                <w:szCs w:val="24"/>
                <w:lang w:eastAsia="zh-CN"/>
              </w:rPr>
              <w:t>月2</w:t>
            </w:r>
            <w:r>
              <w:rPr>
                <w:rFonts w:hint="eastAsia" w:ascii="宋体" w:hAnsi="宋体"/>
                <w:b/>
                <w:color w:val="auto"/>
                <w:sz w:val="24"/>
                <w:szCs w:val="24"/>
                <w:lang w:val="en-US" w:eastAsia="zh-CN"/>
              </w:rPr>
              <w:t>4</w:t>
            </w:r>
            <w:r>
              <w:rPr>
                <w:rFonts w:hint="eastAsia" w:ascii="宋体" w:hAnsi="宋体"/>
                <w:b/>
                <w:color w:val="auto"/>
                <w:sz w:val="24"/>
                <w:szCs w:val="24"/>
                <w:lang w:eastAsia="zh-CN"/>
              </w:rPr>
              <w:t>日下</w:t>
            </w:r>
            <w:r>
              <w:rPr>
                <w:rFonts w:hint="eastAsia" w:ascii="宋体" w:hAnsi="宋体"/>
                <w:b/>
                <w:color w:val="auto"/>
                <w:sz w:val="24"/>
                <w:szCs w:val="24"/>
              </w:rPr>
              <w:t>午</w:t>
            </w:r>
            <w:r>
              <w:rPr>
                <w:rFonts w:hint="eastAsia" w:ascii="宋体" w:hAnsi="宋体"/>
                <w:b/>
                <w:color w:val="auto"/>
                <w:sz w:val="24"/>
                <w:szCs w:val="24"/>
                <w:lang w:val="en-US" w:eastAsia="zh-CN"/>
              </w:rPr>
              <w:t>15</w:t>
            </w:r>
            <w:r>
              <w:rPr>
                <w:rFonts w:hint="eastAsia" w:ascii="宋体" w:hAnsi="宋体"/>
                <w:b/>
                <w:color w:val="auto"/>
                <w:sz w:val="24"/>
                <w:szCs w:val="24"/>
              </w:rPr>
              <w:t>时</w:t>
            </w:r>
            <w:r>
              <w:rPr>
                <w:rFonts w:hint="eastAsia" w:ascii="宋体" w:hAnsi="宋体"/>
                <w:b/>
                <w:color w:val="auto"/>
                <w:sz w:val="24"/>
                <w:szCs w:val="24"/>
                <w:lang w:val="en-US" w:eastAsia="zh-CN"/>
              </w:rPr>
              <w:t>00</w:t>
            </w:r>
            <w:r>
              <w:rPr>
                <w:rFonts w:hint="eastAsia" w:ascii="宋体" w:hAnsi="宋体"/>
                <w:b/>
                <w:color w:val="auto"/>
                <w:sz w:val="24"/>
                <w:szCs w:val="24"/>
              </w:rPr>
              <w:t>分整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15</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开标地点（投标文件提交地点）</w:t>
            </w:r>
          </w:p>
        </w:tc>
        <w:tc>
          <w:tcPr>
            <w:tcW w:w="6515"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hint="eastAsia" w:ascii="宋体" w:hAnsi="宋体" w:eastAsia="宋体"/>
                <w:color w:val="auto"/>
                <w:sz w:val="24"/>
                <w:szCs w:val="24"/>
                <w:lang w:eastAsia="zh-CN"/>
              </w:rPr>
            </w:pPr>
            <w:r>
              <w:rPr>
                <w:rFonts w:hint="eastAsia" w:ascii="宋体" w:hAnsi="宋体"/>
                <w:color w:val="auto"/>
                <w:sz w:val="24"/>
                <w:szCs w:val="24"/>
                <w:lang w:eastAsia="zh-CN"/>
              </w:rPr>
              <w:t>鄂托克前旗公共资源交易中心开标二室（鄂托克前旗公园西路文化产业园东区C2座）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16</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投标文件数量</w:t>
            </w:r>
          </w:p>
        </w:tc>
        <w:tc>
          <w:tcPr>
            <w:tcW w:w="6515"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color w:val="auto"/>
                <w:sz w:val="24"/>
                <w:szCs w:val="24"/>
              </w:rPr>
            </w:pPr>
            <w:r>
              <w:rPr>
                <w:rFonts w:hint="eastAsia" w:ascii="宋体" w:hAnsi="宋体"/>
                <w:color w:val="auto"/>
                <w:sz w:val="24"/>
                <w:szCs w:val="24"/>
              </w:rPr>
              <w:t>正本一份，副本四份，电子版（U盘）3份（标明投标人名称，与正本内容一致，内含不加密的PDF格式投标文件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right="57"/>
              <w:jc w:val="center"/>
              <w:rPr>
                <w:rFonts w:ascii="宋体" w:hAnsi="宋体"/>
                <w:color w:val="auto"/>
                <w:sz w:val="24"/>
                <w:szCs w:val="24"/>
              </w:rPr>
            </w:pPr>
            <w:r>
              <w:rPr>
                <w:rFonts w:hint="eastAsia" w:ascii="宋体" w:hAnsi="宋体"/>
                <w:color w:val="auto"/>
                <w:sz w:val="24"/>
                <w:szCs w:val="24"/>
              </w:rPr>
              <w:t xml:space="preserve"> 17</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现场演示</w:t>
            </w:r>
          </w:p>
        </w:tc>
        <w:tc>
          <w:tcPr>
            <w:tcW w:w="6515"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评标时需投标人现场演示（演示内容详见第六章评标办法）</w:t>
            </w:r>
          </w:p>
          <w:p>
            <w:pPr>
              <w:spacing w:line="360" w:lineRule="auto"/>
              <w:ind w:right="-140" w:rightChars="-50"/>
              <w:rPr>
                <w:rFonts w:hint="default" w:ascii="宋体" w:eastAsia="宋体"/>
                <w:color w:val="auto"/>
                <w:sz w:val="24"/>
                <w:szCs w:val="24"/>
                <w:highlight w:val="none"/>
                <w:lang w:val="en-US" w:eastAsia="zh-CN"/>
              </w:rPr>
            </w:pPr>
            <w:r>
              <w:rPr>
                <w:rFonts w:hint="eastAsia" w:ascii="宋体" w:hAnsi="宋体" w:cs="宋体"/>
                <w:b/>
                <w:bCs/>
                <w:color w:val="auto"/>
                <w:sz w:val="24"/>
                <w:highlight w:val="none"/>
                <w:lang w:eastAsia="zh-CN"/>
              </w:rPr>
              <w:t>注：演示设备需投标人自行配备，如未配备所造成的后果由投标人自行承担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18</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现场踏勘</w:t>
            </w:r>
          </w:p>
        </w:tc>
        <w:tc>
          <w:tcPr>
            <w:tcW w:w="6515"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s="宋体"/>
                <w:color w:val="auto"/>
                <w:sz w:val="24"/>
                <w:szCs w:val="24"/>
                <w:u w:val="single"/>
              </w:rPr>
            </w:pPr>
            <w:r>
              <w:rPr>
                <w:rFonts w:hint="eastAsia" w:ascii="宋体" w:hAnsi="宋体" w:cs="宋体"/>
                <w:color w:val="auto"/>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19</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备选方案</w:t>
            </w:r>
          </w:p>
        </w:tc>
        <w:tc>
          <w:tcPr>
            <w:tcW w:w="6515"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auto"/>
                <w:sz w:val="24"/>
                <w:szCs w:val="24"/>
              </w:rPr>
            </w:pPr>
            <w:r>
              <w:rPr>
                <w:rFonts w:hint="eastAsia" w:ascii="宋体" w:hAnsi="宋体"/>
                <w:color w:val="auto"/>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20</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s="宋体"/>
                <w:color w:val="auto"/>
                <w:sz w:val="24"/>
                <w:szCs w:val="24"/>
              </w:rPr>
              <w:t>联合体投标</w:t>
            </w:r>
          </w:p>
        </w:tc>
        <w:tc>
          <w:tcPr>
            <w:tcW w:w="6515"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auto"/>
                <w:sz w:val="24"/>
                <w:szCs w:val="24"/>
              </w:rPr>
            </w:pPr>
            <w:r>
              <w:rPr>
                <w:rFonts w:hint="eastAsia" w:ascii="宋体" w:hAnsi="宋体"/>
                <w:color w:val="auto"/>
                <w:sz w:val="24"/>
                <w:szCs w:val="24"/>
              </w:rPr>
              <w:t>□接受、☑不接受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21</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履约保证金</w:t>
            </w:r>
          </w:p>
        </w:tc>
        <w:tc>
          <w:tcPr>
            <w:tcW w:w="6515"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auto"/>
                <w:sz w:val="24"/>
                <w:szCs w:val="24"/>
              </w:rPr>
            </w:pPr>
            <w:r>
              <w:rPr>
                <w:rFonts w:hint="eastAsia" w:ascii="宋体" w:hAnsi="宋体"/>
                <w:color w:val="auto"/>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22</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采购机构代理费用</w:t>
            </w:r>
          </w:p>
        </w:tc>
        <w:tc>
          <w:tcPr>
            <w:tcW w:w="6515"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auto"/>
                <w:sz w:val="24"/>
              </w:rPr>
            </w:pPr>
            <w:r>
              <w:rPr>
                <w:rFonts w:hint="eastAsia" w:ascii="宋体" w:hAnsi="宋体"/>
                <w:color w:val="auto"/>
                <w:sz w:val="24"/>
              </w:rPr>
              <w:t>中标单位应向代理机构交纳代理服务费。该项费用认为已含在中标单位的投标报价中，采购人不单独支付。</w:t>
            </w:r>
          </w:p>
          <w:p>
            <w:pPr>
              <w:spacing w:line="360" w:lineRule="auto"/>
              <w:ind w:right="-140" w:rightChars="-50"/>
              <w:rPr>
                <w:rFonts w:ascii="宋体" w:hAnsi="宋体"/>
                <w:color w:val="auto"/>
                <w:sz w:val="24"/>
                <w:szCs w:val="24"/>
              </w:rPr>
            </w:pPr>
            <w:r>
              <w:rPr>
                <w:rFonts w:ascii="宋体" w:hAnsi="宋体"/>
                <w:color w:val="auto"/>
                <w:sz w:val="24"/>
              </w:rPr>
              <w:t>中标人须在领取中标通知书前支付中标服务费，中标人须向招标代理机构按如下标准和规定交纳中标服务费：以中标通知书中确定的中标总价为计算基数，按内蒙古自治区工程建设协会文件，内工建协[2016]17号文件</w:t>
            </w:r>
            <w:r>
              <w:rPr>
                <w:rFonts w:hint="eastAsia" w:ascii="宋体" w:hAnsi="宋体"/>
                <w:color w:val="auto"/>
                <w:sz w:val="24"/>
              </w:rPr>
              <w:t>“货物类”</w:t>
            </w:r>
            <w:r>
              <w:rPr>
                <w:rFonts w:ascii="宋体" w:hAnsi="宋体"/>
                <w:color w:val="auto"/>
                <w:sz w:val="24"/>
              </w:rPr>
              <w:t>规定收取。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23</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投标保证金</w:t>
            </w:r>
          </w:p>
        </w:tc>
        <w:tc>
          <w:tcPr>
            <w:tcW w:w="6515"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sz w:val="21"/>
                <w:szCs w:val="21"/>
              </w:rPr>
            </w:pPr>
            <w:r>
              <w:rPr>
                <w:sz w:val="21"/>
                <w:szCs w:val="21"/>
              </w:rPr>
              <w:t>本项目采用“虚拟子账户”形式及法律法规规定的其它缴纳方式收退投标保证金。请各投标人特别关注并严格遵照招标文件中有关投标保证金缴纳的规定。</w:t>
            </w:r>
          </w:p>
          <w:p>
            <w:pPr>
              <w:spacing w:line="360" w:lineRule="auto"/>
              <w:ind w:right="-140" w:rightChars="-50"/>
              <w:rPr>
                <w:sz w:val="21"/>
                <w:szCs w:val="21"/>
              </w:rPr>
            </w:pPr>
            <w:r>
              <w:rPr>
                <w:sz w:val="21"/>
                <w:szCs w:val="21"/>
              </w:rPr>
              <w:t>保证金人民币</w:t>
            </w:r>
            <w:r>
              <w:rPr>
                <w:rFonts w:hint="eastAsia"/>
                <w:sz w:val="21"/>
                <w:szCs w:val="21"/>
                <w:lang w:val="en-US" w:eastAsia="zh-CN"/>
              </w:rPr>
              <w:t>3</w:t>
            </w:r>
            <w:r>
              <w:rPr>
                <w:sz w:val="21"/>
                <w:szCs w:val="21"/>
              </w:rPr>
              <w:t>0000.00元整（大写：</w:t>
            </w:r>
            <w:r>
              <w:rPr>
                <w:rFonts w:hint="eastAsia"/>
                <w:sz w:val="21"/>
                <w:szCs w:val="21"/>
                <w:lang w:eastAsia="zh-CN"/>
              </w:rPr>
              <w:t>叁</w:t>
            </w:r>
            <w:r>
              <w:rPr>
                <w:sz w:val="21"/>
                <w:szCs w:val="21"/>
              </w:rPr>
              <w:t>万</w:t>
            </w:r>
            <w:r>
              <w:rPr>
                <w:rFonts w:hint="eastAsia"/>
                <w:sz w:val="21"/>
                <w:szCs w:val="21"/>
                <w:lang w:eastAsia="zh-CN"/>
              </w:rPr>
              <w:t>元</w:t>
            </w:r>
            <w:r>
              <w:rPr>
                <w:sz w:val="21"/>
                <w:szCs w:val="21"/>
              </w:rPr>
              <w:t>整）；</w:t>
            </w:r>
          </w:p>
          <w:p>
            <w:pPr>
              <w:spacing w:line="360" w:lineRule="auto"/>
              <w:ind w:right="-140" w:rightChars="-50"/>
              <w:rPr>
                <w:sz w:val="21"/>
                <w:szCs w:val="21"/>
              </w:rPr>
            </w:pPr>
            <w:r>
              <w:rPr>
                <w:sz w:val="21"/>
                <w:szCs w:val="21"/>
              </w:rPr>
              <w:t>开户银行：鄂托克前旗农村商业银行股份有限公司。</w:t>
            </w:r>
          </w:p>
          <w:p>
            <w:pPr>
              <w:spacing w:line="360" w:lineRule="auto"/>
              <w:ind w:right="-140" w:rightChars="-50"/>
              <w:rPr>
                <w:sz w:val="21"/>
                <w:szCs w:val="21"/>
              </w:rPr>
            </w:pPr>
            <w:r>
              <w:rPr>
                <w:sz w:val="21"/>
                <w:szCs w:val="21"/>
              </w:rPr>
              <w:t>行号：402205481279。</w:t>
            </w:r>
          </w:p>
          <w:p>
            <w:pPr>
              <w:spacing w:line="360" w:lineRule="auto"/>
              <w:ind w:right="-140" w:rightChars="-50"/>
              <w:rPr>
                <w:sz w:val="21"/>
                <w:szCs w:val="21"/>
              </w:rPr>
            </w:pPr>
            <w:r>
              <w:rPr>
                <w:sz w:val="21"/>
                <w:szCs w:val="21"/>
              </w:rPr>
              <w:t>开户单位：鄂尔多斯市鄂托克前旗公共资源交易中心。</w:t>
            </w:r>
          </w:p>
          <w:p>
            <w:pPr>
              <w:spacing w:line="360" w:lineRule="auto"/>
              <w:ind w:right="-140" w:rightChars="-50"/>
              <w:rPr>
                <w:sz w:val="21"/>
                <w:szCs w:val="21"/>
              </w:rPr>
            </w:pPr>
            <w:r>
              <w:rPr>
                <w:sz w:val="21"/>
                <w:szCs w:val="21"/>
              </w:rPr>
              <w:t>账号：详见“政府采购投标信息回执函”下方所附“保证金缴纳信息”中载明的账号。</w:t>
            </w:r>
          </w:p>
          <w:p>
            <w:pPr>
              <w:spacing w:line="360" w:lineRule="auto"/>
              <w:ind w:right="-140" w:rightChars="-50"/>
              <w:rPr>
                <w:sz w:val="21"/>
                <w:szCs w:val="21"/>
              </w:rPr>
            </w:pPr>
            <w:r>
              <w:rPr>
                <w:sz w:val="21"/>
                <w:szCs w:val="21"/>
              </w:rPr>
              <w:t>投标保证金缴纳、退还联系人：白俊艳   0477—7625245</w:t>
            </w:r>
          </w:p>
          <w:p>
            <w:pPr>
              <w:spacing w:line="360" w:lineRule="auto"/>
              <w:ind w:left="-140" w:leftChars="-50" w:right="-140" w:rightChars="-50"/>
              <w:rPr>
                <w:rFonts w:ascii="宋体" w:hAnsi="宋体"/>
                <w:color w:val="auto"/>
                <w:sz w:val="24"/>
                <w:szCs w:val="24"/>
              </w:rPr>
            </w:pPr>
            <w:r>
              <w:rPr>
                <w:sz w:val="21"/>
                <w:szCs w:val="21"/>
              </w:rPr>
              <w:t>投标保证金缴纳截止时间</w:t>
            </w:r>
            <w:r>
              <w:rPr>
                <w:sz w:val="21"/>
                <w:szCs w:val="21"/>
                <w:highlight w:val="none"/>
              </w:rPr>
              <w:t>：</w:t>
            </w:r>
            <w:r>
              <w:rPr>
                <w:rFonts w:hint="eastAsia"/>
                <w:sz w:val="21"/>
                <w:szCs w:val="21"/>
                <w:highlight w:val="none"/>
              </w:rPr>
              <w:t>2020年04月</w:t>
            </w:r>
            <w:r>
              <w:rPr>
                <w:rFonts w:hint="eastAsia"/>
                <w:sz w:val="21"/>
                <w:szCs w:val="21"/>
                <w:highlight w:val="none"/>
                <w:lang w:val="en-US" w:eastAsia="zh-CN"/>
              </w:rPr>
              <w:t>24</w:t>
            </w:r>
            <w:r>
              <w:rPr>
                <w:rFonts w:hint="eastAsia"/>
                <w:sz w:val="21"/>
                <w:szCs w:val="21"/>
                <w:highlight w:val="none"/>
              </w:rPr>
              <w:t>日</w:t>
            </w:r>
            <w:r>
              <w:rPr>
                <w:rFonts w:hint="eastAsia"/>
                <w:sz w:val="21"/>
                <w:szCs w:val="21"/>
                <w:highlight w:val="none"/>
                <w:lang w:val="en-US" w:eastAsia="zh-CN"/>
              </w:rPr>
              <w:t>15</w:t>
            </w:r>
            <w:r>
              <w:rPr>
                <w:sz w:val="21"/>
                <w:szCs w:val="21"/>
                <w:highlight w:val="none"/>
              </w:rPr>
              <w:t>时</w:t>
            </w:r>
            <w:r>
              <w:rPr>
                <w:rFonts w:hint="eastAsia"/>
                <w:sz w:val="21"/>
                <w:szCs w:val="21"/>
                <w:highlight w:val="none"/>
              </w:rPr>
              <w:t>00</w:t>
            </w:r>
            <w:r>
              <w:rPr>
                <w:sz w:val="21"/>
                <w:szCs w:val="21"/>
                <w:highlight w:val="none"/>
              </w:rPr>
              <w:t>分前</w:t>
            </w:r>
          </w:p>
        </w:tc>
      </w:tr>
    </w:tbl>
    <w:p>
      <w:pPr>
        <w:spacing w:line="360" w:lineRule="auto"/>
        <w:rPr>
          <w:rFonts w:ascii="宋体" w:hAnsi="宋体"/>
          <w:b/>
          <w:color w:val="auto"/>
          <w:sz w:val="24"/>
          <w:szCs w:val="24"/>
        </w:rPr>
      </w:pPr>
      <w:r>
        <w:rPr>
          <w:rFonts w:hint="eastAsia" w:ascii="宋体" w:hAnsi="宋体"/>
          <w:b/>
          <w:color w:val="auto"/>
          <w:sz w:val="24"/>
          <w:szCs w:val="24"/>
        </w:rPr>
        <w:t>二.报名须知</w:t>
      </w:r>
    </w:p>
    <w:p>
      <w:pPr>
        <w:spacing w:line="360" w:lineRule="auto"/>
        <w:rPr>
          <w:rFonts w:ascii="宋体" w:hAnsi="宋体"/>
          <w:b/>
          <w:color w:val="auto"/>
          <w:sz w:val="24"/>
          <w:szCs w:val="24"/>
        </w:rPr>
      </w:pPr>
      <w:r>
        <w:rPr>
          <w:rFonts w:hint="eastAsia" w:ascii="宋体" w:hAnsi="宋体"/>
          <w:b/>
          <w:color w:val="auto"/>
          <w:sz w:val="24"/>
          <w:szCs w:val="24"/>
        </w:rPr>
        <w:t>1.报名方式</w:t>
      </w:r>
    </w:p>
    <w:p>
      <w:pPr>
        <w:spacing w:line="360" w:lineRule="auto"/>
        <w:ind w:firstLine="480" w:firstLineChars="200"/>
        <w:rPr>
          <w:kern w:val="0"/>
          <w:sz w:val="24"/>
          <w:szCs w:val="24"/>
        </w:rPr>
      </w:pPr>
      <w:r>
        <w:rPr>
          <w:sz w:val="24"/>
          <w:szCs w:val="24"/>
        </w:rPr>
        <w:t>1.1</w:t>
      </w:r>
      <w:r>
        <w:rPr>
          <w:kern w:val="0"/>
          <w:sz w:val="24"/>
          <w:szCs w:val="24"/>
        </w:rPr>
        <w:t>报名方式采用网上报名，流程如下：</w:t>
      </w:r>
    </w:p>
    <w:p>
      <w:pPr>
        <w:spacing w:line="360" w:lineRule="auto"/>
        <w:ind w:firstLine="480" w:firstLineChars="200"/>
        <w:rPr>
          <w:kern w:val="0"/>
          <w:sz w:val="24"/>
          <w:szCs w:val="24"/>
        </w:rPr>
      </w:pPr>
      <w:r>
        <w:rPr>
          <w:sz w:val="24"/>
          <w:szCs w:val="24"/>
        </w:rPr>
        <w:t>填写报名信息。登录《鄂尔多斯市公共资源交易网》（http://www.ordosggzyjy.org.cn）或《鄂托克前旗公共资源交易中心网》（http://www.ordosggzyjy.org.cn/TPFront_etkqq/）页面</w:t>
      </w:r>
      <w:r>
        <w:rPr>
          <w:kern w:val="0"/>
          <w:sz w:val="24"/>
          <w:szCs w:val="24"/>
        </w:rPr>
        <w:t>，点击“政府采购”中的“采购公告”栏，打开本项目的招标公告，点击公告页面下方的“企业报名”或“自然人报名”进入“投标项目信息”，填写“投标人信息”、“保证金缴纳开户行信息”、“分包信息”、“回执码找回信息填写”，按照页面提示点击“确认报名”，进入下一步“回执信息”页面并点击红色字体“点击此处”，在进入新页面中核对报名信息，并点击“保证金缴纳信息获取”处获取“保证金缴纳信息”。</w:t>
      </w:r>
    </w:p>
    <w:p>
      <w:pPr>
        <w:spacing w:line="360" w:lineRule="auto"/>
        <w:ind w:firstLine="480" w:firstLineChars="200"/>
        <w:rPr>
          <w:sz w:val="24"/>
          <w:szCs w:val="24"/>
        </w:rPr>
      </w:pPr>
      <w:r>
        <w:rPr>
          <w:kern w:val="0"/>
          <w:sz w:val="24"/>
          <w:szCs w:val="24"/>
        </w:rPr>
        <w:t>1.2缴纳投标保证金。</w:t>
      </w:r>
      <w:r>
        <w:rPr>
          <w:sz w:val="24"/>
          <w:szCs w:val="24"/>
        </w:rPr>
        <w:t>本招标项目采用“虚拟子账号”形式收退投标保证金，每一个投标人在所投的每一项目或标包会自动生成一个账号，</w:t>
      </w:r>
      <w:r>
        <w:rPr>
          <w:kern w:val="0"/>
          <w:sz w:val="24"/>
          <w:szCs w:val="24"/>
        </w:rPr>
        <w:t>称为“虚拟子账号”。投标人</w:t>
      </w:r>
      <w:r>
        <w:rPr>
          <w:sz w:val="24"/>
          <w:szCs w:val="24"/>
        </w:rPr>
        <w:t>在进行投标信息确认后，应查看“</w:t>
      </w:r>
      <w:r>
        <w:rPr>
          <w:kern w:val="0"/>
          <w:sz w:val="24"/>
          <w:szCs w:val="24"/>
        </w:rPr>
        <w:t>保证金缴纳信息</w:t>
      </w:r>
      <w:r>
        <w:rPr>
          <w:sz w:val="24"/>
          <w:szCs w:val="24"/>
        </w:rPr>
        <w:t>”下方所载明的账号，并按照招标文件规定的金额、时间电汇</w:t>
      </w:r>
      <w:r>
        <w:rPr>
          <w:kern w:val="0"/>
          <w:sz w:val="24"/>
          <w:szCs w:val="24"/>
        </w:rPr>
        <w:t>或转账</w:t>
      </w:r>
      <w:r>
        <w:rPr>
          <w:sz w:val="24"/>
          <w:szCs w:val="24"/>
        </w:rPr>
        <w:t xml:space="preserve">至上述账号中，付款人名称必须为投标单位全称且与报名信息一致，该账号可以自动识别单位名称、缴纳金额金额是否正确，缴纳时间是否符合招标文件的规定，如果不符合，一律不予收取。   </w:t>
      </w:r>
    </w:p>
    <w:p>
      <w:pPr>
        <w:spacing w:line="360" w:lineRule="auto"/>
        <w:rPr>
          <w:kern w:val="0"/>
          <w:sz w:val="24"/>
          <w:szCs w:val="24"/>
        </w:rPr>
      </w:pPr>
      <w:r>
        <w:rPr>
          <w:kern w:val="0"/>
          <w:sz w:val="24"/>
          <w:szCs w:val="24"/>
        </w:rPr>
        <w:t>1.3查看报名状况。用“回执码”登录可查看报名状况；只有“是否缴纳保证金”显示“已缴纳”，报名才能成功</w:t>
      </w:r>
    </w:p>
    <w:p>
      <w:pPr>
        <w:spacing w:line="360" w:lineRule="auto"/>
        <w:rPr>
          <w:rFonts w:ascii="宋体" w:hAnsi="宋体"/>
          <w:b/>
          <w:color w:val="auto"/>
          <w:sz w:val="24"/>
          <w:szCs w:val="24"/>
        </w:rPr>
      </w:pPr>
      <w:r>
        <w:rPr>
          <w:rFonts w:hint="eastAsia" w:ascii="宋体" w:hAnsi="宋体"/>
          <w:b/>
          <w:color w:val="auto"/>
          <w:sz w:val="24"/>
          <w:szCs w:val="24"/>
        </w:rPr>
        <w:t>2.报名时间及报名截止时间（网上报名）</w:t>
      </w:r>
    </w:p>
    <w:p>
      <w:pPr>
        <w:spacing w:line="360" w:lineRule="auto"/>
        <w:ind w:firstLine="480" w:firstLineChars="200"/>
        <w:rPr>
          <w:rFonts w:ascii="宋体" w:hAnsi="宋体"/>
          <w:color w:val="auto"/>
          <w:sz w:val="24"/>
          <w:szCs w:val="24"/>
        </w:rPr>
      </w:pPr>
      <w:r>
        <w:rPr>
          <w:rFonts w:hint="eastAsia" w:ascii="宋体" w:hAnsi="宋体" w:cs="宋体"/>
          <w:color w:val="auto"/>
          <w:kern w:val="0"/>
          <w:sz w:val="24"/>
          <w:szCs w:val="24"/>
        </w:rPr>
        <w:t>2.1报名时间（招标文件提供期限）：</w:t>
      </w:r>
      <w:r>
        <w:rPr>
          <w:rFonts w:hint="eastAsia" w:ascii="宋体" w:hAnsi="宋体"/>
          <w:color w:val="auto"/>
          <w:sz w:val="24"/>
          <w:szCs w:val="24"/>
          <w:lang w:eastAsia="zh-CN"/>
        </w:rPr>
        <w:t>20</w:t>
      </w:r>
      <w:r>
        <w:rPr>
          <w:rFonts w:hint="eastAsia" w:ascii="宋体" w:hAnsi="宋体"/>
          <w:color w:val="auto"/>
          <w:sz w:val="24"/>
          <w:szCs w:val="24"/>
          <w:lang w:val="en-US" w:eastAsia="zh-CN"/>
        </w:rPr>
        <w:t>20</w:t>
      </w:r>
      <w:r>
        <w:rPr>
          <w:rFonts w:hint="eastAsia" w:ascii="宋体" w:hAnsi="宋体"/>
          <w:color w:val="auto"/>
          <w:sz w:val="24"/>
          <w:szCs w:val="24"/>
          <w:lang w:eastAsia="zh-CN"/>
        </w:rPr>
        <w:t>年</w:t>
      </w:r>
      <w:r>
        <w:rPr>
          <w:rFonts w:hint="eastAsia" w:ascii="宋体" w:hAnsi="宋体"/>
          <w:color w:val="auto"/>
          <w:sz w:val="24"/>
          <w:szCs w:val="24"/>
          <w:lang w:val="en-US" w:eastAsia="zh-CN"/>
        </w:rPr>
        <w:t>04</w:t>
      </w:r>
      <w:r>
        <w:rPr>
          <w:rFonts w:hint="eastAsia" w:ascii="宋体" w:hAnsi="宋体"/>
          <w:color w:val="auto"/>
          <w:sz w:val="24"/>
          <w:szCs w:val="24"/>
          <w:lang w:eastAsia="zh-CN"/>
        </w:rPr>
        <w:t>月</w:t>
      </w:r>
      <w:r>
        <w:rPr>
          <w:rFonts w:hint="eastAsia" w:ascii="宋体" w:hAnsi="宋体"/>
          <w:color w:val="auto"/>
          <w:sz w:val="24"/>
          <w:szCs w:val="24"/>
          <w:lang w:val="en-US" w:eastAsia="zh-CN"/>
        </w:rPr>
        <w:t>03</w:t>
      </w:r>
      <w:r>
        <w:rPr>
          <w:rFonts w:hint="eastAsia" w:ascii="宋体" w:hAnsi="宋体"/>
          <w:color w:val="auto"/>
          <w:sz w:val="24"/>
          <w:szCs w:val="24"/>
          <w:lang w:eastAsia="zh-CN"/>
        </w:rPr>
        <w:t>日</w:t>
      </w:r>
      <w:r>
        <w:rPr>
          <w:rFonts w:hint="eastAsia" w:ascii="宋体" w:hAnsi="宋体"/>
          <w:color w:val="auto"/>
          <w:sz w:val="24"/>
          <w:szCs w:val="24"/>
        </w:rPr>
        <w:t xml:space="preserve">至 </w:t>
      </w:r>
      <w:r>
        <w:rPr>
          <w:rFonts w:hint="eastAsia" w:ascii="宋体" w:hAnsi="宋体"/>
          <w:color w:val="auto"/>
          <w:sz w:val="24"/>
          <w:szCs w:val="24"/>
          <w:lang w:eastAsia="zh-CN"/>
        </w:rPr>
        <w:t>20</w:t>
      </w:r>
      <w:r>
        <w:rPr>
          <w:rFonts w:hint="eastAsia" w:ascii="宋体" w:hAnsi="宋体"/>
          <w:color w:val="auto"/>
          <w:sz w:val="24"/>
          <w:szCs w:val="24"/>
          <w:lang w:val="en-US" w:eastAsia="zh-CN"/>
        </w:rPr>
        <w:t>20</w:t>
      </w:r>
      <w:r>
        <w:rPr>
          <w:rFonts w:hint="eastAsia" w:ascii="宋体" w:hAnsi="宋体"/>
          <w:color w:val="auto"/>
          <w:sz w:val="24"/>
          <w:szCs w:val="24"/>
          <w:lang w:eastAsia="zh-CN"/>
        </w:rPr>
        <w:t>年</w:t>
      </w:r>
      <w:r>
        <w:rPr>
          <w:rFonts w:hint="eastAsia" w:ascii="宋体" w:hAnsi="宋体"/>
          <w:color w:val="auto"/>
          <w:sz w:val="24"/>
          <w:szCs w:val="24"/>
          <w:lang w:val="en-US" w:eastAsia="zh-CN"/>
        </w:rPr>
        <w:t>04</w:t>
      </w:r>
      <w:r>
        <w:rPr>
          <w:rFonts w:hint="eastAsia" w:ascii="宋体" w:hAnsi="宋体"/>
          <w:color w:val="auto"/>
          <w:sz w:val="24"/>
          <w:szCs w:val="24"/>
          <w:lang w:eastAsia="zh-CN"/>
        </w:rPr>
        <w:t>月13日</w:t>
      </w:r>
      <w:r>
        <w:rPr>
          <w:rFonts w:hint="eastAsia" w:ascii="宋体" w:hAnsi="宋体"/>
          <w:color w:val="auto"/>
          <w:sz w:val="24"/>
          <w:szCs w:val="24"/>
        </w:rPr>
        <w:t>下午17时30分止。</w:t>
      </w: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2.2保证金缴纳截止时间（同提交投标文件截止时间）：</w:t>
      </w:r>
      <w:r>
        <w:rPr>
          <w:rFonts w:hint="eastAsia" w:ascii="宋体" w:hAnsi="宋体"/>
          <w:color w:val="auto"/>
          <w:sz w:val="24"/>
          <w:szCs w:val="24"/>
          <w:lang w:eastAsia="zh-CN"/>
        </w:rPr>
        <w:t>20</w:t>
      </w:r>
      <w:r>
        <w:rPr>
          <w:rFonts w:hint="eastAsia" w:ascii="宋体" w:hAnsi="宋体"/>
          <w:color w:val="auto"/>
          <w:sz w:val="24"/>
          <w:szCs w:val="24"/>
          <w:lang w:val="en-US" w:eastAsia="zh-CN"/>
        </w:rPr>
        <w:t>20</w:t>
      </w:r>
      <w:r>
        <w:rPr>
          <w:rFonts w:hint="eastAsia" w:ascii="宋体" w:hAnsi="宋体"/>
          <w:color w:val="auto"/>
          <w:sz w:val="24"/>
          <w:szCs w:val="24"/>
          <w:lang w:eastAsia="zh-CN"/>
        </w:rPr>
        <w:t>年</w:t>
      </w:r>
      <w:r>
        <w:rPr>
          <w:rFonts w:hint="eastAsia" w:ascii="宋体" w:hAnsi="宋体"/>
          <w:color w:val="auto"/>
          <w:sz w:val="24"/>
          <w:szCs w:val="24"/>
          <w:lang w:val="en-US" w:eastAsia="zh-CN"/>
        </w:rPr>
        <w:t>04</w:t>
      </w:r>
      <w:r>
        <w:rPr>
          <w:rFonts w:hint="eastAsia" w:ascii="宋体" w:hAnsi="宋体"/>
          <w:color w:val="auto"/>
          <w:sz w:val="24"/>
          <w:szCs w:val="24"/>
          <w:lang w:eastAsia="zh-CN"/>
        </w:rPr>
        <w:t>月</w:t>
      </w:r>
      <w:r>
        <w:rPr>
          <w:rFonts w:hint="eastAsia" w:ascii="宋体" w:hAnsi="宋体"/>
          <w:color w:val="auto"/>
          <w:sz w:val="24"/>
          <w:szCs w:val="24"/>
          <w:lang w:val="en-US" w:eastAsia="zh-CN"/>
        </w:rPr>
        <w:t>24</w:t>
      </w:r>
      <w:r>
        <w:rPr>
          <w:rFonts w:hint="eastAsia" w:ascii="宋体" w:hAnsi="宋体"/>
          <w:color w:val="auto"/>
          <w:sz w:val="24"/>
          <w:szCs w:val="24"/>
          <w:lang w:eastAsia="zh-CN"/>
        </w:rPr>
        <w:t>日下</w:t>
      </w:r>
      <w:r>
        <w:rPr>
          <w:rFonts w:hint="eastAsia" w:ascii="宋体" w:hAnsi="宋体"/>
          <w:color w:val="auto"/>
          <w:sz w:val="24"/>
          <w:szCs w:val="24"/>
        </w:rPr>
        <w:t>午</w:t>
      </w:r>
      <w:r>
        <w:rPr>
          <w:rFonts w:hint="eastAsia" w:ascii="宋体" w:hAnsi="宋体"/>
          <w:color w:val="auto"/>
          <w:sz w:val="24"/>
          <w:szCs w:val="24"/>
          <w:lang w:val="en-US" w:eastAsia="zh-CN"/>
        </w:rPr>
        <w:t>15</w:t>
      </w:r>
      <w:r>
        <w:rPr>
          <w:rFonts w:hint="eastAsia" w:ascii="宋体" w:hAnsi="宋体"/>
          <w:color w:val="auto"/>
          <w:sz w:val="24"/>
          <w:szCs w:val="24"/>
        </w:rPr>
        <w:t>时</w:t>
      </w:r>
      <w:r>
        <w:rPr>
          <w:rFonts w:hint="eastAsia" w:ascii="宋体" w:hAnsi="宋体"/>
          <w:color w:val="auto"/>
          <w:sz w:val="24"/>
          <w:szCs w:val="24"/>
          <w:lang w:val="en-US" w:eastAsia="zh-CN"/>
        </w:rPr>
        <w:t>00</w:t>
      </w:r>
      <w:r>
        <w:rPr>
          <w:rFonts w:hint="eastAsia" w:ascii="宋体" w:hAnsi="宋体"/>
          <w:color w:val="auto"/>
          <w:sz w:val="24"/>
          <w:szCs w:val="24"/>
        </w:rPr>
        <w:t>分前。</w:t>
      </w:r>
    </w:p>
    <w:p>
      <w:pPr>
        <w:spacing w:line="360" w:lineRule="auto"/>
        <w:rPr>
          <w:rFonts w:ascii="宋体" w:hAnsi="宋体"/>
          <w:color w:val="auto"/>
          <w:sz w:val="24"/>
          <w:szCs w:val="24"/>
        </w:rPr>
      </w:pPr>
      <w:r>
        <w:rPr>
          <w:rFonts w:hint="eastAsia" w:ascii="宋体" w:hAnsi="宋体"/>
          <w:b/>
          <w:color w:val="auto"/>
          <w:sz w:val="24"/>
          <w:szCs w:val="24"/>
        </w:rPr>
        <w:t>3.特别提示</w:t>
      </w:r>
      <w:r>
        <w:rPr>
          <w:rFonts w:hint="eastAsia" w:ascii="宋体" w:hAnsi="宋体"/>
          <w:color w:val="auto"/>
          <w:sz w:val="24"/>
          <w:szCs w:val="24"/>
        </w:rPr>
        <w:t>：</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3.1“回执码”是用来查询报名状况的登录码，投标人在完成保证金缴纳后，应及时用“回执码”登陆查询报名状况，关注所投项目或标包的保证金缴纳确认状态，如果在开标前仍显示“未缴纳”状态时，应及时查找原因，必要时可联系交易中心财务人员（白俊艳0477—7625245）进行咨询，以确保投标保证金缴纳情况符合招标文件规定。投标人未按照招标文件要求缴纳投标保证金导致的一切后果由投标人自行承担。</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3.2由于投标保证金到账需要一定时间，请投标人在投标截止前及早缴纳，以免导致报名无效。</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3.3若报名成功将以短信的方式进行提示，如已完成报名信息的填写并缴纳投标保证金后仍未收到报名成功短信，请及时用“回执码”登陆查询报名状况及保证金缴纳状态。</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3.4网上报名成功而放弃参加投标的投标人，请在提交投标文件前以书面形式并加盖单位公章（扫描件发送至</w:t>
      </w:r>
      <w:r>
        <w:rPr>
          <w:color w:val="auto"/>
        </w:rPr>
        <w:fldChar w:fldCharType="begin"/>
      </w:r>
      <w:r>
        <w:rPr>
          <w:color w:val="auto"/>
        </w:rPr>
        <w:instrText xml:space="preserve"> HYPERLINK "javascript:;" </w:instrText>
      </w:r>
      <w:r>
        <w:rPr>
          <w:color w:val="auto"/>
        </w:rPr>
        <w:fldChar w:fldCharType="separate"/>
      </w:r>
      <w:r>
        <w:rPr>
          <w:rStyle w:val="35"/>
          <w:rFonts w:hint="eastAsia" w:ascii="宋体" w:hAnsi="宋体"/>
          <w:bCs/>
          <w:color w:val="auto"/>
          <w:sz w:val="24"/>
          <w:szCs w:val="24"/>
          <w:shd w:val="clear" w:color="auto" w:fill="FFFFFF"/>
          <w:lang w:val="en-US" w:eastAsia="zh-CN"/>
        </w:rPr>
        <w:t>923308479</w:t>
      </w:r>
      <w:r>
        <w:rPr>
          <w:rStyle w:val="35"/>
          <w:rFonts w:hint="eastAsia" w:ascii="宋体" w:hAnsi="宋体"/>
          <w:bCs/>
          <w:color w:val="auto"/>
          <w:sz w:val="24"/>
          <w:szCs w:val="24"/>
          <w:shd w:val="clear" w:color="auto" w:fill="FFFFFF"/>
        </w:rPr>
        <w:t>@qq</w:t>
      </w:r>
      <w:r>
        <w:rPr>
          <w:rStyle w:val="35"/>
          <w:rFonts w:ascii="宋体" w:hAnsi="宋体"/>
          <w:bCs/>
          <w:color w:val="auto"/>
          <w:sz w:val="24"/>
          <w:szCs w:val="24"/>
          <w:shd w:val="clear" w:color="auto" w:fill="FFFFFF"/>
        </w:rPr>
        <w:t>.com</w:t>
      </w:r>
      <w:r>
        <w:rPr>
          <w:rStyle w:val="35"/>
          <w:rFonts w:ascii="宋体" w:hAnsi="宋体"/>
          <w:bCs/>
          <w:color w:val="auto"/>
          <w:sz w:val="24"/>
          <w:szCs w:val="24"/>
          <w:shd w:val="clear" w:color="auto" w:fill="FFFFFF"/>
        </w:rPr>
        <w:fldChar w:fldCharType="end"/>
      </w:r>
      <w:r>
        <w:rPr>
          <w:rFonts w:hint="eastAsia" w:ascii="宋体" w:hAnsi="宋体"/>
          <w:color w:val="auto"/>
          <w:sz w:val="24"/>
          <w:szCs w:val="24"/>
        </w:rPr>
        <w:t>或书面送达）通知鄂托克前旗公共资源交易中心，并在网上报名页面中撤销报名。放弃投标未予告知的，鄂托克前旗公共资源交易中心将给予不诚信行为记录</w:t>
      </w:r>
      <w:r>
        <w:rPr>
          <w:sz w:val="24"/>
          <w:szCs w:val="24"/>
        </w:rPr>
        <w:t>记录并在鄂尔多斯市公共资源交易网上公开通报</w:t>
      </w:r>
      <w:r>
        <w:rPr>
          <w:rFonts w:hint="eastAsia" w:ascii="宋体" w:hAnsi="宋体"/>
          <w:color w:val="auto"/>
          <w:sz w:val="24"/>
          <w:szCs w:val="24"/>
        </w:rPr>
        <w:t>。</w:t>
      </w:r>
    </w:p>
    <w:p>
      <w:pPr>
        <w:spacing w:line="360" w:lineRule="auto"/>
        <w:rPr>
          <w:rFonts w:ascii="宋体" w:hAnsi="宋体"/>
          <w:b/>
          <w:color w:val="auto"/>
          <w:sz w:val="24"/>
          <w:szCs w:val="24"/>
        </w:rPr>
      </w:pPr>
      <w:r>
        <w:rPr>
          <w:rFonts w:hint="eastAsia" w:ascii="宋体" w:hAnsi="宋体"/>
          <w:b/>
          <w:color w:val="auto"/>
          <w:sz w:val="24"/>
          <w:szCs w:val="24"/>
        </w:rPr>
        <w:t>三.说明</w:t>
      </w:r>
    </w:p>
    <w:p>
      <w:pPr>
        <w:spacing w:line="360" w:lineRule="auto"/>
        <w:rPr>
          <w:rFonts w:ascii="宋体" w:hAnsi="宋体" w:cs="宋体"/>
          <w:b/>
          <w:color w:val="auto"/>
          <w:sz w:val="24"/>
          <w:szCs w:val="24"/>
        </w:rPr>
      </w:pPr>
      <w:r>
        <w:rPr>
          <w:rFonts w:hint="eastAsia" w:ascii="宋体" w:hAnsi="宋体" w:cs="宋体"/>
          <w:b/>
          <w:color w:val="auto"/>
          <w:sz w:val="24"/>
          <w:szCs w:val="24"/>
        </w:rPr>
        <w:t>1.总则</w:t>
      </w:r>
    </w:p>
    <w:p>
      <w:pPr>
        <w:spacing w:line="360" w:lineRule="auto"/>
        <w:ind w:firstLine="482" w:firstLineChars="201"/>
        <w:rPr>
          <w:rFonts w:ascii="宋体" w:hAnsi="宋体"/>
          <w:color w:val="auto"/>
          <w:sz w:val="24"/>
          <w:szCs w:val="24"/>
        </w:rPr>
      </w:pPr>
      <w:r>
        <w:rPr>
          <w:rFonts w:hint="eastAsia" w:ascii="宋体" w:hAnsi="宋体" w:cs="宋体"/>
          <w:color w:val="auto"/>
          <w:sz w:val="24"/>
          <w:szCs w:val="24"/>
        </w:rPr>
        <w:t>本招标文件依据《中华人民共和国政府采购法》、《中华人民共和国政府采购法实施条例》和《政府采购货物和服务招标投标管理办法》（财政部令第87号）及国家和自治区有关法律、法规、规章制度编制。</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投标人应仔细阅读本项目信息公告及招标文件的所有内容（包括变更、补充、澄清以及修改等，且均为招标文件的组成部分），按照招标文件要求以及格式编制投标文件，并保证其真实性，否则一切后果自负。</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本次公开招标项目，</w:t>
      </w:r>
      <w:r>
        <w:rPr>
          <w:rFonts w:ascii="宋体" w:hAnsi="宋体"/>
          <w:color w:val="auto"/>
          <w:sz w:val="24"/>
          <w:szCs w:val="24"/>
        </w:rPr>
        <w:t>是以</w:t>
      </w:r>
      <w:r>
        <w:rPr>
          <w:rFonts w:hint="eastAsia" w:ascii="宋体" w:hAnsi="宋体"/>
          <w:color w:val="auto"/>
          <w:sz w:val="24"/>
          <w:szCs w:val="24"/>
        </w:rPr>
        <w:t>招标</w:t>
      </w:r>
      <w:r>
        <w:rPr>
          <w:rFonts w:ascii="宋体" w:hAnsi="宋体"/>
          <w:color w:val="auto"/>
          <w:sz w:val="24"/>
          <w:szCs w:val="24"/>
        </w:rPr>
        <w:t>公告的方式邀请非特定的</w:t>
      </w:r>
      <w:r>
        <w:rPr>
          <w:rFonts w:hint="eastAsia" w:ascii="宋体" w:hAnsi="宋体"/>
          <w:color w:val="auto"/>
          <w:sz w:val="24"/>
          <w:szCs w:val="24"/>
        </w:rPr>
        <w:t>投标人</w:t>
      </w:r>
      <w:r>
        <w:rPr>
          <w:rFonts w:ascii="宋体" w:hAnsi="宋体"/>
          <w:color w:val="auto"/>
          <w:sz w:val="24"/>
          <w:szCs w:val="24"/>
        </w:rPr>
        <w:t>参加投标</w:t>
      </w:r>
      <w:r>
        <w:rPr>
          <w:rFonts w:hint="eastAsia" w:ascii="宋体" w:hAnsi="宋体"/>
          <w:color w:val="auto"/>
          <w:sz w:val="24"/>
          <w:szCs w:val="24"/>
        </w:rPr>
        <w:t>。</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本招标文件所称货物，是指各种形态和种类的物品。提供的货物必须合法生产或销售且符合国家有关标准要求。</w:t>
      </w:r>
    </w:p>
    <w:p>
      <w:pPr>
        <w:pStyle w:val="16"/>
        <w:adjustRightInd w:val="0"/>
        <w:snapToGrid w:val="0"/>
        <w:spacing w:line="360" w:lineRule="auto"/>
        <w:rPr>
          <w:rFonts w:hAnsi="宋体"/>
          <w:b/>
          <w:color w:val="auto"/>
          <w:kern w:val="2"/>
          <w:sz w:val="24"/>
          <w:szCs w:val="24"/>
        </w:rPr>
      </w:pPr>
      <w:r>
        <w:rPr>
          <w:rFonts w:hint="eastAsia" w:hAnsi="宋体"/>
          <w:b/>
          <w:color w:val="auto"/>
          <w:kern w:val="2"/>
          <w:sz w:val="24"/>
          <w:szCs w:val="24"/>
        </w:rPr>
        <w:t>2.适用范围</w:t>
      </w:r>
    </w:p>
    <w:p>
      <w:pPr>
        <w:pStyle w:val="16"/>
        <w:adjustRightInd w:val="0"/>
        <w:snapToGrid w:val="0"/>
        <w:spacing w:line="360" w:lineRule="auto"/>
        <w:ind w:firstLine="480" w:firstLineChars="200"/>
        <w:rPr>
          <w:rFonts w:hAnsi="宋体"/>
          <w:b/>
          <w:color w:val="auto"/>
          <w:kern w:val="2"/>
          <w:sz w:val="24"/>
          <w:szCs w:val="24"/>
        </w:rPr>
      </w:pPr>
      <w:r>
        <w:rPr>
          <w:rFonts w:hint="eastAsia" w:hAnsi="宋体" w:cs="宋体"/>
          <w:color w:val="auto"/>
          <w:sz w:val="24"/>
          <w:szCs w:val="24"/>
        </w:rPr>
        <w:t>本招标文件仅适用于本次招标公告中所涉及的项目和内容。</w:t>
      </w:r>
    </w:p>
    <w:p>
      <w:pPr>
        <w:pStyle w:val="16"/>
        <w:adjustRightInd w:val="0"/>
        <w:snapToGrid w:val="0"/>
        <w:spacing w:line="360" w:lineRule="auto"/>
        <w:rPr>
          <w:rFonts w:hAnsi="宋体"/>
          <w:b/>
          <w:color w:val="auto"/>
          <w:sz w:val="24"/>
          <w:szCs w:val="24"/>
        </w:rPr>
      </w:pPr>
      <w:r>
        <w:rPr>
          <w:rFonts w:hint="eastAsia" w:hAnsi="宋体"/>
          <w:b/>
          <w:color w:val="auto"/>
          <w:sz w:val="24"/>
          <w:szCs w:val="24"/>
        </w:rPr>
        <w:t>3.投标费用</w:t>
      </w:r>
    </w:p>
    <w:p>
      <w:pPr>
        <w:pStyle w:val="16"/>
        <w:adjustRightInd w:val="0"/>
        <w:snapToGrid w:val="0"/>
        <w:spacing w:line="360" w:lineRule="auto"/>
        <w:ind w:firstLine="480" w:firstLineChars="200"/>
        <w:rPr>
          <w:rFonts w:hAnsi="宋体" w:cs="Arial"/>
          <w:color w:val="auto"/>
          <w:kern w:val="2"/>
          <w:sz w:val="24"/>
          <w:szCs w:val="24"/>
        </w:rPr>
      </w:pPr>
      <w:r>
        <w:rPr>
          <w:rFonts w:hint="eastAsia" w:hAnsi="宋体"/>
          <w:color w:val="auto"/>
          <w:sz w:val="24"/>
          <w:szCs w:val="24"/>
        </w:rPr>
        <w:t>3.1投标人应承担所有与准备和参加投标有关的费用。不论投标结果如何，采购代理机构</w:t>
      </w:r>
      <w:r>
        <w:rPr>
          <w:rFonts w:hint="eastAsia" w:hAnsi="宋体" w:cs="Arial"/>
          <w:color w:val="auto"/>
          <w:kern w:val="2"/>
          <w:sz w:val="24"/>
          <w:szCs w:val="24"/>
        </w:rPr>
        <w:t>和采购人均无义务和责任承担相关费用。</w:t>
      </w:r>
    </w:p>
    <w:p>
      <w:pPr>
        <w:pStyle w:val="16"/>
        <w:adjustRightInd w:val="0"/>
        <w:snapToGrid w:val="0"/>
        <w:spacing w:line="360" w:lineRule="auto"/>
        <w:ind w:firstLine="480" w:firstLineChars="200"/>
        <w:rPr>
          <w:rFonts w:hAnsi="宋体"/>
          <w:color w:val="auto"/>
          <w:sz w:val="24"/>
          <w:szCs w:val="24"/>
        </w:rPr>
      </w:pPr>
      <w:r>
        <w:rPr>
          <w:rFonts w:hint="eastAsia" w:hAnsi="宋体"/>
          <w:color w:val="auto"/>
          <w:sz w:val="24"/>
          <w:szCs w:val="24"/>
        </w:rPr>
        <w:t>3.2．中标人需承担本次项目采购机构代理费用，支付方式以中标通知书中载明的中标总价为计算基数，按内蒙古自治区工程建设协会文件，内工建协[2016]17号文件规定收费收取采购代理服务费。</w:t>
      </w:r>
    </w:p>
    <w:p>
      <w:pPr>
        <w:spacing w:line="360" w:lineRule="auto"/>
        <w:rPr>
          <w:rFonts w:ascii="宋体" w:hAnsi="宋体" w:cs="Arial"/>
          <w:b/>
          <w:color w:val="auto"/>
          <w:sz w:val="24"/>
          <w:szCs w:val="24"/>
        </w:rPr>
      </w:pPr>
      <w:r>
        <w:rPr>
          <w:rFonts w:hint="eastAsia" w:ascii="宋体" w:hAnsi="宋体" w:cs="Arial"/>
          <w:b/>
          <w:color w:val="auto"/>
          <w:sz w:val="24"/>
          <w:szCs w:val="24"/>
        </w:rPr>
        <w:t>4.当事人</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4.1“采购人”是指</w:t>
      </w:r>
      <w:r>
        <w:rPr>
          <w:rFonts w:hint="eastAsia" w:ascii="宋体" w:hAnsi="宋体" w:cs="Arial"/>
          <w:color w:val="auto"/>
          <w:sz w:val="24"/>
          <w:szCs w:val="24"/>
        </w:rPr>
        <w:t>依法进行政府采购的国家机关、事业单位、团体组织。本招标文件的采购人特指</w:t>
      </w:r>
      <w:r>
        <w:rPr>
          <w:rFonts w:hint="eastAsia" w:ascii="宋体" w:hAnsi="宋体" w:cs="Arial"/>
          <w:color w:val="auto"/>
          <w:sz w:val="24"/>
          <w:szCs w:val="24"/>
          <w:lang w:eastAsia="zh-CN"/>
        </w:rPr>
        <w:t>鄂托克前旗民政局</w:t>
      </w:r>
      <w:r>
        <w:rPr>
          <w:rFonts w:hint="eastAsia" w:ascii="宋体" w:hAnsi="宋体" w:cs="Arial"/>
          <w:b/>
          <w:color w:val="auto"/>
          <w:sz w:val="24"/>
          <w:szCs w:val="24"/>
        </w:rPr>
        <w:t>（采购单位名称）。</w:t>
      </w:r>
    </w:p>
    <w:p>
      <w:pPr>
        <w:spacing w:line="360" w:lineRule="auto"/>
        <w:ind w:firstLine="480" w:firstLineChars="200"/>
        <w:rPr>
          <w:rFonts w:hint="eastAsia" w:ascii="宋体" w:hAnsi="宋体"/>
          <w:color w:val="auto"/>
          <w:sz w:val="24"/>
          <w:szCs w:val="24"/>
        </w:rPr>
      </w:pPr>
      <w:r>
        <w:rPr>
          <w:rFonts w:ascii="宋体" w:hAnsi="宋体"/>
          <w:color w:val="auto"/>
          <w:sz w:val="24"/>
          <w:szCs w:val="24"/>
        </w:rPr>
        <w:t>4.2</w:t>
      </w:r>
      <w:r>
        <w:rPr>
          <w:rFonts w:hint="eastAsia" w:ascii="宋体" w:hAnsi="宋体"/>
          <w:color w:val="auto"/>
          <w:sz w:val="24"/>
          <w:szCs w:val="24"/>
        </w:rPr>
        <w:t>“集中采购机构”是指人民政府依法设立的代理集中采购项目的执行机构。本招标文件的集中采购机构特指</w:t>
      </w:r>
      <w:r>
        <w:rPr>
          <w:rFonts w:hint="eastAsia" w:ascii="宋体" w:hAnsi="宋体"/>
          <w:b/>
          <w:color w:val="auto"/>
          <w:sz w:val="24"/>
          <w:szCs w:val="24"/>
          <w:lang w:eastAsia="zh-CN"/>
        </w:rPr>
        <w:t>内蒙古久诺项目管理有限公司</w:t>
      </w:r>
      <w:r>
        <w:rPr>
          <w:rFonts w:hint="eastAsia" w:ascii="宋体" w:hAnsi="宋体"/>
          <w:color w:val="auto"/>
          <w:sz w:val="24"/>
          <w:szCs w:val="24"/>
        </w:rPr>
        <w:t>（以下简称采购代理机构）。</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4.3“投标人”是指向采购人提供货物、工程或者服务的法人、其他组织或者自然人。</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4.4“评标委员会”是指根据《中华人民共和国政府采购法》等法律法规规定，由采购人代表和有关专家组成以确定中标人或者推荐中标候选人的临时组织。</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4.5“中标人”是指经评标委员会评审确定的对招标文件做出实质性响应，取得与采购人签订合同资格的投标人。</w:t>
      </w:r>
    </w:p>
    <w:p>
      <w:pPr>
        <w:spacing w:line="360" w:lineRule="auto"/>
        <w:rPr>
          <w:rFonts w:ascii="宋体" w:hAnsi="宋体"/>
          <w:b/>
          <w:color w:val="auto"/>
          <w:sz w:val="24"/>
          <w:szCs w:val="24"/>
        </w:rPr>
      </w:pPr>
      <w:r>
        <w:rPr>
          <w:rFonts w:hint="eastAsia" w:ascii="宋体" w:hAnsi="宋体"/>
          <w:b/>
          <w:color w:val="auto"/>
          <w:sz w:val="24"/>
          <w:szCs w:val="24"/>
        </w:rPr>
        <w:t>5.合格的投标人</w:t>
      </w:r>
    </w:p>
    <w:p>
      <w:pPr>
        <w:spacing w:line="360" w:lineRule="auto"/>
        <w:ind w:firstLine="480" w:firstLineChars="200"/>
        <w:rPr>
          <w:rFonts w:ascii="宋体" w:hAnsi="宋体"/>
          <w:bCs/>
          <w:color w:val="auto"/>
          <w:sz w:val="24"/>
          <w:szCs w:val="24"/>
        </w:rPr>
      </w:pPr>
      <w:r>
        <w:rPr>
          <w:rFonts w:hint="eastAsia" w:ascii="宋体" w:hAnsi="宋体"/>
          <w:color w:val="auto"/>
          <w:sz w:val="24"/>
          <w:szCs w:val="24"/>
        </w:rPr>
        <w:t>5.1具有独立承担民事责任的能力、</w:t>
      </w:r>
      <w:r>
        <w:rPr>
          <w:rFonts w:hint="eastAsia" w:ascii="宋体" w:hAnsi="宋体"/>
          <w:bCs/>
          <w:color w:val="auto"/>
          <w:sz w:val="24"/>
          <w:szCs w:val="24"/>
        </w:rPr>
        <w:t>具有良好的商业信誉和健全的财务会计制度、有依法缴纳税收和社会保障资金的良好记录、具有履行合同所必须的设备和专业技术能力、参加采购活动前3年内在经营活动中没有重大违法记录，并按照要求提供相关证明材料。</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5.2 符合本招标文件规定的资格要求，并按照要求提供相关证明材料。</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5.3单位负责人为同一人或者存在直接控股、管理关系的不同投标人，不得参加同一合同项下的政府采购活动。</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5.4为采购项目提供整体设计、规范编制或者项目管理、监理、检测等服务的投标人，不得再参加该采购项目的其他采购活动。</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5.5由于法人分支机构不能独立承担民事责任，不能以分支机构的身份参加政府采购，只能以法人身份参加。</w:t>
      </w:r>
    </w:p>
    <w:p>
      <w:pPr>
        <w:tabs>
          <w:tab w:val="left" w:pos="567"/>
        </w:tabs>
        <w:spacing w:line="360" w:lineRule="auto"/>
        <w:rPr>
          <w:rFonts w:ascii="宋体" w:hAnsi="宋体"/>
          <w:b/>
          <w:bCs/>
          <w:color w:val="auto"/>
          <w:sz w:val="24"/>
          <w:szCs w:val="24"/>
        </w:rPr>
      </w:pPr>
      <w:r>
        <w:rPr>
          <w:rFonts w:hint="eastAsia" w:ascii="宋体" w:hAnsi="宋体"/>
          <w:b/>
          <w:bCs/>
          <w:color w:val="auto"/>
          <w:sz w:val="24"/>
          <w:szCs w:val="24"/>
        </w:rPr>
        <w:t>6.以联合体形式投标的，应符合以下规定：</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6.1联合体各方应签订联合体协议书，明确联合体牵头人和各方权利义务，并装订至投标文件中。</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6.2联合体各方均应当具备政府采购法第二十二条规定的条件，并提供联合体各方的相关证明材料。</w:t>
      </w:r>
    </w:p>
    <w:p>
      <w:pPr>
        <w:spacing w:line="360" w:lineRule="auto"/>
        <w:ind w:firstLine="480" w:firstLineChars="200"/>
        <w:rPr>
          <w:rFonts w:ascii="宋体" w:hAnsi="宋体"/>
          <w:color w:val="auto"/>
          <w:sz w:val="24"/>
          <w:szCs w:val="24"/>
        </w:rPr>
      </w:pPr>
      <w:r>
        <w:rPr>
          <w:rFonts w:hint="eastAsia" w:ascii="宋体" w:hAnsi="宋体" w:cs="宋体"/>
          <w:color w:val="auto"/>
          <w:sz w:val="24"/>
          <w:szCs w:val="24"/>
        </w:rPr>
        <w:t>6.3联合体成员存在不良信用记录的，视同联合体存在不良信用记录。</w:t>
      </w:r>
    </w:p>
    <w:p>
      <w:pPr>
        <w:spacing w:line="360" w:lineRule="auto"/>
        <w:ind w:firstLine="480" w:firstLineChars="200"/>
        <w:rPr>
          <w:rFonts w:ascii="宋体" w:hAnsi="宋体"/>
          <w:color w:val="auto"/>
          <w:sz w:val="24"/>
          <w:szCs w:val="24"/>
        </w:rPr>
      </w:pPr>
      <w:r>
        <w:rPr>
          <w:rFonts w:hint="eastAsia" w:ascii="宋体" w:hAnsi="宋体"/>
          <w:color w:val="auto"/>
          <w:sz w:val="24"/>
          <w:szCs w:val="24"/>
        </w:rPr>
        <w:t>6.4</w:t>
      </w:r>
      <w:r>
        <w:rPr>
          <w:rFonts w:hint="eastAsia" w:ascii="宋体" w:hAnsi="宋体" w:cs="宋体"/>
          <w:color w:val="auto"/>
          <w:sz w:val="24"/>
          <w:szCs w:val="24"/>
        </w:rPr>
        <w:t>联合体各方中至少应当有一方符合采购人规定的资格要求。由</w:t>
      </w:r>
      <w:r>
        <w:rPr>
          <w:rFonts w:hint="eastAsia" w:ascii="宋体" w:hAnsi="宋体"/>
          <w:color w:val="auto"/>
          <w:sz w:val="24"/>
          <w:szCs w:val="24"/>
        </w:rPr>
        <w:t>同一资质条件的投标人组成的联合体，应当按照资质等级较低的投标人确定联合体资质等级。</w:t>
      </w:r>
    </w:p>
    <w:p>
      <w:pPr>
        <w:spacing w:line="360" w:lineRule="auto"/>
        <w:ind w:firstLine="480" w:firstLineChars="200"/>
        <w:rPr>
          <w:rFonts w:ascii="宋体" w:hAnsi="宋体"/>
          <w:color w:val="auto"/>
          <w:sz w:val="24"/>
          <w:szCs w:val="24"/>
        </w:rPr>
      </w:pPr>
      <w:r>
        <w:rPr>
          <w:rFonts w:hint="eastAsia" w:ascii="宋体" w:hAnsi="宋体"/>
          <w:color w:val="auto"/>
          <w:sz w:val="24"/>
          <w:szCs w:val="24"/>
        </w:rPr>
        <w:t>6.5联合体各方不得再以自己名义单独在同一项目中投标，也不得组成新的联合体参加同一项目投标。</w:t>
      </w:r>
    </w:p>
    <w:p>
      <w:pPr>
        <w:spacing w:line="360" w:lineRule="auto"/>
        <w:ind w:firstLine="480" w:firstLineChars="200"/>
        <w:rPr>
          <w:rFonts w:ascii="宋体" w:hAnsi="宋体"/>
          <w:color w:val="auto"/>
          <w:sz w:val="24"/>
          <w:szCs w:val="24"/>
        </w:rPr>
      </w:pPr>
      <w:r>
        <w:rPr>
          <w:rFonts w:hint="eastAsia" w:ascii="宋体" w:hAnsi="宋体"/>
          <w:color w:val="auto"/>
          <w:sz w:val="24"/>
          <w:szCs w:val="24"/>
        </w:rPr>
        <w:t>6.6联合体各方应当共同与采购人签订采购合同，就合同约定的事项对采购人承担连带责任。</w:t>
      </w:r>
    </w:p>
    <w:p>
      <w:pPr>
        <w:spacing w:line="360" w:lineRule="auto"/>
        <w:ind w:firstLine="480" w:firstLineChars="200"/>
        <w:rPr>
          <w:rFonts w:ascii="宋体" w:hAnsi="宋体"/>
          <w:color w:val="auto"/>
          <w:sz w:val="24"/>
          <w:szCs w:val="24"/>
        </w:rPr>
      </w:pPr>
      <w:r>
        <w:rPr>
          <w:rFonts w:hint="eastAsia" w:ascii="宋体" w:hAnsi="宋体"/>
          <w:color w:val="auto"/>
          <w:sz w:val="24"/>
          <w:szCs w:val="24"/>
        </w:rPr>
        <w:t>6.7 投标报名时，应以联合体协议中确定的主体方名义报名，以主体方名义缴纳投标保证金，对联合体各方均具有约束力。</w:t>
      </w:r>
    </w:p>
    <w:p>
      <w:pPr>
        <w:spacing w:line="360" w:lineRule="auto"/>
        <w:rPr>
          <w:rFonts w:ascii="宋体" w:hAnsi="宋体"/>
          <w:b/>
          <w:color w:val="auto"/>
          <w:sz w:val="24"/>
          <w:szCs w:val="24"/>
        </w:rPr>
      </w:pPr>
      <w:r>
        <w:rPr>
          <w:rFonts w:hint="eastAsia" w:ascii="宋体" w:hAnsi="宋体"/>
          <w:b/>
          <w:color w:val="auto"/>
          <w:sz w:val="24"/>
          <w:szCs w:val="24"/>
        </w:rPr>
        <w:t>7.语言文字以及度量衡单位</w:t>
      </w:r>
    </w:p>
    <w:p>
      <w:pPr>
        <w:spacing w:line="360" w:lineRule="auto"/>
        <w:ind w:firstLine="480" w:firstLineChars="200"/>
        <w:rPr>
          <w:rFonts w:ascii="宋体" w:hAnsi="宋体"/>
          <w:color w:val="auto"/>
          <w:sz w:val="24"/>
          <w:szCs w:val="24"/>
        </w:rPr>
      </w:pPr>
      <w:r>
        <w:rPr>
          <w:rFonts w:hint="eastAsia" w:ascii="宋体" w:hAnsi="宋体"/>
          <w:color w:val="auto"/>
          <w:sz w:val="24"/>
          <w:szCs w:val="24"/>
        </w:rPr>
        <w:t>7.1所有文件使用的语言文字为简体中文。专用术语使用外文的，应附有简体中文注释，否则</w:t>
      </w:r>
      <w:r>
        <w:rPr>
          <w:rFonts w:hint="eastAsia" w:ascii="宋体" w:hAnsi="宋体" w:cs="宋体"/>
          <w:color w:val="auto"/>
          <w:sz w:val="24"/>
          <w:szCs w:val="24"/>
        </w:rPr>
        <w:t>视为无效</w:t>
      </w:r>
    </w:p>
    <w:p>
      <w:pPr>
        <w:spacing w:line="360" w:lineRule="auto"/>
        <w:ind w:firstLine="480" w:firstLineChars="200"/>
        <w:rPr>
          <w:rFonts w:ascii="宋体" w:hAnsi="宋体"/>
          <w:color w:val="auto"/>
          <w:sz w:val="24"/>
          <w:szCs w:val="24"/>
        </w:rPr>
      </w:pPr>
      <w:r>
        <w:rPr>
          <w:rFonts w:hint="eastAsia" w:ascii="宋体" w:hAnsi="宋体"/>
          <w:color w:val="auto"/>
          <w:sz w:val="24"/>
          <w:szCs w:val="24"/>
        </w:rPr>
        <w:t>7.2所有计量均采用中国法定的计量单位。</w:t>
      </w:r>
    </w:p>
    <w:p>
      <w:pPr>
        <w:spacing w:line="360" w:lineRule="auto"/>
        <w:ind w:firstLine="480" w:firstLineChars="200"/>
        <w:rPr>
          <w:rFonts w:ascii="宋体" w:hAnsi="宋体"/>
          <w:color w:val="auto"/>
          <w:sz w:val="24"/>
          <w:szCs w:val="24"/>
        </w:rPr>
      </w:pPr>
      <w:r>
        <w:rPr>
          <w:rFonts w:hint="eastAsia" w:ascii="宋体" w:hAnsi="宋体"/>
          <w:color w:val="auto"/>
          <w:sz w:val="24"/>
          <w:szCs w:val="24"/>
        </w:rPr>
        <w:t>7.3所有报价一律使用人民币，货币单位：元。</w:t>
      </w:r>
    </w:p>
    <w:p>
      <w:pPr>
        <w:spacing w:line="360" w:lineRule="auto"/>
        <w:rPr>
          <w:rFonts w:ascii="宋体" w:hAnsi="宋体"/>
          <w:b/>
          <w:color w:val="auto"/>
          <w:sz w:val="24"/>
          <w:szCs w:val="24"/>
        </w:rPr>
      </w:pPr>
      <w:r>
        <w:rPr>
          <w:rFonts w:hint="eastAsia" w:ascii="宋体" w:hAnsi="宋体"/>
          <w:b/>
          <w:color w:val="auto"/>
          <w:sz w:val="24"/>
          <w:szCs w:val="24"/>
        </w:rPr>
        <w:t>8.踏勘现场</w:t>
      </w:r>
    </w:p>
    <w:p>
      <w:pPr>
        <w:spacing w:line="360" w:lineRule="auto"/>
        <w:ind w:firstLine="480" w:firstLineChars="200"/>
        <w:rPr>
          <w:rFonts w:ascii="宋体" w:hAnsi="宋体"/>
          <w:b/>
          <w:color w:val="auto"/>
          <w:sz w:val="24"/>
          <w:szCs w:val="24"/>
        </w:rPr>
      </w:pPr>
      <w:r>
        <w:rPr>
          <w:rFonts w:hint="eastAsia" w:ascii="宋体" w:hAnsi="宋体"/>
          <w:color w:val="auto"/>
          <w:sz w:val="24"/>
          <w:szCs w:val="24"/>
        </w:rPr>
        <w:t xml:space="preserve">8.1招标文件规定组织踏勘现场的，采购人按招标文件规定的时间、地点组织投标人踏勘项目现场。 </w:t>
      </w:r>
    </w:p>
    <w:p>
      <w:pPr>
        <w:spacing w:line="360" w:lineRule="auto"/>
        <w:ind w:firstLine="480" w:firstLineChars="200"/>
        <w:rPr>
          <w:rFonts w:ascii="宋体" w:hAnsi="宋体"/>
          <w:color w:val="auto"/>
          <w:sz w:val="24"/>
          <w:szCs w:val="24"/>
        </w:rPr>
      </w:pPr>
      <w:r>
        <w:rPr>
          <w:rFonts w:hint="eastAsia" w:ascii="宋体" w:hAnsi="宋体"/>
          <w:color w:val="auto"/>
          <w:sz w:val="24"/>
          <w:szCs w:val="24"/>
        </w:rPr>
        <w:t>8.2投标人自行承担踏勘现场发生的责任、风险和自身费用。</w:t>
      </w:r>
    </w:p>
    <w:p>
      <w:pPr>
        <w:spacing w:line="360" w:lineRule="auto"/>
        <w:ind w:firstLine="480" w:firstLineChars="200"/>
        <w:rPr>
          <w:rFonts w:ascii="宋体" w:hAnsi="宋体"/>
          <w:color w:val="auto"/>
          <w:sz w:val="24"/>
          <w:szCs w:val="24"/>
        </w:rPr>
      </w:pPr>
      <w:r>
        <w:rPr>
          <w:rFonts w:hint="eastAsia" w:ascii="宋体" w:hAnsi="宋体"/>
          <w:color w:val="auto"/>
          <w:sz w:val="24"/>
          <w:szCs w:val="24"/>
        </w:rPr>
        <w:t>8.3采购人在踏勘现场中介绍的资料和数据等，不构成对招标文件的修改或不作为投标人编制投标文件的依据。</w:t>
      </w:r>
    </w:p>
    <w:p>
      <w:pPr>
        <w:spacing w:line="360" w:lineRule="auto"/>
        <w:rPr>
          <w:rFonts w:ascii="宋体" w:hAnsi="宋体"/>
          <w:b/>
          <w:color w:val="auto"/>
          <w:sz w:val="24"/>
          <w:szCs w:val="24"/>
        </w:rPr>
      </w:pPr>
      <w:r>
        <w:rPr>
          <w:rFonts w:hint="eastAsia" w:ascii="宋体" w:hAnsi="宋体"/>
          <w:b/>
          <w:color w:val="auto"/>
          <w:sz w:val="24"/>
          <w:szCs w:val="24"/>
        </w:rPr>
        <w:t>9.其他条款</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无论中标与否投标人递交的投标文件均不予退还。</w:t>
      </w:r>
    </w:p>
    <w:p>
      <w:pPr>
        <w:spacing w:line="360" w:lineRule="auto"/>
        <w:rPr>
          <w:rFonts w:ascii="宋体" w:hAnsi="宋体"/>
          <w:b/>
          <w:color w:val="auto"/>
          <w:sz w:val="24"/>
          <w:szCs w:val="24"/>
        </w:rPr>
      </w:pPr>
      <w:r>
        <w:rPr>
          <w:rFonts w:hint="eastAsia" w:ascii="宋体" w:hAnsi="宋体"/>
          <w:b/>
          <w:color w:val="auto"/>
          <w:sz w:val="24"/>
          <w:szCs w:val="24"/>
        </w:rPr>
        <w:t>四.招标文件的澄清或者修改</w:t>
      </w:r>
    </w:p>
    <w:p>
      <w:pPr>
        <w:spacing w:line="360" w:lineRule="auto"/>
        <w:ind w:firstLine="480" w:firstLineChars="200"/>
        <w:rPr>
          <w:rFonts w:ascii="宋体" w:hAnsi="宋体"/>
          <w:color w:val="auto"/>
          <w:sz w:val="24"/>
          <w:szCs w:val="24"/>
        </w:rPr>
      </w:pPr>
      <w:r>
        <w:rPr>
          <w:rFonts w:hint="eastAsia" w:ascii="宋体" w:hAnsi="宋体"/>
          <w:color w:val="auto"/>
          <w:sz w:val="24"/>
          <w:szCs w:val="24"/>
        </w:rPr>
        <w:t>采购人或采购代理机构对已发出的招标文件进行必要的澄清或修改的，澄清或者修改的内容可能影响投标文件编制的，采购人或者采购代理机构应当在投标截止时间15日前，</w:t>
      </w:r>
      <w:r>
        <w:rPr>
          <w:rFonts w:ascii="宋体" w:hAnsi="宋体" w:cs="宋体"/>
          <w:color w:val="auto"/>
          <w:kern w:val="0"/>
          <w:sz w:val="24"/>
          <w:szCs w:val="24"/>
        </w:rPr>
        <w:t>不足</w:t>
      </w:r>
      <w:r>
        <w:rPr>
          <w:rFonts w:hint="eastAsia" w:ascii="宋体" w:hAnsi="宋体" w:cs="宋体"/>
          <w:color w:val="auto"/>
          <w:kern w:val="0"/>
          <w:sz w:val="24"/>
          <w:szCs w:val="24"/>
        </w:rPr>
        <w:t>15</w:t>
      </w:r>
      <w:r>
        <w:rPr>
          <w:rFonts w:ascii="宋体" w:hAnsi="宋体" w:cs="宋体"/>
          <w:color w:val="auto"/>
          <w:kern w:val="0"/>
          <w:sz w:val="24"/>
          <w:szCs w:val="24"/>
        </w:rPr>
        <w:t>日的，顺延</w:t>
      </w:r>
      <w:r>
        <w:rPr>
          <w:rFonts w:hint="eastAsia" w:ascii="宋体" w:hAnsi="宋体" w:cs="宋体"/>
          <w:color w:val="auto"/>
          <w:kern w:val="0"/>
          <w:sz w:val="24"/>
          <w:szCs w:val="24"/>
        </w:rPr>
        <w:t>投标</w:t>
      </w:r>
      <w:r>
        <w:rPr>
          <w:rFonts w:ascii="宋体" w:hAnsi="宋体" w:cs="宋体"/>
          <w:color w:val="auto"/>
          <w:kern w:val="0"/>
          <w:sz w:val="24"/>
          <w:szCs w:val="24"/>
        </w:rPr>
        <w:t>截止之日</w:t>
      </w:r>
      <w:r>
        <w:rPr>
          <w:rFonts w:hint="eastAsia" w:ascii="宋体" w:hAnsi="宋体" w:cs="宋体"/>
          <w:color w:val="auto"/>
          <w:kern w:val="0"/>
          <w:sz w:val="24"/>
          <w:szCs w:val="24"/>
        </w:rPr>
        <w:t>，</w:t>
      </w:r>
      <w:r>
        <w:rPr>
          <w:kern w:val="0"/>
          <w:sz w:val="24"/>
          <w:szCs w:val="24"/>
        </w:rPr>
        <w:t>同时</w:t>
      </w:r>
      <w:r>
        <w:rPr>
          <w:sz w:val="24"/>
          <w:szCs w:val="24"/>
        </w:rPr>
        <w:t>在“内蒙古自治区政府采购网”、“内蒙古自治区公共资源交易网”、“鄂尔多斯市政府采购网”和“鄂尔多斯市公共资源交易网”、“鄂托克前旗人民政府网”上发布澄清或者变更公告进行通知。澄清或者变更公告的内容为招标文件的组成部分，投标人应自行上网查询，采购人或</w:t>
      </w:r>
      <w:r>
        <w:rPr>
          <w:rFonts w:hint="eastAsia"/>
          <w:sz w:val="24"/>
          <w:szCs w:val="24"/>
          <w:lang w:eastAsia="zh-CN"/>
        </w:rPr>
        <w:t>采购</w:t>
      </w:r>
      <w:r>
        <w:rPr>
          <w:rFonts w:hint="eastAsia"/>
          <w:sz w:val="24"/>
          <w:szCs w:val="24"/>
        </w:rPr>
        <w:t>代理公司</w:t>
      </w:r>
      <w:r>
        <w:rPr>
          <w:sz w:val="24"/>
          <w:szCs w:val="24"/>
        </w:rPr>
        <w:t>不承担投标人未及时关注相关信息的责任。</w:t>
      </w:r>
    </w:p>
    <w:p>
      <w:pPr>
        <w:spacing w:line="360" w:lineRule="auto"/>
        <w:rPr>
          <w:rFonts w:ascii="宋体" w:hAnsi="宋体"/>
          <w:b/>
          <w:color w:val="auto"/>
          <w:sz w:val="24"/>
          <w:szCs w:val="24"/>
        </w:rPr>
      </w:pPr>
      <w:r>
        <w:rPr>
          <w:rFonts w:hint="eastAsia" w:ascii="宋体" w:hAnsi="宋体"/>
          <w:b/>
          <w:color w:val="auto"/>
          <w:sz w:val="24"/>
          <w:szCs w:val="24"/>
        </w:rPr>
        <w:t>五.投标文件</w:t>
      </w:r>
    </w:p>
    <w:p>
      <w:pPr>
        <w:spacing w:line="360" w:lineRule="auto"/>
        <w:rPr>
          <w:rFonts w:ascii="宋体" w:hAnsi="宋体"/>
          <w:b/>
          <w:color w:val="auto"/>
          <w:sz w:val="24"/>
          <w:szCs w:val="24"/>
        </w:rPr>
      </w:pPr>
      <w:r>
        <w:rPr>
          <w:rFonts w:hint="eastAsia" w:ascii="宋体" w:hAnsi="宋体"/>
          <w:b/>
          <w:color w:val="auto"/>
          <w:sz w:val="24"/>
          <w:szCs w:val="24"/>
        </w:rPr>
        <w:t>1.投标文件的构成</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投标文件应按照招标文件第七章“投标文件格式”进行编写（可以增加附页），作为投标文件的组成部分。</w:t>
      </w:r>
    </w:p>
    <w:p>
      <w:pPr>
        <w:spacing w:line="360" w:lineRule="auto"/>
        <w:rPr>
          <w:rFonts w:ascii="宋体" w:hAnsi="宋体"/>
          <w:b/>
          <w:color w:val="auto"/>
          <w:sz w:val="24"/>
          <w:szCs w:val="24"/>
        </w:rPr>
      </w:pPr>
      <w:r>
        <w:rPr>
          <w:rFonts w:hint="eastAsia" w:ascii="宋体" w:hAnsi="宋体"/>
          <w:b/>
          <w:color w:val="auto"/>
          <w:sz w:val="24"/>
          <w:szCs w:val="24"/>
        </w:rPr>
        <w:t>2.投标报价</w:t>
      </w:r>
    </w:p>
    <w:p>
      <w:pPr>
        <w:autoSpaceDE w:val="0"/>
        <w:autoSpaceDN w:val="0"/>
        <w:adjustRightInd w:val="0"/>
        <w:snapToGrid w:val="0"/>
        <w:spacing w:line="360" w:lineRule="auto"/>
        <w:ind w:right="-147" w:firstLine="480" w:firstLineChars="200"/>
        <w:rPr>
          <w:rFonts w:ascii="宋体" w:hAnsi="宋体"/>
          <w:color w:val="auto"/>
          <w:kern w:val="0"/>
          <w:sz w:val="24"/>
          <w:szCs w:val="24"/>
        </w:rPr>
      </w:pPr>
      <w:r>
        <w:rPr>
          <w:rFonts w:hint="eastAsia" w:ascii="宋体" w:hAnsi="宋体"/>
          <w:color w:val="auto"/>
          <w:kern w:val="0"/>
          <w:sz w:val="24"/>
          <w:szCs w:val="24"/>
        </w:rPr>
        <w:t xml:space="preserve">2.1 </w:t>
      </w:r>
      <w:r>
        <w:rPr>
          <w:rFonts w:ascii="宋体" w:hAnsi="宋体"/>
          <w:color w:val="auto"/>
          <w:sz w:val="24"/>
          <w:szCs w:val="24"/>
        </w:rPr>
        <w:t>投标人应按照“第四章招标内容与要求”的供货内容</w:t>
      </w:r>
      <w:r>
        <w:rPr>
          <w:rFonts w:hint="eastAsia" w:ascii="宋体" w:hAnsi="宋体"/>
          <w:color w:val="auto"/>
          <w:sz w:val="24"/>
          <w:szCs w:val="24"/>
        </w:rPr>
        <w:t>、</w:t>
      </w:r>
      <w:r>
        <w:rPr>
          <w:rFonts w:ascii="宋体" w:hAnsi="宋体"/>
          <w:color w:val="auto"/>
          <w:sz w:val="24"/>
          <w:szCs w:val="24"/>
        </w:rPr>
        <w:t>责任范围以及合同条款进行报价。并按“开标一览表”和“投标货物分项报价明细表”规定的格式报出总价和分项价格</w:t>
      </w:r>
      <w:r>
        <w:rPr>
          <w:rFonts w:ascii="宋体" w:hAnsi="宋体"/>
          <w:color w:val="auto"/>
          <w:kern w:val="0"/>
          <w:sz w:val="24"/>
          <w:szCs w:val="24"/>
        </w:rPr>
        <w:t>。投标总价中不得包含招标文件要求以外的内容，否则，在评审时不予核减。</w:t>
      </w:r>
    </w:p>
    <w:p>
      <w:pPr>
        <w:autoSpaceDE w:val="0"/>
        <w:autoSpaceDN w:val="0"/>
        <w:adjustRightInd w:val="0"/>
        <w:snapToGrid w:val="0"/>
        <w:spacing w:line="360" w:lineRule="auto"/>
        <w:ind w:right="-147" w:firstLine="480" w:firstLineChars="200"/>
        <w:rPr>
          <w:rFonts w:ascii="宋体" w:hAnsi="宋体"/>
          <w:color w:val="auto"/>
          <w:kern w:val="0"/>
          <w:sz w:val="24"/>
          <w:szCs w:val="24"/>
        </w:rPr>
      </w:pPr>
      <w:r>
        <w:rPr>
          <w:rFonts w:hint="eastAsia" w:ascii="宋体" w:hAnsi="宋体"/>
          <w:color w:val="auto"/>
          <w:kern w:val="0"/>
          <w:sz w:val="24"/>
          <w:szCs w:val="24"/>
        </w:rPr>
        <w:t xml:space="preserve">2.2 </w:t>
      </w:r>
      <w:r>
        <w:rPr>
          <w:rFonts w:hint="eastAsia" w:ascii="宋体" w:hAnsi="宋体"/>
          <w:color w:val="auto"/>
          <w:sz w:val="24"/>
          <w:szCs w:val="24"/>
        </w:rPr>
        <w:t>投标报价的范</w:t>
      </w:r>
      <w:r>
        <w:rPr>
          <w:rFonts w:hint="eastAsia" w:ascii="宋体" w:hAnsi="宋体"/>
          <w:color w:val="auto"/>
          <w:kern w:val="0"/>
          <w:sz w:val="24"/>
          <w:szCs w:val="24"/>
        </w:rPr>
        <w:t>围：本次投标报价为一次性报价。投标报价含主件、标准附件、备品备件、专用工具、安装、调试、检验、培训、技术服务、运输、保险及因购买货物和服务所需缴纳的所有税、费等全部费用。</w:t>
      </w:r>
    </w:p>
    <w:p>
      <w:pPr>
        <w:autoSpaceDE w:val="0"/>
        <w:autoSpaceDN w:val="0"/>
        <w:adjustRightInd w:val="0"/>
        <w:snapToGrid w:val="0"/>
        <w:spacing w:line="360" w:lineRule="auto"/>
        <w:ind w:right="-147" w:firstLine="480" w:firstLineChars="200"/>
        <w:rPr>
          <w:rFonts w:ascii="宋体" w:hAnsi="宋体"/>
          <w:color w:val="auto"/>
          <w:kern w:val="0"/>
          <w:sz w:val="24"/>
          <w:szCs w:val="24"/>
        </w:rPr>
      </w:pPr>
      <w:r>
        <w:rPr>
          <w:rFonts w:hint="eastAsia" w:ascii="宋体" w:hAnsi="宋体"/>
          <w:color w:val="auto"/>
          <w:sz w:val="24"/>
          <w:szCs w:val="24"/>
        </w:rPr>
        <w:t>2.3投标报价不得有选择性报价和附有条件的报价，每一种规格的货物只允许有一个报价，不得缺项、漏项、不得高于预算价或最高限价。</w:t>
      </w:r>
    </w:p>
    <w:p>
      <w:pPr>
        <w:autoSpaceDE w:val="0"/>
        <w:autoSpaceDN w:val="0"/>
        <w:adjustRightInd w:val="0"/>
        <w:snapToGrid w:val="0"/>
        <w:spacing w:line="360" w:lineRule="auto"/>
        <w:ind w:right="-147" w:firstLine="480" w:firstLineChars="200"/>
        <w:rPr>
          <w:rFonts w:ascii="宋体" w:hAnsi="宋体"/>
          <w:color w:val="auto"/>
          <w:kern w:val="0"/>
          <w:sz w:val="24"/>
          <w:szCs w:val="24"/>
        </w:rPr>
      </w:pPr>
      <w:r>
        <w:rPr>
          <w:rFonts w:hint="eastAsia" w:ascii="宋体" w:hAnsi="宋体"/>
          <w:color w:val="auto"/>
          <w:sz w:val="24"/>
          <w:szCs w:val="24"/>
        </w:rPr>
        <w:t>2.4</w:t>
      </w:r>
      <w:r>
        <w:rPr>
          <w:rFonts w:ascii="宋体" w:hAnsi="宋体"/>
          <w:color w:val="auto"/>
          <w:sz w:val="24"/>
          <w:szCs w:val="24"/>
        </w:rPr>
        <w:t>对报价的计算错误按以下原则修正：</w:t>
      </w:r>
    </w:p>
    <w:p>
      <w:pPr>
        <w:spacing w:line="360" w:lineRule="auto"/>
        <w:ind w:firstLine="482" w:firstLineChars="201"/>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）投标文件中开标一览表（报价表）内容与投标文件中相应内容不一致的，以开标一览表（报价表）为准；</w:t>
      </w:r>
    </w:p>
    <w:p>
      <w:pPr>
        <w:widowControl/>
        <w:spacing w:line="360" w:lineRule="auto"/>
        <w:ind w:firstLine="482" w:firstLineChars="201"/>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）大写金额和小写金额不一致的，以大写金额为准；</w:t>
      </w:r>
    </w:p>
    <w:p>
      <w:pPr>
        <w:spacing w:line="360" w:lineRule="auto"/>
        <w:ind w:firstLine="482" w:firstLineChars="201"/>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）单价金额小数点或者百分比有明显错位的，以开标一览表的总价为准，并修改单价。</w:t>
      </w:r>
    </w:p>
    <w:p>
      <w:pPr>
        <w:spacing w:line="360" w:lineRule="auto"/>
        <w:ind w:firstLine="482" w:firstLineChars="201"/>
        <w:rPr>
          <w:rFonts w:ascii="宋体" w:hAnsi="宋体"/>
          <w:color w:val="auto"/>
          <w:sz w:val="24"/>
          <w:szCs w:val="24"/>
        </w:rPr>
      </w:pPr>
      <w:r>
        <w:rPr>
          <w:rFonts w:hint="eastAsia" w:ascii="宋体" w:hAnsi="宋体"/>
          <w:color w:val="auto"/>
          <w:sz w:val="24"/>
          <w:szCs w:val="24"/>
        </w:rPr>
        <w:t>注：修正后的报价投标人应当采用书面形式，并加盖公章，或者由法定代表人或其授权的代表签字确认后产生约束力，但不得超出投标文件的范围或者改变投标文件的实质性内容，投标人不确认的，其投标无效。</w:t>
      </w:r>
    </w:p>
    <w:p>
      <w:pPr>
        <w:spacing w:line="360" w:lineRule="auto"/>
        <w:ind w:firstLine="482" w:firstLineChars="200"/>
        <w:rPr>
          <w:rFonts w:ascii="宋体" w:hAnsi="宋体"/>
          <w:color w:val="auto"/>
          <w:sz w:val="24"/>
          <w:szCs w:val="24"/>
        </w:rPr>
      </w:pPr>
      <w:r>
        <w:rPr>
          <w:rFonts w:hint="eastAsia" w:ascii="宋体" w:hAnsi="宋体"/>
          <w:b/>
          <w:color w:val="auto"/>
          <w:sz w:val="24"/>
          <w:szCs w:val="24"/>
        </w:rPr>
        <w:t>3.投标文件的编制要求</w:t>
      </w:r>
      <w:r>
        <w:rPr>
          <w:rFonts w:hint="eastAsia" w:ascii="宋体" w:hAnsi="宋体"/>
          <w:b/>
          <w:color w:val="auto"/>
          <w:sz w:val="24"/>
          <w:szCs w:val="24"/>
        </w:rPr>
        <w:br w:type="textWrapping"/>
      </w:r>
      <w:r>
        <w:rPr>
          <w:rFonts w:hint="eastAsia" w:ascii="宋体" w:hAnsi="宋体"/>
          <w:color w:val="auto"/>
          <w:sz w:val="24"/>
          <w:szCs w:val="24"/>
        </w:rPr>
        <w:t xml:space="preserve">    3.1纸质响应文件编制要求：响应文件应用A4纸书写、打印。正本和副本的封面上应清楚地标记“正本”或“副本”的字样，副本可采用正本复印件。当副本和正本不一致时，以正本为准。响应文件的正本与副本应分别装订成册，并编制目录，页码必须连续（所附的图纸、不能重新打印的资料和印刷品等除外）。</w:t>
      </w:r>
      <w:r>
        <w:rPr>
          <w:rFonts w:hint="eastAsia" w:ascii="宋体" w:hAnsi="宋体"/>
          <w:color w:val="auto"/>
          <w:sz w:val="24"/>
          <w:szCs w:val="24"/>
        </w:rPr>
        <w:br w:type="textWrapping"/>
      </w:r>
      <w:r>
        <w:rPr>
          <w:rFonts w:hint="eastAsia" w:ascii="宋体" w:hAnsi="宋体"/>
          <w:color w:val="auto"/>
          <w:sz w:val="24"/>
          <w:szCs w:val="24"/>
        </w:rPr>
        <w:t xml:space="preserve">    3.2电子版响应文件编制要求：提供PDF格式和word格式电子文档三份，内容必须一致，在电子文档上标明供应商全称。（电子文档须使用U盘）。</w:t>
      </w:r>
      <w:r>
        <w:rPr>
          <w:rFonts w:hint="eastAsia" w:ascii="宋体" w:hAnsi="宋体"/>
          <w:color w:val="auto"/>
          <w:sz w:val="24"/>
          <w:szCs w:val="24"/>
        </w:rPr>
        <w:br w:type="textWrapping"/>
      </w:r>
      <w:r>
        <w:rPr>
          <w:rFonts w:hint="eastAsia" w:ascii="宋体" w:hAnsi="宋体"/>
          <w:color w:val="auto"/>
          <w:sz w:val="24"/>
          <w:szCs w:val="24"/>
        </w:rPr>
        <w:t xml:space="preserve">    3.3响应文件正、副本中要求签署盖章的应按要求由供应商的法定代表人或其授权委托人签字并加盖公章。响应文件应尽量避免涂改、行间插字或删除，如果出现上述情况，改动之处应当加盖公章或由供应商的法定代表人（授权委托人）签字确认。</w:t>
      </w:r>
      <w:r>
        <w:rPr>
          <w:rFonts w:hint="eastAsia" w:ascii="宋体" w:hAnsi="宋体"/>
          <w:color w:val="auto"/>
          <w:sz w:val="24"/>
          <w:szCs w:val="24"/>
        </w:rPr>
        <w:br w:type="textWrapping"/>
      </w:r>
      <w:r>
        <w:rPr>
          <w:rFonts w:hint="eastAsia" w:ascii="宋体" w:hAnsi="宋体"/>
          <w:color w:val="auto"/>
          <w:sz w:val="24"/>
          <w:szCs w:val="24"/>
        </w:rPr>
        <w:t xml:space="preserve">    3.4响应文件的密封。供应商应使用密封袋将响应文件密封，电子文档可密封至响应文件中也可单独密封。密封封面上需注明“项目名称”、“项目编号”、“分包号”、“供应商全称”和《投标文件》或《电子版》字样，并在密封包装上粘贴密封条。</w:t>
      </w:r>
      <w:r>
        <w:rPr>
          <w:rFonts w:hint="eastAsia" w:ascii="宋体" w:hAnsi="宋体"/>
          <w:color w:val="auto"/>
          <w:sz w:val="24"/>
          <w:szCs w:val="24"/>
        </w:rPr>
        <w:br w:type="textWrapping"/>
      </w:r>
      <w:r>
        <w:rPr>
          <w:rFonts w:hint="eastAsia" w:ascii="宋体" w:hAnsi="宋体"/>
          <w:color w:val="auto"/>
          <w:sz w:val="24"/>
          <w:szCs w:val="24"/>
        </w:rPr>
        <w:t xml:space="preserve">    3.5供应商按上述规定进行密封和标记后，将响应文件按照投标文件的要求送达指定地点。如果未按上述规定进行密封和标记，</w:t>
      </w:r>
      <w:r>
        <w:rPr>
          <w:rFonts w:hint="eastAsia" w:ascii="宋体" w:hAnsi="宋体"/>
          <w:color w:val="auto"/>
          <w:sz w:val="24"/>
          <w:szCs w:val="24"/>
          <w:lang w:eastAsia="zh-CN"/>
        </w:rPr>
        <w:t>采购代理机构</w:t>
      </w:r>
      <w:r>
        <w:rPr>
          <w:rFonts w:hint="eastAsia" w:ascii="宋体" w:hAnsi="宋体"/>
          <w:color w:val="auto"/>
          <w:sz w:val="24"/>
          <w:szCs w:val="24"/>
        </w:rPr>
        <w:t>对误投或提前启封概不负责。</w:t>
      </w:r>
      <w:r>
        <w:rPr>
          <w:rFonts w:hint="eastAsia" w:ascii="宋体" w:hAnsi="宋体"/>
          <w:color w:val="auto"/>
          <w:sz w:val="24"/>
          <w:szCs w:val="24"/>
        </w:rPr>
        <w:br w:type="textWrapping"/>
      </w:r>
      <w:r>
        <w:rPr>
          <w:rFonts w:hint="eastAsia" w:ascii="宋体" w:hAnsi="宋体"/>
          <w:b/>
          <w:bCs/>
          <w:color w:val="auto"/>
          <w:sz w:val="24"/>
          <w:szCs w:val="24"/>
        </w:rPr>
        <w:t>注</w:t>
      </w:r>
      <w:r>
        <w:rPr>
          <w:rFonts w:hint="eastAsia" w:ascii="宋体" w:hAnsi="宋体"/>
          <w:color w:val="auto"/>
          <w:sz w:val="24"/>
          <w:szCs w:val="24"/>
        </w:rPr>
        <w:t>：1、供应商在投标文件及相关书面文件中的单位公章（包括印章、公章等）均指与供应商名称全称一致的标准公章，不得使用其他形式（如带有“专用章”、“财务章”、“业务章”等）的印章。</w:t>
      </w:r>
      <w:r>
        <w:rPr>
          <w:rFonts w:hint="eastAsia" w:ascii="宋体" w:hAnsi="宋体"/>
          <w:color w:val="auto"/>
          <w:sz w:val="24"/>
          <w:szCs w:val="24"/>
        </w:rPr>
        <w:br w:type="textWrapping"/>
      </w:r>
      <w:r>
        <w:rPr>
          <w:rFonts w:hint="eastAsia" w:ascii="宋体" w:hAnsi="宋体"/>
          <w:b/>
          <w:bCs/>
          <w:color w:val="auto"/>
          <w:sz w:val="24"/>
          <w:szCs w:val="24"/>
        </w:rPr>
        <w:t>2、供应商应单独密封、单独递交一份《开标一览表》；用于唱标时使用。</w:t>
      </w:r>
    </w:p>
    <w:p>
      <w:pPr>
        <w:spacing w:line="360" w:lineRule="auto"/>
        <w:rPr>
          <w:rFonts w:ascii="宋体" w:hAnsi="宋体"/>
          <w:b/>
          <w:color w:val="auto"/>
          <w:sz w:val="24"/>
          <w:szCs w:val="24"/>
        </w:rPr>
      </w:pPr>
      <w:r>
        <w:rPr>
          <w:rFonts w:hint="eastAsia" w:ascii="宋体" w:hAnsi="宋体"/>
          <w:b/>
          <w:color w:val="auto"/>
          <w:sz w:val="24"/>
          <w:szCs w:val="24"/>
        </w:rPr>
        <w:t>4.投标有效期</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4.1投标有效期从提交投标文件的截止之日起算。投标文件中承诺的投标有效期应当不少于招标文件中载明的投标有效期。投标有效期内投标人撤销投标文件的，采购人或者鄂托克前旗公共资源交易中心可以不退还投标保证金。</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4.2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rPr>
          <w:rFonts w:ascii="宋体" w:hAnsi="宋体"/>
          <w:b/>
          <w:color w:val="auto"/>
          <w:sz w:val="24"/>
          <w:szCs w:val="24"/>
        </w:rPr>
      </w:pPr>
      <w:r>
        <w:rPr>
          <w:rFonts w:hint="eastAsia" w:ascii="宋体" w:hAnsi="宋体"/>
          <w:b/>
          <w:color w:val="auto"/>
          <w:sz w:val="24"/>
          <w:szCs w:val="24"/>
        </w:rPr>
        <w:t>5.投标保证金</w:t>
      </w:r>
    </w:p>
    <w:p>
      <w:pPr>
        <w:spacing w:line="360" w:lineRule="auto"/>
        <w:ind w:firstLine="480" w:firstLineChars="200"/>
        <w:rPr>
          <w:rFonts w:ascii="宋体" w:hAnsi="宋体"/>
          <w:color w:val="auto"/>
          <w:sz w:val="24"/>
          <w:szCs w:val="24"/>
        </w:rPr>
      </w:pPr>
      <w:r>
        <w:rPr>
          <w:rFonts w:hint="eastAsia" w:ascii="宋体" w:hAnsi="宋体"/>
          <w:color w:val="auto"/>
          <w:sz w:val="24"/>
          <w:szCs w:val="24"/>
        </w:rPr>
        <w:t>5.1投标保证金的缴纳</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投标人在提交投标文件的同时，应按投标人须知前附表规定的金额、开户银行、行号、开户单位、账号和招标文件本章“报名须知”规定的投标保证金缴纳要求递交投标保证金，并作为其投标文件的组成部分。</w:t>
      </w:r>
    </w:p>
    <w:p>
      <w:pPr>
        <w:spacing w:line="360" w:lineRule="auto"/>
        <w:ind w:firstLine="480" w:firstLineChars="200"/>
        <w:rPr>
          <w:rFonts w:ascii="宋体" w:hAnsi="宋体"/>
          <w:color w:val="auto"/>
          <w:sz w:val="24"/>
          <w:szCs w:val="24"/>
        </w:rPr>
      </w:pPr>
      <w:r>
        <w:rPr>
          <w:rFonts w:hint="eastAsia" w:ascii="宋体" w:hAnsi="宋体"/>
          <w:color w:val="auto"/>
          <w:sz w:val="24"/>
          <w:szCs w:val="24"/>
        </w:rPr>
        <w:t>5.2投标保证金的退还：</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（1）投标人在投标截止时间前放弃投标的，自收到投标人书面放弃投标通知之日起５个工作日内退还，但因投标人自身原因导致无法及时退还的除外；</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（2）未中标人投标保证金，自中标通知书发出之日起5个工作日内退还；</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（3）中标人投标保证金，自政府采购合同签订之日起5个工作日内退还或者转为中标人的履约保证金。</w:t>
      </w:r>
    </w:p>
    <w:p>
      <w:pPr>
        <w:spacing w:line="360" w:lineRule="auto"/>
        <w:ind w:firstLine="480" w:firstLineChars="200"/>
        <w:rPr>
          <w:rFonts w:ascii="宋体" w:hAnsi="宋体"/>
          <w:color w:val="auto"/>
          <w:sz w:val="24"/>
          <w:szCs w:val="24"/>
        </w:rPr>
      </w:pPr>
      <w:r>
        <w:rPr>
          <w:rFonts w:hint="eastAsia" w:ascii="宋体" w:hAnsi="宋体"/>
          <w:color w:val="auto"/>
          <w:sz w:val="24"/>
          <w:szCs w:val="24"/>
        </w:rPr>
        <w:t>5.3有下列情形之一的，投标保证金将不予退还：</w:t>
      </w:r>
    </w:p>
    <w:p>
      <w:pPr>
        <w:spacing w:line="360" w:lineRule="auto"/>
        <w:ind w:firstLine="528" w:firstLineChars="220"/>
        <w:rPr>
          <w:rFonts w:ascii="宋体" w:hAnsi="宋体"/>
          <w:color w:val="auto"/>
          <w:kern w:val="0"/>
          <w:sz w:val="24"/>
          <w:szCs w:val="24"/>
        </w:rPr>
      </w:pPr>
      <w:r>
        <w:rPr>
          <w:rFonts w:hint="eastAsia" w:ascii="宋体" w:hAnsi="宋体"/>
          <w:color w:val="auto"/>
          <w:kern w:val="0"/>
          <w:sz w:val="24"/>
          <w:szCs w:val="24"/>
        </w:rPr>
        <w:t>（1）中标后，无正当理由放弃中标资格；</w:t>
      </w:r>
    </w:p>
    <w:p>
      <w:pPr>
        <w:spacing w:line="360" w:lineRule="auto"/>
        <w:ind w:firstLine="528" w:firstLineChars="220"/>
        <w:rPr>
          <w:rFonts w:ascii="宋体" w:hAnsi="宋体"/>
          <w:color w:val="auto"/>
          <w:kern w:val="0"/>
          <w:sz w:val="24"/>
          <w:szCs w:val="24"/>
        </w:rPr>
      </w:pPr>
      <w:r>
        <w:rPr>
          <w:rFonts w:hint="eastAsia" w:ascii="宋体" w:hAnsi="宋体"/>
          <w:color w:val="auto"/>
          <w:kern w:val="0"/>
          <w:sz w:val="24"/>
          <w:szCs w:val="24"/>
        </w:rPr>
        <w:t>（2）中标后，无正当理由不与招标人签订合同；</w:t>
      </w:r>
    </w:p>
    <w:p>
      <w:pPr>
        <w:spacing w:line="360" w:lineRule="auto"/>
        <w:ind w:firstLine="528" w:firstLineChars="220"/>
        <w:rPr>
          <w:rFonts w:ascii="宋体" w:hAnsi="宋体"/>
          <w:color w:val="auto"/>
          <w:kern w:val="0"/>
          <w:sz w:val="24"/>
          <w:szCs w:val="24"/>
        </w:rPr>
      </w:pPr>
      <w:r>
        <w:rPr>
          <w:rFonts w:hint="eastAsia" w:ascii="宋体" w:hAnsi="宋体"/>
          <w:color w:val="auto"/>
          <w:kern w:val="0"/>
          <w:sz w:val="24"/>
          <w:szCs w:val="24"/>
        </w:rPr>
        <w:t>（3）在签订合同时，向招标人提出附加条件；</w:t>
      </w:r>
    </w:p>
    <w:p>
      <w:pPr>
        <w:spacing w:line="360" w:lineRule="auto"/>
        <w:ind w:firstLine="528" w:firstLineChars="220"/>
        <w:rPr>
          <w:rFonts w:ascii="宋体" w:hAnsi="宋体"/>
          <w:color w:val="auto"/>
          <w:kern w:val="0"/>
          <w:sz w:val="24"/>
          <w:szCs w:val="24"/>
        </w:rPr>
      </w:pPr>
      <w:r>
        <w:rPr>
          <w:rFonts w:hint="eastAsia" w:ascii="宋体" w:hAnsi="宋体"/>
          <w:color w:val="auto"/>
          <w:kern w:val="0"/>
          <w:sz w:val="24"/>
          <w:szCs w:val="24"/>
        </w:rPr>
        <w:t>（4）不按照招标文件要求提交履约保证金；</w:t>
      </w:r>
    </w:p>
    <w:p>
      <w:pPr>
        <w:spacing w:line="360" w:lineRule="auto"/>
        <w:ind w:firstLine="528" w:firstLineChars="220"/>
        <w:rPr>
          <w:rFonts w:ascii="宋体" w:hAnsi="宋体"/>
          <w:color w:val="auto"/>
          <w:kern w:val="0"/>
          <w:sz w:val="24"/>
          <w:szCs w:val="24"/>
        </w:rPr>
      </w:pPr>
      <w:r>
        <w:rPr>
          <w:rFonts w:hint="eastAsia" w:ascii="宋体" w:hAnsi="宋体"/>
          <w:color w:val="auto"/>
          <w:kern w:val="0"/>
          <w:sz w:val="24"/>
          <w:szCs w:val="24"/>
        </w:rPr>
        <w:t>（5）要求修改、补充和撤销投标文件的实质性内容；</w:t>
      </w:r>
    </w:p>
    <w:p>
      <w:pPr>
        <w:spacing w:line="360" w:lineRule="auto"/>
        <w:ind w:firstLine="528" w:firstLineChars="220"/>
        <w:rPr>
          <w:rFonts w:ascii="宋体" w:hAnsi="宋体"/>
          <w:color w:val="auto"/>
          <w:kern w:val="0"/>
          <w:sz w:val="24"/>
          <w:szCs w:val="24"/>
        </w:rPr>
      </w:pPr>
      <w:r>
        <w:rPr>
          <w:rFonts w:hint="eastAsia" w:ascii="宋体" w:hAnsi="宋体"/>
          <w:color w:val="auto"/>
          <w:kern w:val="0"/>
          <w:sz w:val="24"/>
          <w:szCs w:val="24"/>
        </w:rPr>
        <w:t>（6）要求更改招标文件和中标结果公告的实质性内容；</w:t>
      </w:r>
    </w:p>
    <w:p>
      <w:pPr>
        <w:spacing w:line="360" w:lineRule="auto"/>
        <w:ind w:firstLine="528" w:firstLineChars="220"/>
        <w:rPr>
          <w:rFonts w:ascii="宋体" w:hAnsi="宋体"/>
          <w:color w:val="auto"/>
          <w:kern w:val="0"/>
          <w:sz w:val="24"/>
          <w:szCs w:val="24"/>
        </w:rPr>
      </w:pPr>
      <w:r>
        <w:rPr>
          <w:rFonts w:hint="eastAsia" w:ascii="宋体" w:hAnsi="宋体"/>
          <w:color w:val="auto"/>
          <w:kern w:val="0"/>
          <w:sz w:val="24"/>
          <w:szCs w:val="24"/>
        </w:rPr>
        <w:t>（7）法律法规和招标文件规定的其他情形。</w:t>
      </w:r>
    </w:p>
    <w:p>
      <w:pPr>
        <w:spacing w:line="360" w:lineRule="auto"/>
        <w:rPr>
          <w:rFonts w:ascii="宋体" w:hAnsi="宋体"/>
          <w:color w:val="auto"/>
          <w:sz w:val="24"/>
          <w:szCs w:val="24"/>
        </w:rPr>
      </w:pPr>
      <w:r>
        <w:rPr>
          <w:rFonts w:hint="eastAsia" w:ascii="宋体" w:hAnsi="宋体"/>
          <w:b/>
          <w:color w:val="auto"/>
          <w:sz w:val="24"/>
          <w:szCs w:val="24"/>
        </w:rPr>
        <w:t>6.</w:t>
      </w:r>
      <w:r>
        <w:rPr>
          <w:rFonts w:ascii="宋体" w:hAnsi="宋体"/>
          <w:b/>
          <w:color w:val="auto"/>
          <w:sz w:val="24"/>
          <w:szCs w:val="24"/>
        </w:rPr>
        <w:t>投标文件的修改和撤回</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投标人在提交投标截止时间前，可以对所递交的投标文件进行补充、修改或者撤回。补充、修改的内容旁签署（法人或授权委托人签署）、盖章、密封后生效，并作为投标文件的组成部分；撤回的应以书面形式告知采购代理机构或采购人。</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在提交投标文件截止时间后到招标文件规定的投标有效期终止之前，投标人不得补充、修改、替代或者撤回其投标文件。</w:t>
      </w:r>
    </w:p>
    <w:p>
      <w:pPr>
        <w:spacing w:line="360" w:lineRule="auto"/>
        <w:rPr>
          <w:rFonts w:ascii="宋体" w:hAnsi="宋体"/>
          <w:color w:val="auto"/>
          <w:sz w:val="24"/>
          <w:szCs w:val="24"/>
        </w:rPr>
      </w:pPr>
      <w:r>
        <w:rPr>
          <w:rFonts w:hint="eastAsia" w:ascii="宋体" w:hAnsi="宋体"/>
          <w:b/>
          <w:color w:val="auto"/>
          <w:sz w:val="24"/>
          <w:szCs w:val="24"/>
        </w:rPr>
        <w:t>7.投标文件的递交</w:t>
      </w:r>
    </w:p>
    <w:p>
      <w:pPr>
        <w:widowControl/>
        <w:jc w:val="left"/>
        <w:rPr>
          <w:rFonts w:ascii="宋体" w:hAnsi="宋体"/>
          <w:b/>
          <w:bCs/>
          <w:color w:val="auto"/>
          <w:sz w:val="24"/>
          <w:szCs w:val="24"/>
        </w:rPr>
      </w:pPr>
      <w:r>
        <w:rPr>
          <w:rFonts w:ascii="宋体" w:hAnsi="宋体" w:cs="宋体"/>
          <w:b/>
          <w:bCs/>
          <w:color w:val="auto"/>
          <w:kern w:val="0"/>
          <w:sz w:val="24"/>
          <w:szCs w:val="24"/>
        </w:rPr>
        <w:t>在</w:t>
      </w:r>
      <w:r>
        <w:rPr>
          <w:rFonts w:hint="eastAsia" w:ascii="宋体" w:hAnsi="宋体" w:cs="宋体"/>
          <w:b/>
          <w:bCs/>
          <w:color w:val="auto"/>
          <w:kern w:val="0"/>
          <w:sz w:val="24"/>
          <w:szCs w:val="24"/>
        </w:rPr>
        <w:t>招标</w:t>
      </w:r>
      <w:r>
        <w:rPr>
          <w:rFonts w:ascii="宋体" w:hAnsi="宋体" w:cs="宋体"/>
          <w:b/>
          <w:bCs/>
          <w:color w:val="auto"/>
          <w:kern w:val="0"/>
          <w:sz w:val="24"/>
          <w:szCs w:val="24"/>
        </w:rPr>
        <w:t>文件要求提交</w:t>
      </w:r>
      <w:r>
        <w:rPr>
          <w:rFonts w:hint="eastAsia" w:ascii="宋体" w:hAnsi="宋体" w:cs="宋体"/>
          <w:b/>
          <w:bCs/>
          <w:color w:val="auto"/>
          <w:kern w:val="0"/>
          <w:sz w:val="24"/>
          <w:szCs w:val="24"/>
        </w:rPr>
        <w:t>投标</w:t>
      </w:r>
      <w:r>
        <w:rPr>
          <w:rFonts w:ascii="宋体" w:hAnsi="宋体" w:cs="宋体"/>
          <w:b/>
          <w:bCs/>
          <w:color w:val="auto"/>
          <w:kern w:val="0"/>
          <w:sz w:val="24"/>
          <w:szCs w:val="24"/>
        </w:rPr>
        <w:t>文件的截止时间之后送达或没有将《开标一览表》单独密封、单独递交的</w:t>
      </w:r>
      <w:r>
        <w:rPr>
          <w:rFonts w:hint="eastAsia" w:ascii="宋体" w:hAnsi="宋体" w:cs="宋体"/>
          <w:b/>
          <w:bCs/>
          <w:color w:val="auto"/>
          <w:kern w:val="0"/>
          <w:sz w:val="24"/>
          <w:szCs w:val="24"/>
        </w:rPr>
        <w:t>投标</w:t>
      </w:r>
      <w:r>
        <w:rPr>
          <w:rFonts w:ascii="宋体" w:hAnsi="宋体" w:cs="宋体"/>
          <w:b/>
          <w:bCs/>
          <w:color w:val="auto"/>
          <w:kern w:val="0"/>
          <w:sz w:val="24"/>
          <w:szCs w:val="24"/>
        </w:rPr>
        <w:t>文件，为无效响应文件，采购单位或采购代理机构将拒收。</w:t>
      </w:r>
    </w:p>
    <w:p>
      <w:pPr>
        <w:spacing w:line="360" w:lineRule="auto"/>
        <w:rPr>
          <w:rFonts w:ascii="宋体" w:hAnsi="宋体"/>
          <w:b/>
          <w:color w:val="auto"/>
          <w:sz w:val="24"/>
          <w:szCs w:val="24"/>
        </w:rPr>
      </w:pPr>
      <w:r>
        <w:rPr>
          <w:rFonts w:hint="eastAsia" w:ascii="宋体" w:hAnsi="宋体"/>
          <w:b/>
          <w:color w:val="auto"/>
          <w:sz w:val="24"/>
          <w:szCs w:val="24"/>
        </w:rPr>
        <w:t>8.样品（演示）</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招标文件规定投标人提交样品的，样品属于投标文件的组成部分。样品的生产、运输、安装、保全等一切费用由投标人自理。</w:t>
      </w:r>
    </w:p>
    <w:p>
      <w:pPr>
        <w:spacing w:line="360" w:lineRule="auto"/>
        <w:ind w:firstLine="480" w:firstLineChars="200"/>
        <w:rPr>
          <w:rFonts w:ascii="宋体" w:hAnsi="宋体"/>
          <w:color w:val="auto"/>
          <w:sz w:val="24"/>
          <w:szCs w:val="24"/>
        </w:rPr>
      </w:pPr>
      <w:r>
        <w:rPr>
          <w:rFonts w:hint="eastAsia" w:ascii="宋体" w:hAnsi="宋体"/>
          <w:color w:val="auto"/>
          <w:sz w:val="24"/>
          <w:szCs w:val="24"/>
        </w:rPr>
        <w:t>8.1开标前，投标人应将样品送达至指定地点，并按要求摆放并做好展示。若需要现场演示的，投标人应提前做好演示准备（包括演示设备）。</w:t>
      </w:r>
    </w:p>
    <w:p>
      <w:pPr>
        <w:spacing w:line="360" w:lineRule="auto"/>
        <w:ind w:firstLine="480" w:firstLineChars="200"/>
        <w:rPr>
          <w:rFonts w:ascii="宋体" w:hAnsi="宋体"/>
          <w:color w:val="auto"/>
          <w:sz w:val="24"/>
          <w:szCs w:val="24"/>
        </w:rPr>
      </w:pPr>
      <w:r>
        <w:rPr>
          <w:rFonts w:hint="eastAsia" w:ascii="宋体" w:hAnsi="宋体"/>
          <w:color w:val="auto"/>
          <w:sz w:val="24"/>
          <w:szCs w:val="24"/>
        </w:rPr>
        <w:t>8.2评标结束后，中标人与采购人共同清点、检查和密封样品，由中标人送至采购人指定地点封存。未中标投标人将样品自行带回。</w:t>
      </w:r>
    </w:p>
    <w:p>
      <w:pPr>
        <w:spacing w:line="360" w:lineRule="auto"/>
        <w:rPr>
          <w:rFonts w:ascii="宋体" w:hAnsi="宋体"/>
          <w:b/>
          <w:color w:val="auto"/>
          <w:sz w:val="24"/>
          <w:szCs w:val="24"/>
        </w:rPr>
      </w:pPr>
      <w:r>
        <w:rPr>
          <w:rFonts w:hint="eastAsia" w:ascii="宋体" w:hAnsi="宋体"/>
          <w:b/>
          <w:color w:val="auto"/>
          <w:sz w:val="24"/>
          <w:szCs w:val="24"/>
        </w:rPr>
        <w:t>六.开标</w:t>
      </w:r>
    </w:p>
    <w:p>
      <w:pPr>
        <w:spacing w:line="360" w:lineRule="auto"/>
        <w:rPr>
          <w:rFonts w:ascii="宋体" w:hAnsi="宋体"/>
          <w:b/>
          <w:color w:val="auto"/>
          <w:sz w:val="24"/>
          <w:szCs w:val="24"/>
        </w:rPr>
      </w:pPr>
      <w:r>
        <w:rPr>
          <w:rFonts w:hint="eastAsia" w:ascii="宋体" w:hAnsi="宋体"/>
          <w:b/>
          <w:color w:val="auto"/>
          <w:sz w:val="24"/>
          <w:szCs w:val="24"/>
        </w:rPr>
        <w:t>1.开标时间和地点</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开标时间与提交投标文件截止时间为同一时间；开标地点为招标文件规定的地点。邀请所有投标人的法定代表人或其授权委托人准时参加。</w:t>
      </w:r>
    </w:p>
    <w:p>
      <w:pPr>
        <w:spacing w:line="360" w:lineRule="auto"/>
        <w:ind w:firstLine="480" w:firstLineChars="200"/>
        <w:rPr>
          <w:rFonts w:ascii="宋体" w:hAnsi="宋体"/>
          <w:color w:val="auto"/>
          <w:sz w:val="24"/>
          <w:szCs w:val="24"/>
        </w:rPr>
      </w:pPr>
      <w:r>
        <w:rPr>
          <w:rFonts w:hint="eastAsia" w:ascii="宋体" w:hAnsi="宋体"/>
          <w:color w:val="auto"/>
          <w:sz w:val="24"/>
          <w:szCs w:val="24"/>
        </w:rPr>
        <w:t>采购人、采购代理机构对误投或未按规定时间、地点进行投标的概不负责。</w:t>
      </w:r>
    </w:p>
    <w:p>
      <w:pPr>
        <w:spacing w:line="360" w:lineRule="auto"/>
        <w:rPr>
          <w:rFonts w:ascii="宋体" w:hAnsi="宋体"/>
          <w:b/>
          <w:color w:val="auto"/>
          <w:sz w:val="24"/>
          <w:szCs w:val="24"/>
        </w:rPr>
      </w:pPr>
      <w:r>
        <w:rPr>
          <w:rFonts w:hint="eastAsia" w:ascii="宋体" w:hAnsi="宋体"/>
          <w:b/>
          <w:color w:val="auto"/>
          <w:sz w:val="24"/>
          <w:szCs w:val="24"/>
        </w:rPr>
        <w:t>2.开标程序</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2.1主持人按下列程序进行开标：</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（1）宣布开标纪律；</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（2）公布在投标截止时间前提交投标文件的投标人名称；</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（3）宣布采购人代表、采购代理机构代表、监督部门等有关人员姓名；</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由投标人或者其推选的代表检查投标文件的密封情况；经确认无误后，由采购人或者采购代理机构工作人员当众拆封，宣布投标人名称、投标价格和招标文件规定的需要宣布的其他内容（以开标一览表要求为准），投标人签字确认；</w:t>
      </w:r>
    </w:p>
    <w:p>
      <w:pPr>
        <w:spacing w:line="360" w:lineRule="auto"/>
        <w:ind w:firstLine="480" w:firstLineChars="200"/>
        <w:rPr>
          <w:rFonts w:ascii="宋体" w:hAnsi="宋体"/>
          <w:color w:val="auto"/>
          <w:sz w:val="24"/>
          <w:szCs w:val="24"/>
        </w:rPr>
      </w:pPr>
      <w:r>
        <w:rPr>
          <w:rFonts w:hint="eastAsia" w:ascii="宋体" w:hAnsi="宋体"/>
          <w:color w:val="auto"/>
          <w:sz w:val="24"/>
          <w:szCs w:val="24"/>
        </w:rPr>
        <w:t>（5）参加开标会议人员在开标记录上对应签字确认；</w:t>
      </w:r>
    </w:p>
    <w:p>
      <w:pPr>
        <w:spacing w:line="360" w:lineRule="auto"/>
        <w:ind w:firstLine="480" w:firstLineChars="200"/>
        <w:rPr>
          <w:rFonts w:ascii="宋体" w:hAnsi="宋体"/>
          <w:color w:val="auto"/>
          <w:sz w:val="24"/>
          <w:szCs w:val="24"/>
        </w:rPr>
      </w:pPr>
      <w:r>
        <w:rPr>
          <w:rFonts w:hint="eastAsia" w:ascii="宋体" w:hAnsi="宋体"/>
          <w:color w:val="auto"/>
          <w:sz w:val="24"/>
          <w:szCs w:val="24"/>
        </w:rPr>
        <w:t>（6）开标结束，投标文件移交评标委员会。</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2.2开标异议</w:t>
      </w:r>
    </w:p>
    <w:p>
      <w:pPr>
        <w:spacing w:line="360" w:lineRule="auto"/>
        <w:ind w:firstLine="360" w:firstLineChars="150"/>
        <w:rPr>
          <w:rFonts w:ascii="宋体" w:hAnsi="宋体"/>
          <w:color w:val="auto"/>
          <w:sz w:val="24"/>
          <w:szCs w:val="24"/>
        </w:rPr>
      </w:pPr>
      <w:r>
        <w:rPr>
          <w:rFonts w:hint="eastAsia" w:ascii="宋体" w:hAnsi="宋体"/>
          <w:color w:val="auto"/>
          <w:sz w:val="24"/>
          <w:szCs w:val="24"/>
        </w:rPr>
        <w:t>投标人代表对开标过程和开标记录有疑义，以及认为采购人、采购代理机构相关工作人员有需要回避的情形的，应当场提出询问或者回避申请，开标会议结束后不再接受相关询问、质疑或者回避申请。</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2.3 投标人不足三家的，不得开标。</w:t>
      </w:r>
    </w:p>
    <w:p>
      <w:pPr>
        <w:spacing w:line="360" w:lineRule="auto"/>
        <w:ind w:firstLine="361" w:firstLineChars="150"/>
        <w:rPr>
          <w:rFonts w:ascii="宋体" w:hAnsi="宋体"/>
          <w:b/>
          <w:color w:val="auto"/>
          <w:sz w:val="24"/>
          <w:szCs w:val="24"/>
        </w:rPr>
      </w:pPr>
      <w:r>
        <w:rPr>
          <w:rFonts w:hint="eastAsia" w:ascii="宋体" w:hAnsi="宋体"/>
          <w:b/>
          <w:color w:val="auto"/>
          <w:sz w:val="24"/>
          <w:szCs w:val="24"/>
        </w:rPr>
        <w:t>七.评标</w:t>
      </w:r>
    </w:p>
    <w:p>
      <w:pPr>
        <w:spacing w:line="360" w:lineRule="auto"/>
        <w:rPr>
          <w:rFonts w:ascii="宋体" w:hAnsi="宋体"/>
          <w:b/>
          <w:color w:val="auto"/>
          <w:sz w:val="24"/>
          <w:szCs w:val="24"/>
        </w:rPr>
      </w:pPr>
      <w:r>
        <w:rPr>
          <w:rFonts w:hint="eastAsia" w:ascii="宋体" w:hAnsi="宋体"/>
          <w:b/>
          <w:color w:val="auto"/>
          <w:sz w:val="24"/>
          <w:szCs w:val="24"/>
        </w:rPr>
        <w:t>1.评标委员会</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1.1评标委员会由采购人代表和有关技术、经济等方面的专家组成，成员人数为5人及以上单数，其中技术、经济等方面的评审专家不得少于成员总数的三分之二。</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1.2评标委员会成员有下列情形之一的，应当回避：</w:t>
      </w:r>
    </w:p>
    <w:p>
      <w:pPr>
        <w:spacing w:line="360" w:lineRule="auto"/>
        <w:ind w:firstLine="360" w:firstLineChars="150"/>
        <w:rPr>
          <w:rFonts w:ascii="宋体" w:hAnsi="宋体"/>
          <w:color w:val="auto"/>
          <w:sz w:val="24"/>
          <w:szCs w:val="24"/>
        </w:rPr>
      </w:pPr>
      <w:r>
        <w:rPr>
          <w:rFonts w:hint="eastAsia" w:ascii="宋体" w:hAnsi="宋体"/>
          <w:color w:val="auto"/>
          <w:sz w:val="24"/>
          <w:szCs w:val="24"/>
        </w:rPr>
        <w:t>（1）参加采购活动前三年内,与投标人存在劳动关系,或者担任过投标人的董事、监事,或者是投标人的控股股东或实际控制人；</w:t>
      </w:r>
    </w:p>
    <w:p>
      <w:pPr>
        <w:spacing w:line="360" w:lineRule="auto"/>
        <w:ind w:firstLine="360" w:firstLineChars="150"/>
        <w:rPr>
          <w:rFonts w:ascii="宋体" w:hAnsi="宋体"/>
          <w:color w:val="auto"/>
          <w:sz w:val="24"/>
          <w:szCs w:val="24"/>
        </w:rPr>
      </w:pPr>
      <w:r>
        <w:rPr>
          <w:rFonts w:hint="eastAsia" w:ascii="宋体" w:hAnsi="宋体"/>
          <w:color w:val="auto"/>
          <w:sz w:val="24"/>
          <w:szCs w:val="24"/>
        </w:rPr>
        <w:t>（2）与投标人的法定代表人或者负责人有夫妻、直系血亲、三代以内旁系血亲或者近姻亲关系；</w:t>
      </w:r>
    </w:p>
    <w:p>
      <w:pPr>
        <w:spacing w:line="360" w:lineRule="auto"/>
        <w:ind w:firstLine="360" w:firstLineChars="150"/>
        <w:rPr>
          <w:rFonts w:ascii="宋体" w:hAnsi="宋体"/>
          <w:color w:val="auto"/>
          <w:sz w:val="24"/>
          <w:szCs w:val="24"/>
        </w:rPr>
      </w:pPr>
      <w:r>
        <w:rPr>
          <w:rFonts w:hint="eastAsia" w:ascii="宋体" w:hAnsi="宋体"/>
          <w:color w:val="auto"/>
          <w:sz w:val="24"/>
          <w:szCs w:val="24"/>
        </w:rPr>
        <w:t>（3）与投标人有其他可能影响政府采购活动公平、公正进行的关系；</w:t>
      </w:r>
    </w:p>
    <w:p>
      <w:pPr>
        <w:spacing w:line="360" w:lineRule="auto"/>
        <w:rPr>
          <w:rFonts w:ascii="宋体" w:hAnsi="宋体"/>
          <w:b/>
          <w:color w:val="auto"/>
          <w:sz w:val="24"/>
          <w:szCs w:val="24"/>
        </w:rPr>
      </w:pPr>
      <w:r>
        <w:rPr>
          <w:rFonts w:hint="eastAsia" w:ascii="宋体" w:hAnsi="宋体"/>
          <w:b/>
          <w:color w:val="auto"/>
          <w:sz w:val="24"/>
          <w:szCs w:val="24"/>
        </w:rPr>
        <w:t>2.评标原则</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2.1评标活动遵循公平、公正、科学和择优的原则，以招标文件和投标文件为评标的基本依据，并按照招标文件规定的评标方法和评标标准进行评标。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2.2具体评标事项由评标委员会负责，并按招标文件的规定办法进行评审。</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2.3 合格投标人不足三家的，不得评标。</w:t>
      </w:r>
    </w:p>
    <w:p>
      <w:pPr>
        <w:spacing w:line="360" w:lineRule="auto"/>
        <w:rPr>
          <w:rFonts w:ascii="宋体" w:hAnsi="宋体"/>
          <w:b/>
          <w:color w:val="auto"/>
          <w:sz w:val="24"/>
          <w:szCs w:val="24"/>
        </w:rPr>
      </w:pPr>
      <w:r>
        <w:rPr>
          <w:rFonts w:hint="eastAsia" w:ascii="宋体" w:hAnsi="宋体"/>
          <w:b/>
          <w:color w:val="auto"/>
          <w:sz w:val="24"/>
          <w:szCs w:val="24"/>
        </w:rPr>
        <w:t>3.澄清</w:t>
      </w:r>
    </w:p>
    <w:p>
      <w:pPr>
        <w:ind w:firstLine="480" w:firstLineChars="200"/>
        <w:rPr>
          <w:rFonts w:ascii="宋体" w:hAnsi="宋体"/>
          <w:color w:val="auto"/>
          <w:sz w:val="24"/>
          <w:szCs w:val="24"/>
        </w:rPr>
      </w:pPr>
      <w:r>
        <w:rPr>
          <w:rFonts w:hint="eastAsia" w:ascii="宋体" w:hAnsi="宋体"/>
          <w:color w:val="auto"/>
          <w:sz w:val="24"/>
          <w:szCs w:val="24"/>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3.1评标委员会不接受投标人主动提出的澄清、说明或补正。</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3.2评标委员会对投标人提交的澄清、说明或补正有疑问的，可以要求投标人进一步澄清、说明或补正。</w:t>
      </w:r>
    </w:p>
    <w:p>
      <w:pPr>
        <w:spacing w:line="360" w:lineRule="auto"/>
        <w:rPr>
          <w:rFonts w:ascii="宋体" w:hAnsi="宋体"/>
          <w:b/>
          <w:color w:val="auto"/>
          <w:sz w:val="24"/>
          <w:szCs w:val="24"/>
        </w:rPr>
      </w:pPr>
      <w:r>
        <w:rPr>
          <w:rFonts w:hint="eastAsia" w:ascii="宋体" w:hAnsi="宋体"/>
          <w:b/>
          <w:color w:val="auto"/>
          <w:sz w:val="24"/>
          <w:szCs w:val="24"/>
        </w:rPr>
        <w:t>4.投标无效的情形</w:t>
      </w:r>
    </w:p>
    <w:p>
      <w:pPr>
        <w:spacing w:line="360" w:lineRule="auto"/>
        <w:ind w:firstLine="480" w:firstLineChars="200"/>
        <w:rPr>
          <w:rFonts w:ascii="宋体" w:hAnsi="宋体"/>
          <w:color w:val="auto"/>
          <w:sz w:val="24"/>
          <w:szCs w:val="24"/>
        </w:rPr>
      </w:pPr>
      <w:r>
        <w:rPr>
          <w:rFonts w:hint="eastAsia" w:ascii="宋体" w:hAnsi="宋体"/>
          <w:color w:val="auto"/>
          <w:sz w:val="24"/>
          <w:szCs w:val="24"/>
        </w:rPr>
        <w:t>详见第六章评审表。经评标委员会认定，凡其中有一项不合格的，按无效投标处理。</w:t>
      </w:r>
    </w:p>
    <w:p>
      <w:pPr>
        <w:spacing w:line="360" w:lineRule="auto"/>
        <w:rPr>
          <w:rFonts w:ascii="宋体" w:hAnsi="宋体"/>
          <w:color w:val="auto"/>
          <w:sz w:val="24"/>
          <w:szCs w:val="24"/>
        </w:rPr>
      </w:pPr>
      <w:r>
        <w:rPr>
          <w:rFonts w:hint="eastAsia" w:ascii="宋体" w:hAnsi="宋体"/>
          <w:b/>
          <w:color w:val="auto"/>
          <w:sz w:val="24"/>
          <w:szCs w:val="24"/>
        </w:rPr>
        <w:t>5.有下列情形之一的，视为投标人串通投标：</w:t>
      </w:r>
    </w:p>
    <w:p>
      <w:pPr>
        <w:spacing w:line="360" w:lineRule="auto"/>
        <w:ind w:firstLine="360" w:firstLineChars="150"/>
        <w:rPr>
          <w:rFonts w:ascii="宋体" w:hAnsi="宋体"/>
          <w:color w:val="auto"/>
          <w:sz w:val="24"/>
          <w:szCs w:val="24"/>
        </w:rPr>
      </w:pPr>
      <w:r>
        <w:rPr>
          <w:rFonts w:hint="eastAsia" w:ascii="宋体" w:hAnsi="宋体"/>
          <w:color w:val="auto"/>
          <w:sz w:val="24"/>
          <w:szCs w:val="24"/>
        </w:rPr>
        <w:t>（1）不同投标人的投标文件由同一单位或者个人编制；</w:t>
      </w:r>
    </w:p>
    <w:p>
      <w:pPr>
        <w:spacing w:line="360" w:lineRule="auto"/>
        <w:ind w:firstLine="360" w:firstLineChars="150"/>
        <w:rPr>
          <w:rFonts w:ascii="宋体" w:hAnsi="宋体"/>
          <w:color w:val="auto"/>
          <w:sz w:val="24"/>
          <w:szCs w:val="24"/>
        </w:rPr>
      </w:pPr>
      <w:r>
        <w:rPr>
          <w:rFonts w:hint="eastAsia" w:ascii="宋体" w:hAnsi="宋体"/>
          <w:color w:val="auto"/>
          <w:sz w:val="24"/>
          <w:szCs w:val="24"/>
        </w:rPr>
        <w:t>（2）不同投标人委托同一单位或者个人办理投标事宜；</w:t>
      </w:r>
    </w:p>
    <w:p>
      <w:pPr>
        <w:spacing w:line="360" w:lineRule="auto"/>
        <w:ind w:firstLine="360" w:firstLineChars="150"/>
        <w:rPr>
          <w:rFonts w:ascii="宋体" w:hAnsi="宋体"/>
          <w:color w:val="auto"/>
          <w:sz w:val="24"/>
          <w:szCs w:val="24"/>
        </w:rPr>
      </w:pPr>
      <w:r>
        <w:rPr>
          <w:rFonts w:hint="eastAsia" w:ascii="宋体" w:hAnsi="宋体"/>
          <w:color w:val="auto"/>
          <w:sz w:val="24"/>
          <w:szCs w:val="24"/>
        </w:rPr>
        <w:t>（3）不同投标人的投标文件载明的项目管理成员或者联系人员为同一人；</w:t>
      </w:r>
    </w:p>
    <w:p>
      <w:pPr>
        <w:spacing w:line="360" w:lineRule="auto"/>
        <w:ind w:firstLine="360" w:firstLineChars="150"/>
        <w:rPr>
          <w:rFonts w:ascii="宋体" w:hAnsi="宋体"/>
          <w:color w:val="auto"/>
          <w:sz w:val="24"/>
          <w:szCs w:val="24"/>
        </w:rPr>
      </w:pPr>
      <w:r>
        <w:rPr>
          <w:rFonts w:hint="eastAsia" w:ascii="宋体" w:hAnsi="宋体"/>
          <w:color w:val="auto"/>
          <w:sz w:val="24"/>
          <w:szCs w:val="24"/>
        </w:rPr>
        <w:t>（4）不同投标人的投标文件异常一致或者投标报价呈规律性差异；</w:t>
      </w:r>
    </w:p>
    <w:p>
      <w:pPr>
        <w:spacing w:line="360" w:lineRule="auto"/>
        <w:ind w:firstLine="360" w:firstLineChars="150"/>
        <w:rPr>
          <w:rFonts w:ascii="宋体" w:hAnsi="宋体"/>
          <w:color w:val="auto"/>
          <w:sz w:val="24"/>
          <w:szCs w:val="24"/>
        </w:rPr>
      </w:pPr>
      <w:r>
        <w:rPr>
          <w:rFonts w:hint="eastAsia" w:ascii="宋体" w:hAnsi="宋体"/>
          <w:color w:val="auto"/>
          <w:sz w:val="24"/>
          <w:szCs w:val="24"/>
        </w:rPr>
        <w:t>（5）不同投标人的投标文件相互混装；</w:t>
      </w:r>
    </w:p>
    <w:p>
      <w:pPr>
        <w:spacing w:line="360" w:lineRule="auto"/>
        <w:ind w:firstLine="360" w:firstLineChars="150"/>
        <w:rPr>
          <w:rFonts w:ascii="宋体" w:hAnsi="宋体"/>
          <w:color w:val="auto"/>
          <w:sz w:val="24"/>
          <w:szCs w:val="24"/>
        </w:rPr>
      </w:pPr>
      <w:r>
        <w:rPr>
          <w:rFonts w:hint="eastAsia" w:ascii="宋体" w:hAnsi="宋体"/>
          <w:color w:val="auto"/>
          <w:sz w:val="24"/>
          <w:szCs w:val="24"/>
        </w:rPr>
        <w:t>（6）不同投标人的投标保证金从同一单位或者个人的账户转出。</w:t>
      </w:r>
    </w:p>
    <w:p>
      <w:pPr>
        <w:spacing w:line="360" w:lineRule="auto"/>
        <w:rPr>
          <w:rFonts w:ascii="宋体" w:hAnsi="宋体"/>
          <w:color w:val="auto"/>
          <w:sz w:val="24"/>
          <w:szCs w:val="24"/>
        </w:rPr>
      </w:pPr>
      <w:r>
        <w:rPr>
          <w:rFonts w:hint="eastAsia" w:ascii="宋体" w:hAnsi="宋体"/>
          <w:b/>
          <w:color w:val="auto"/>
          <w:sz w:val="24"/>
          <w:szCs w:val="24"/>
        </w:rPr>
        <w:t>6.废标的情形</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出现下列情形之一的，应予以废标。</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（1）符合专业条件的投标人或者对招标文件作实质响应的投标人不足3家；</w:t>
      </w:r>
      <w:r>
        <w:rPr>
          <w:rFonts w:hint="eastAsia" w:ascii="宋体" w:hAnsi="宋体" w:cs="宋体"/>
          <w:color w:val="auto"/>
          <w:sz w:val="24"/>
          <w:szCs w:val="24"/>
        </w:rPr>
        <w:t>（或参与竞争的核心产品品牌不足</w:t>
      </w:r>
      <w:r>
        <w:rPr>
          <w:rFonts w:ascii="宋体" w:hAnsi="宋体" w:cs="宋体"/>
          <w:color w:val="auto"/>
          <w:sz w:val="24"/>
          <w:szCs w:val="24"/>
        </w:rPr>
        <w:t>3</w:t>
      </w:r>
      <w:r>
        <w:rPr>
          <w:rFonts w:hint="eastAsia" w:ascii="宋体" w:hAnsi="宋体" w:cs="宋体"/>
          <w:color w:val="auto"/>
          <w:sz w:val="24"/>
          <w:szCs w:val="24"/>
        </w:rPr>
        <w:t>个）的；</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（2）出现影响采购公正的违法、违规行为的；</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（3）投标人的报价均超过了采购预算；</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（4）因重大变故，采购任务取消；</w:t>
      </w:r>
    </w:p>
    <w:p>
      <w:pPr>
        <w:spacing w:line="360" w:lineRule="auto"/>
        <w:ind w:firstLine="480" w:firstLineChars="200"/>
        <w:rPr>
          <w:rFonts w:ascii="宋体" w:hAnsi="宋体"/>
          <w:color w:val="auto"/>
          <w:sz w:val="24"/>
          <w:szCs w:val="24"/>
        </w:rPr>
      </w:pPr>
      <w:r>
        <w:rPr>
          <w:rFonts w:hint="eastAsia" w:ascii="宋体" w:hAnsi="宋体"/>
          <w:color w:val="auto"/>
          <w:sz w:val="24"/>
          <w:szCs w:val="24"/>
        </w:rPr>
        <w:t>（5）法律、法规以及招标文件规定其他情形。</w:t>
      </w:r>
    </w:p>
    <w:p>
      <w:pPr>
        <w:spacing w:line="360" w:lineRule="auto"/>
        <w:rPr>
          <w:rFonts w:ascii="宋体" w:hAnsi="宋体"/>
          <w:b/>
          <w:color w:val="auto"/>
          <w:sz w:val="24"/>
          <w:szCs w:val="24"/>
        </w:rPr>
      </w:pPr>
      <w:r>
        <w:rPr>
          <w:rFonts w:hint="eastAsia" w:ascii="宋体" w:hAnsi="宋体"/>
          <w:b/>
          <w:color w:val="auto"/>
          <w:sz w:val="24"/>
          <w:szCs w:val="24"/>
        </w:rPr>
        <w:t>7.定标</w:t>
      </w:r>
    </w:p>
    <w:p>
      <w:pPr>
        <w:spacing w:line="360" w:lineRule="auto"/>
        <w:ind w:firstLine="480" w:firstLineChars="200"/>
        <w:rPr>
          <w:rFonts w:ascii="宋体" w:hAnsi="宋体"/>
          <w:color w:val="auto"/>
          <w:sz w:val="24"/>
          <w:szCs w:val="24"/>
        </w:rPr>
      </w:pPr>
      <w:r>
        <w:rPr>
          <w:rFonts w:hint="eastAsia" w:ascii="宋体" w:hAnsi="宋体"/>
          <w:color w:val="auto"/>
          <w:sz w:val="24"/>
          <w:szCs w:val="24"/>
        </w:rPr>
        <w:t>评标委员会按照招标文件确定的评标方法、步骤、标准，对投标文件进行评审。评标结束后，对投标人的评审名次进行排序，确定中标人或者推荐中标候选人。</w:t>
      </w:r>
    </w:p>
    <w:p>
      <w:pPr>
        <w:spacing w:line="360" w:lineRule="auto"/>
        <w:rPr>
          <w:rFonts w:ascii="宋体" w:hAnsi="宋体"/>
          <w:b/>
          <w:color w:val="auto"/>
          <w:sz w:val="24"/>
          <w:szCs w:val="24"/>
        </w:rPr>
      </w:pPr>
      <w:r>
        <w:rPr>
          <w:rFonts w:hint="eastAsia" w:ascii="宋体" w:hAnsi="宋体"/>
          <w:b/>
          <w:color w:val="auto"/>
          <w:sz w:val="24"/>
          <w:szCs w:val="24"/>
        </w:rPr>
        <w:t>8.中标结果公告</w:t>
      </w:r>
    </w:p>
    <w:p>
      <w:pPr>
        <w:spacing w:line="360" w:lineRule="auto"/>
        <w:ind w:firstLine="480" w:firstLineChars="200"/>
        <w:rPr>
          <w:rFonts w:ascii="宋体" w:hAnsi="宋体"/>
          <w:color w:val="auto"/>
          <w:sz w:val="24"/>
          <w:szCs w:val="24"/>
        </w:rPr>
      </w:pPr>
      <w:r>
        <w:rPr>
          <w:rFonts w:hint="eastAsia" w:ascii="宋体" w:hAnsi="宋体"/>
          <w:color w:val="auto"/>
          <w:sz w:val="24"/>
          <w:szCs w:val="24"/>
        </w:rPr>
        <w:t>8.1中标人确定后，采购代理机构将在内蒙古自治区政府采购网、内蒙古自治区公共资源交易网、鄂尔多斯市政府采购网和鄂尔多斯市公共资源交易网鄂托克前旗人民政府网上发布中标结果公告，同时将中标结果以公告形式通知未中标的投标人，中标结果公告期为</w:t>
      </w:r>
      <w:r>
        <w:rPr>
          <w:rFonts w:hint="eastAsia" w:ascii="宋体" w:hAnsi="宋体"/>
          <w:color w:val="auto"/>
          <w:sz w:val="24"/>
          <w:szCs w:val="24"/>
          <w:u w:val="single"/>
        </w:rPr>
        <w:t xml:space="preserve"> 1 </w:t>
      </w:r>
      <w:r>
        <w:rPr>
          <w:rFonts w:hint="eastAsia" w:ascii="宋体" w:hAnsi="宋体"/>
          <w:color w:val="auto"/>
          <w:sz w:val="24"/>
          <w:szCs w:val="24"/>
        </w:rPr>
        <w:t>个工作日。</w:t>
      </w:r>
    </w:p>
    <w:p>
      <w:pPr>
        <w:spacing w:line="360" w:lineRule="auto"/>
        <w:ind w:firstLine="480" w:firstLineChars="200"/>
        <w:rPr>
          <w:rFonts w:ascii="宋体" w:hAnsi="宋体"/>
          <w:color w:val="auto"/>
          <w:sz w:val="24"/>
          <w:szCs w:val="24"/>
        </w:rPr>
      </w:pPr>
      <w:r>
        <w:rPr>
          <w:rFonts w:hint="eastAsia" w:ascii="宋体" w:hAnsi="宋体"/>
          <w:color w:val="auto"/>
          <w:sz w:val="24"/>
          <w:szCs w:val="24"/>
        </w:rPr>
        <w:t>8.2</w:t>
      </w:r>
      <w:r>
        <w:rPr>
          <w:rFonts w:hint="eastAsia" w:ascii="宋体" w:hAnsi="宋体"/>
          <w:sz w:val="24"/>
          <w:szCs w:val="24"/>
        </w:rPr>
        <w:t>中标人须将中标货物报价明细表（WORD格式电子版，格式下载地址：鄂尔多斯市公共资源交易网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政府采购相关范本）（包括主要中标标的的名称、规格型号、数量、单价、服务要求）于评标结束后当天发送在采购代理机构工作人员邮箱内（</w:t>
      </w:r>
      <w:r>
        <w:fldChar w:fldCharType="begin"/>
      </w:r>
      <w:r>
        <w:instrText xml:space="preserve"> HYPERLINK "mailto:806391668@qq.com" </w:instrText>
      </w:r>
      <w:r>
        <w:fldChar w:fldCharType="separate"/>
      </w:r>
      <w:r>
        <w:rPr>
          <w:rStyle w:val="35"/>
          <w:rFonts w:hint="eastAsia" w:ascii="宋体" w:hAnsi="宋体"/>
          <w:color w:val="auto"/>
          <w:sz w:val="24"/>
          <w:szCs w:val="24"/>
        </w:rPr>
        <w:t>923308479@qq.com</w:t>
      </w:r>
      <w:r>
        <w:rPr>
          <w:rStyle w:val="35"/>
          <w:rFonts w:hint="eastAsia" w:ascii="宋体" w:hAnsi="宋体"/>
          <w:color w:val="auto"/>
          <w:sz w:val="24"/>
          <w:szCs w:val="24"/>
        </w:rPr>
        <w:fldChar w:fldCharType="end"/>
      </w:r>
      <w:r>
        <w:rPr>
          <w:rFonts w:hint="eastAsia" w:ascii="宋体" w:hAnsi="宋体"/>
          <w:sz w:val="24"/>
          <w:szCs w:val="24"/>
        </w:rPr>
        <w:t>，联系人雷晓燕，联系电话15934973738），并在邮件标题注明项目名称及中标单位名称，否则不予发布中标结果公告。</w:t>
      </w:r>
    </w:p>
    <w:p>
      <w:pPr>
        <w:spacing w:line="360" w:lineRule="auto"/>
        <w:rPr>
          <w:rFonts w:ascii="宋体" w:hAnsi="宋体"/>
          <w:b/>
          <w:color w:val="auto"/>
          <w:sz w:val="24"/>
          <w:szCs w:val="24"/>
        </w:rPr>
      </w:pPr>
      <w:r>
        <w:rPr>
          <w:rFonts w:hint="eastAsia" w:ascii="宋体" w:hAnsi="宋体"/>
          <w:b/>
          <w:color w:val="auto"/>
          <w:sz w:val="24"/>
          <w:szCs w:val="24"/>
        </w:rPr>
        <w:t>9.中标通知书发放</w:t>
      </w:r>
    </w:p>
    <w:p>
      <w:pPr>
        <w:spacing w:line="360" w:lineRule="auto"/>
        <w:ind w:firstLine="480" w:firstLineChars="200"/>
        <w:rPr>
          <w:rFonts w:ascii="宋体" w:hAnsi="宋体"/>
          <w:color w:val="auto"/>
          <w:sz w:val="24"/>
          <w:szCs w:val="24"/>
        </w:rPr>
      </w:pPr>
      <w:r>
        <w:rPr>
          <w:rFonts w:hint="eastAsia" w:ascii="宋体" w:hAnsi="宋体"/>
          <w:color w:val="auto"/>
          <w:sz w:val="24"/>
          <w:szCs w:val="24"/>
        </w:rPr>
        <w:t>采购代理机构向中标人发出中标通知书，</w:t>
      </w:r>
      <w:r>
        <w:rPr>
          <w:rFonts w:ascii="宋体" w:hAnsi="宋体"/>
          <w:color w:val="auto"/>
          <w:sz w:val="24"/>
          <w:szCs w:val="24"/>
        </w:rPr>
        <w:t>中标通知书是合同的组成部分</w:t>
      </w:r>
      <w:r>
        <w:rPr>
          <w:rFonts w:hint="eastAsia" w:ascii="宋体" w:hAnsi="宋体"/>
          <w:color w:val="auto"/>
          <w:sz w:val="24"/>
          <w:szCs w:val="24"/>
        </w:rPr>
        <w:t>，中标通知书对采购人和中标投标人具有同等法律效力。</w:t>
      </w:r>
    </w:p>
    <w:p>
      <w:pPr>
        <w:spacing w:line="360" w:lineRule="auto"/>
        <w:ind w:firstLine="480" w:firstLineChars="200"/>
        <w:rPr>
          <w:rFonts w:ascii="宋体" w:hAnsi="宋体"/>
          <w:color w:val="auto"/>
          <w:sz w:val="24"/>
          <w:szCs w:val="24"/>
        </w:rPr>
      </w:pPr>
      <w:r>
        <w:rPr>
          <w:rFonts w:hint="eastAsia" w:ascii="宋体" w:hAnsi="宋体"/>
          <w:color w:val="auto"/>
          <w:sz w:val="24"/>
          <w:szCs w:val="24"/>
        </w:rPr>
        <w:t>中标通知书发出后，采购人不得违法改变中标结果，中标人无正当理由不得放弃中标。</w:t>
      </w:r>
    </w:p>
    <w:p>
      <w:pPr>
        <w:spacing w:line="360" w:lineRule="auto"/>
        <w:ind w:firstLine="480" w:firstLineChars="200"/>
        <w:rPr>
          <w:rFonts w:ascii="宋体"/>
          <w:color w:val="auto"/>
          <w:sz w:val="24"/>
          <w:szCs w:val="24"/>
        </w:rPr>
      </w:pPr>
      <w:r>
        <w:rPr>
          <w:rFonts w:hint="eastAsia" w:ascii="宋体" w:hAnsi="宋体"/>
          <w:color w:val="auto"/>
          <w:sz w:val="24"/>
          <w:szCs w:val="24"/>
        </w:rPr>
        <w:t>中标人须持法定代表人授权委托书及本人身份证至</w:t>
      </w:r>
      <w:r>
        <w:rPr>
          <w:rFonts w:hint="eastAsia" w:ascii="宋体" w:hAnsi="宋体"/>
          <w:color w:val="auto"/>
          <w:sz w:val="24"/>
          <w:szCs w:val="24"/>
          <w:lang w:eastAsia="zh-CN"/>
        </w:rPr>
        <w:t>内蒙古久诺项目管理有限公司</w:t>
      </w:r>
      <w:r>
        <w:rPr>
          <w:rFonts w:hint="eastAsia" w:ascii="宋体" w:hAnsi="宋体"/>
          <w:color w:val="auto"/>
          <w:sz w:val="24"/>
          <w:szCs w:val="24"/>
        </w:rPr>
        <w:t>领取。</w:t>
      </w:r>
    </w:p>
    <w:p>
      <w:pPr>
        <w:spacing w:line="360" w:lineRule="auto"/>
        <w:rPr>
          <w:rFonts w:ascii="宋体" w:hAnsi="宋体"/>
          <w:b/>
          <w:color w:val="auto"/>
          <w:sz w:val="24"/>
          <w:szCs w:val="24"/>
        </w:rPr>
      </w:pPr>
      <w:r>
        <w:rPr>
          <w:rFonts w:hint="eastAsia" w:ascii="宋体" w:hAnsi="宋体"/>
          <w:b/>
          <w:color w:val="auto"/>
          <w:sz w:val="24"/>
          <w:szCs w:val="24"/>
        </w:rPr>
        <w:t>八.询问、质疑与投诉</w:t>
      </w:r>
    </w:p>
    <w:p>
      <w:pPr>
        <w:autoSpaceDE w:val="0"/>
        <w:autoSpaceDN w:val="0"/>
        <w:adjustRightInd w:val="0"/>
        <w:snapToGrid w:val="0"/>
        <w:spacing w:line="360" w:lineRule="auto"/>
        <w:ind w:right="32"/>
        <w:rPr>
          <w:rFonts w:ascii="宋体" w:hAnsi="宋体" w:cs="宋体"/>
          <w:b/>
          <w:color w:val="auto"/>
          <w:sz w:val="24"/>
          <w:szCs w:val="24"/>
        </w:rPr>
      </w:pPr>
      <w:r>
        <w:rPr>
          <w:rFonts w:hint="eastAsia" w:ascii="宋体" w:hAnsi="宋体" w:cs="宋体"/>
          <w:b/>
          <w:color w:val="auto"/>
          <w:sz w:val="24"/>
          <w:szCs w:val="24"/>
        </w:rPr>
        <w:t>1.询问</w:t>
      </w:r>
    </w:p>
    <w:p>
      <w:pPr>
        <w:autoSpaceDE w:val="0"/>
        <w:autoSpaceDN w:val="0"/>
        <w:adjustRightInd w:val="0"/>
        <w:snapToGrid w:val="0"/>
        <w:spacing w:line="360" w:lineRule="auto"/>
        <w:ind w:right="32" w:firstLine="482" w:firstLineChars="201"/>
        <w:rPr>
          <w:rFonts w:ascii="宋体" w:hAnsi="宋体" w:cs="宋体"/>
          <w:b/>
          <w:color w:val="auto"/>
          <w:kern w:val="0"/>
          <w:sz w:val="24"/>
          <w:szCs w:val="24"/>
        </w:rPr>
      </w:pPr>
      <w:r>
        <w:rPr>
          <w:rFonts w:hint="eastAsia" w:ascii="宋体" w:hAnsi="宋体" w:cs="宋体"/>
          <w:color w:val="auto"/>
          <w:sz w:val="24"/>
          <w:szCs w:val="24"/>
        </w:rPr>
        <w:t>投标人对政府采购活动事项有疑问的，可以向采购人或采购代理机构提出询问，采购人或采购代理机构应当在</w:t>
      </w:r>
      <w:r>
        <w:rPr>
          <w:rFonts w:ascii="宋体" w:hAnsi="宋体" w:cs="宋体"/>
          <w:color w:val="auto"/>
          <w:sz w:val="24"/>
          <w:szCs w:val="24"/>
        </w:rPr>
        <w:t>3</w:t>
      </w:r>
      <w:r>
        <w:rPr>
          <w:rFonts w:hint="eastAsia" w:ascii="宋体" w:hAnsi="宋体" w:cs="宋体"/>
          <w:color w:val="auto"/>
          <w:sz w:val="24"/>
          <w:szCs w:val="24"/>
        </w:rPr>
        <w:t>个工作日内做出答复，但答复的内容不得涉及商业秘密。</w:t>
      </w:r>
      <w:r>
        <w:rPr>
          <w:rFonts w:hint="eastAsia" w:ascii="宋体" w:hAnsi="宋体" w:cs="宋体"/>
          <w:color w:val="auto"/>
          <w:kern w:val="0"/>
          <w:sz w:val="24"/>
          <w:szCs w:val="24"/>
        </w:rPr>
        <w:t>投标人提出的询问超出采购人对采购代理机构委托授权范围的，采购代理机构应当告知其向采购人提出。</w:t>
      </w:r>
    </w:p>
    <w:p>
      <w:pPr>
        <w:autoSpaceDE w:val="0"/>
        <w:autoSpaceDN w:val="0"/>
        <w:adjustRightInd w:val="0"/>
        <w:snapToGrid w:val="0"/>
        <w:spacing w:line="360" w:lineRule="auto"/>
        <w:ind w:right="32" w:firstLine="482" w:firstLineChars="201"/>
        <w:rPr>
          <w:rFonts w:ascii="宋体" w:hAnsi="宋体"/>
          <w:color w:val="auto"/>
          <w:kern w:val="0"/>
          <w:sz w:val="24"/>
          <w:szCs w:val="24"/>
        </w:rPr>
      </w:pPr>
      <w:r>
        <w:rPr>
          <w:rFonts w:hint="eastAsia" w:ascii="宋体" w:hAnsi="宋体" w:cs="宋体"/>
          <w:color w:val="auto"/>
          <w:kern w:val="0"/>
          <w:sz w:val="24"/>
          <w:szCs w:val="24"/>
        </w:rPr>
        <w:t>为了使提出的询问事项在规定时间内得到有效回复，询问采用实名制，询问内容以书面材料的形式亲自递交到采购代理机构，正式受理后方可生效，否则，为无效询问。</w:t>
      </w:r>
    </w:p>
    <w:p>
      <w:pPr>
        <w:spacing w:line="360" w:lineRule="auto"/>
        <w:rPr>
          <w:rFonts w:ascii="宋体" w:hAnsi="宋体" w:cs="宋体"/>
          <w:b/>
          <w:color w:val="auto"/>
          <w:kern w:val="0"/>
          <w:sz w:val="24"/>
          <w:szCs w:val="24"/>
        </w:rPr>
      </w:pPr>
      <w:r>
        <w:rPr>
          <w:rFonts w:hint="eastAsia" w:ascii="宋体" w:hAnsi="宋体" w:cs="宋体"/>
          <w:b/>
          <w:color w:val="auto"/>
          <w:kern w:val="0"/>
          <w:sz w:val="24"/>
          <w:szCs w:val="24"/>
        </w:rPr>
        <w:t>2.质疑</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2.1投标人认为采购文件、采购过程和中标、成交结果使自己的权益受到损害的，可以在知道或者应知其权益受到损害之日起七个工作日内，以书面形式向采购人提出质疑。</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2.2采购人应当在收到投标人的书面质疑后七个工作日内作出答复，并以书面形式通知质疑投标人和其他有关投标人，但答复的内容不得涉及商业秘密。</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2.3询问或者质疑事项可能影响中标结果的，采购人应当暂停签订合同，已经签订合同的，应当中止履行合同。</w:t>
      </w:r>
    </w:p>
    <w:p>
      <w:pPr>
        <w:spacing w:line="360" w:lineRule="auto"/>
        <w:ind w:firstLine="480" w:firstLineChars="200"/>
        <w:rPr>
          <w:rFonts w:ascii="宋体" w:hAnsi="宋体"/>
          <w:color w:val="auto"/>
          <w:sz w:val="24"/>
          <w:szCs w:val="24"/>
        </w:rPr>
      </w:pPr>
      <w:r>
        <w:rPr>
          <w:rFonts w:hint="eastAsia" w:ascii="宋体" w:hAnsi="宋体" w:cs="宋体"/>
          <w:color w:val="auto"/>
          <w:kern w:val="0"/>
          <w:sz w:val="24"/>
          <w:szCs w:val="24"/>
        </w:rPr>
        <w:t>2.4为了使提出的质疑事项在规定时间内得到有效答复、处理，质疑采用实名制，质疑人必须为本次采购活动当事人，且由法定代表人或投标授权人亲自递交到采购代理机构，正式受理后方可生效，否则，为无效质疑。</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2.5递交的质疑函务必提供以下信息和内容：</w:t>
      </w:r>
    </w:p>
    <w:p>
      <w:pPr>
        <w:spacing w:line="360" w:lineRule="auto"/>
        <w:ind w:firstLine="360" w:firstLineChars="150"/>
        <w:rPr>
          <w:rFonts w:ascii="宋体" w:hAnsi="宋体"/>
          <w:color w:val="auto"/>
          <w:sz w:val="24"/>
          <w:szCs w:val="24"/>
        </w:rPr>
      </w:pPr>
      <w:r>
        <w:rPr>
          <w:rFonts w:hint="eastAsia" w:ascii="宋体" w:hAnsi="宋体"/>
          <w:color w:val="auto"/>
          <w:sz w:val="24"/>
          <w:szCs w:val="24"/>
        </w:rPr>
        <w:t>（1）质疑人的单位名称和姓名、地址、联系电话、身份证明和法人授权委托书；</w:t>
      </w:r>
    </w:p>
    <w:p>
      <w:pPr>
        <w:spacing w:line="360" w:lineRule="auto"/>
        <w:ind w:firstLine="360" w:firstLineChars="150"/>
        <w:rPr>
          <w:rFonts w:ascii="宋体" w:hAnsi="宋体"/>
          <w:color w:val="auto"/>
          <w:sz w:val="24"/>
          <w:szCs w:val="24"/>
        </w:rPr>
      </w:pPr>
      <w:r>
        <w:rPr>
          <w:rFonts w:hint="eastAsia" w:ascii="宋体" w:hAnsi="宋体"/>
          <w:color w:val="auto"/>
          <w:sz w:val="24"/>
          <w:szCs w:val="24"/>
        </w:rPr>
        <w:t>（2）被质疑人的单位名称或姓名等；</w:t>
      </w:r>
    </w:p>
    <w:p>
      <w:pPr>
        <w:spacing w:line="360" w:lineRule="auto"/>
        <w:ind w:firstLine="360" w:firstLineChars="150"/>
        <w:rPr>
          <w:rFonts w:ascii="宋体" w:hAnsi="宋体"/>
          <w:color w:val="auto"/>
          <w:sz w:val="24"/>
          <w:szCs w:val="24"/>
        </w:rPr>
      </w:pPr>
      <w:r>
        <w:rPr>
          <w:rFonts w:hint="eastAsia" w:ascii="宋体" w:hAnsi="宋体"/>
          <w:color w:val="auto"/>
          <w:sz w:val="24"/>
          <w:szCs w:val="24"/>
        </w:rPr>
        <w:t>（3）质疑应当有明确的请求和必要的证明材料；</w:t>
      </w:r>
    </w:p>
    <w:p>
      <w:pPr>
        <w:spacing w:line="360" w:lineRule="auto"/>
        <w:ind w:firstLine="360" w:firstLineChars="150"/>
        <w:rPr>
          <w:rFonts w:ascii="宋体" w:hAnsi="宋体"/>
          <w:color w:val="auto"/>
          <w:sz w:val="24"/>
          <w:szCs w:val="24"/>
        </w:rPr>
      </w:pPr>
      <w:r>
        <w:rPr>
          <w:rFonts w:hint="eastAsia" w:ascii="宋体" w:hAnsi="宋体"/>
          <w:color w:val="auto"/>
          <w:sz w:val="24"/>
          <w:szCs w:val="24"/>
        </w:rPr>
        <w:t>（4）质疑人的签章及提出质疑的准确日期。</w:t>
      </w:r>
    </w:p>
    <w:p>
      <w:pPr>
        <w:spacing w:line="360" w:lineRule="auto"/>
        <w:ind w:firstLine="482" w:firstLineChars="201"/>
        <w:rPr>
          <w:rFonts w:ascii="宋体" w:hAnsi="宋体"/>
          <w:color w:val="auto"/>
          <w:sz w:val="24"/>
          <w:szCs w:val="24"/>
        </w:rPr>
      </w:pPr>
      <w:r>
        <w:rPr>
          <w:rFonts w:hint="eastAsia" w:ascii="宋体" w:hAnsi="宋体"/>
          <w:color w:val="auto"/>
          <w:sz w:val="24"/>
          <w:szCs w:val="24"/>
        </w:rPr>
        <w:t>2.6有下列情况之一的质疑不予受理：</w:t>
      </w:r>
    </w:p>
    <w:p>
      <w:pPr>
        <w:spacing w:line="360" w:lineRule="auto"/>
        <w:ind w:firstLine="482" w:firstLineChars="201"/>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）非投标人提出的质疑；</w:t>
      </w:r>
    </w:p>
    <w:p>
      <w:pPr>
        <w:spacing w:line="360" w:lineRule="auto"/>
        <w:ind w:firstLine="482" w:firstLineChars="201"/>
        <w:rPr>
          <w:rFonts w:ascii="宋体" w:hAnsi="宋体"/>
          <w:color w:val="auto"/>
          <w:sz w:val="24"/>
          <w:szCs w:val="24"/>
        </w:rPr>
      </w:pPr>
      <w:r>
        <w:rPr>
          <w:rFonts w:hint="eastAsia" w:ascii="宋体" w:hAnsi="宋体"/>
          <w:color w:val="auto"/>
          <w:sz w:val="24"/>
          <w:szCs w:val="24"/>
        </w:rPr>
        <w:t>（2）无质疑函件或质疑函件缺少投标人法人印章、投标人法定代表人签字、有效授权书和联系方式之一的质疑；</w:t>
      </w:r>
    </w:p>
    <w:p>
      <w:pPr>
        <w:spacing w:line="360" w:lineRule="auto"/>
        <w:ind w:firstLine="482" w:firstLineChars="201"/>
        <w:rPr>
          <w:rFonts w:ascii="宋体" w:hAnsi="宋体"/>
          <w:color w:val="auto"/>
          <w:sz w:val="24"/>
          <w:szCs w:val="24"/>
        </w:rPr>
      </w:pPr>
      <w:r>
        <w:rPr>
          <w:rFonts w:hint="eastAsia" w:ascii="宋体" w:hAnsi="宋体"/>
          <w:color w:val="auto"/>
          <w:sz w:val="24"/>
          <w:szCs w:val="24"/>
        </w:rPr>
        <w:t>（3）质疑函件无实质性内容或佐证文件资料，主观臆断及推理得出结论的质疑；</w:t>
      </w:r>
    </w:p>
    <w:p>
      <w:pPr>
        <w:spacing w:line="360" w:lineRule="auto"/>
        <w:ind w:firstLine="482" w:firstLineChars="201"/>
        <w:rPr>
          <w:rFonts w:ascii="宋体" w:hAnsi="宋体"/>
          <w:color w:val="auto"/>
          <w:sz w:val="24"/>
          <w:szCs w:val="24"/>
        </w:rPr>
      </w:pPr>
      <w:r>
        <w:rPr>
          <w:rFonts w:hint="eastAsia" w:ascii="宋体" w:hAnsi="宋体"/>
          <w:color w:val="auto"/>
          <w:sz w:val="24"/>
          <w:szCs w:val="24"/>
        </w:rPr>
        <w:t>（4）相应证明材料不真实或来源不合法的质疑；</w:t>
      </w:r>
    </w:p>
    <w:p>
      <w:pPr>
        <w:spacing w:line="360" w:lineRule="auto"/>
        <w:ind w:firstLine="482" w:firstLineChars="201"/>
        <w:rPr>
          <w:rFonts w:ascii="宋体" w:hAnsi="宋体"/>
          <w:color w:val="auto"/>
          <w:sz w:val="24"/>
          <w:szCs w:val="24"/>
        </w:rPr>
      </w:pPr>
      <w:r>
        <w:rPr>
          <w:rFonts w:hint="eastAsia" w:ascii="宋体" w:hAnsi="宋体"/>
          <w:color w:val="auto"/>
          <w:sz w:val="24"/>
          <w:szCs w:val="24"/>
        </w:rPr>
        <w:t>（5）未按规定时间或超过质疑时限提出的质疑；</w:t>
      </w:r>
    </w:p>
    <w:p>
      <w:pPr>
        <w:spacing w:line="360" w:lineRule="auto"/>
        <w:ind w:firstLine="482" w:firstLineChars="201"/>
        <w:rPr>
          <w:rFonts w:ascii="宋体" w:hAnsi="宋体"/>
          <w:color w:val="auto"/>
          <w:sz w:val="24"/>
          <w:szCs w:val="24"/>
        </w:rPr>
      </w:pPr>
      <w:r>
        <w:rPr>
          <w:rFonts w:hint="eastAsia" w:ascii="宋体" w:hAnsi="宋体"/>
          <w:color w:val="auto"/>
          <w:sz w:val="24"/>
          <w:szCs w:val="24"/>
        </w:rPr>
        <w:t>（6）除亲自送达书面质疑书式外，其他任何方式的质疑。</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2.7对捏造事实，提供虚假材料或者以非法手段取得证明材料进行恶意质疑的，一经查实，将上报监督部门，并给以相应处罚。</w:t>
      </w:r>
    </w:p>
    <w:p>
      <w:pPr>
        <w:spacing w:line="360" w:lineRule="auto"/>
        <w:rPr>
          <w:rFonts w:ascii="宋体" w:hAnsi="宋体"/>
          <w:b/>
          <w:color w:val="auto"/>
          <w:sz w:val="24"/>
          <w:szCs w:val="24"/>
        </w:rPr>
      </w:pPr>
      <w:r>
        <w:rPr>
          <w:rFonts w:hint="eastAsia" w:ascii="宋体" w:hAnsi="宋体"/>
          <w:b/>
          <w:color w:val="auto"/>
          <w:sz w:val="24"/>
          <w:szCs w:val="24"/>
        </w:rPr>
        <w:t>3.投诉</w:t>
      </w:r>
    </w:p>
    <w:p>
      <w:pPr>
        <w:spacing w:line="360" w:lineRule="auto"/>
        <w:ind w:firstLine="480" w:firstLineChars="200"/>
        <w:rPr>
          <w:rFonts w:ascii="宋体" w:hAnsi="宋体"/>
          <w:color w:val="auto"/>
          <w:sz w:val="24"/>
          <w:szCs w:val="24"/>
        </w:rPr>
      </w:pPr>
      <w:r>
        <w:rPr>
          <w:rFonts w:hint="eastAsia" w:ascii="宋体" w:hAnsi="宋体"/>
          <w:color w:val="auto"/>
          <w:sz w:val="24"/>
          <w:szCs w:val="24"/>
        </w:rPr>
        <w:t>质疑人对采购人、采购代理机构的答复不满意或者采购人、采购代理机构未在规定的时间内做出书面答复的，可以在答复期满后十五个工作日内向监督部门进行投诉。投诉程序按《政府采购法》及相关规定执行。</w:t>
      </w:r>
    </w:p>
    <w:p>
      <w:pPr>
        <w:ind w:firstLine="480" w:firstLineChars="200"/>
        <w:rPr>
          <w:rFonts w:ascii="宋体" w:hAnsi="宋体"/>
          <w:color w:val="auto"/>
          <w:sz w:val="24"/>
          <w:szCs w:val="24"/>
        </w:rPr>
      </w:pPr>
      <w:r>
        <w:rPr>
          <w:rFonts w:hint="eastAsia" w:ascii="宋体" w:hAnsi="宋体"/>
          <w:color w:val="auto"/>
          <w:sz w:val="24"/>
          <w:szCs w:val="24"/>
        </w:rPr>
        <w:t>投标人投诉的事项不得超出已质疑事项的范围。</w:t>
      </w:r>
      <w:bookmarkStart w:id="6" w:name="_Toc447030613"/>
      <w:bookmarkStart w:id="7" w:name="_Toc266431157"/>
    </w:p>
    <w:p>
      <w:pPr>
        <w:pStyle w:val="25"/>
        <w:spacing w:line="360" w:lineRule="auto"/>
        <w:jc w:val="both"/>
        <w:rPr>
          <w:rFonts w:ascii="宋体" w:hAnsi="宋体" w:eastAsia="宋体" w:cs="宋体"/>
          <w:bCs w:val="0"/>
          <w:color w:val="auto"/>
          <w:sz w:val="24"/>
          <w:szCs w:val="24"/>
        </w:rPr>
      </w:pPr>
      <w:r>
        <w:rPr>
          <w:rFonts w:ascii="宋体" w:hAnsi="宋体" w:eastAsia="宋体" w:cs="宋体"/>
          <w:bCs w:val="0"/>
          <w:color w:val="auto"/>
          <w:sz w:val="24"/>
          <w:szCs w:val="24"/>
        </w:rPr>
        <w:br w:type="page"/>
      </w:r>
    </w:p>
    <w:p>
      <w:pPr>
        <w:pStyle w:val="25"/>
        <w:spacing w:line="360" w:lineRule="auto"/>
        <w:rPr>
          <w:rFonts w:ascii="宋体" w:hAnsi="宋体" w:eastAsia="宋体" w:cs="宋体"/>
          <w:bCs w:val="0"/>
          <w:color w:val="auto"/>
          <w:sz w:val="24"/>
          <w:szCs w:val="24"/>
        </w:rPr>
      </w:pPr>
      <w:bookmarkStart w:id="8" w:name="_Toc497408659"/>
      <w:bookmarkStart w:id="9" w:name="_Toc6175_WPSOffice_Level1"/>
      <w:r>
        <w:rPr>
          <w:rFonts w:hint="eastAsia" w:ascii="宋体" w:hAnsi="宋体" w:eastAsia="宋体" w:cs="宋体"/>
          <w:bCs w:val="0"/>
          <w:color w:val="auto"/>
          <w:sz w:val="24"/>
          <w:szCs w:val="24"/>
        </w:rPr>
        <w:t xml:space="preserve">第三章 </w:t>
      </w:r>
      <w:bookmarkEnd w:id="6"/>
      <w:bookmarkEnd w:id="7"/>
      <w:r>
        <w:rPr>
          <w:rFonts w:hint="eastAsia" w:ascii="宋体" w:hAnsi="宋体" w:eastAsia="宋体" w:cs="宋体"/>
          <w:bCs w:val="0"/>
          <w:color w:val="auto"/>
          <w:sz w:val="24"/>
          <w:szCs w:val="24"/>
        </w:rPr>
        <w:t>合同与验收</w:t>
      </w:r>
      <w:bookmarkEnd w:id="8"/>
      <w:bookmarkEnd w:id="9"/>
    </w:p>
    <w:p>
      <w:pPr>
        <w:spacing w:line="360" w:lineRule="auto"/>
        <w:rPr>
          <w:rFonts w:ascii="宋体" w:hAnsi="宋体"/>
          <w:b/>
          <w:color w:val="auto"/>
          <w:sz w:val="24"/>
          <w:szCs w:val="24"/>
        </w:rPr>
      </w:pPr>
      <w:r>
        <w:rPr>
          <w:rFonts w:hint="eastAsia" w:ascii="宋体" w:hAnsi="宋体"/>
          <w:b/>
          <w:color w:val="auto"/>
          <w:sz w:val="24"/>
          <w:szCs w:val="24"/>
        </w:rPr>
        <w:t>一.合同要求</w:t>
      </w:r>
    </w:p>
    <w:p>
      <w:pPr>
        <w:spacing w:line="360" w:lineRule="auto"/>
        <w:rPr>
          <w:rFonts w:ascii="宋体" w:hAnsi="宋体"/>
          <w:b/>
          <w:color w:val="auto"/>
          <w:sz w:val="24"/>
          <w:szCs w:val="24"/>
        </w:rPr>
      </w:pPr>
      <w:r>
        <w:rPr>
          <w:rFonts w:hint="eastAsia" w:ascii="宋体" w:hAnsi="宋体"/>
          <w:b/>
          <w:color w:val="auto"/>
          <w:sz w:val="24"/>
          <w:szCs w:val="24"/>
        </w:rPr>
        <w:t xml:space="preserve">    1.一般要求</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1.1采购人应当自中标通知书发出之日起30日内，按照招标文件和中标人投标文件的规定，与中标人签订书面合同。所签订的合同不得对招标文件确定的事项和中标人投标文件作实质性修改。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合同签订双方不得提出任何不合理的要求作为签订合同的条件。</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1.2政府采购合同应当包括采购人与中标人的名称和住所、标的、数量、质量、价款或者报酬、履行期限及地点和方式、验收要求、违约责任、解决争议的方法等内容。</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1.3采购人与中标人应当根据合同的约定依法履行合同义务。</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政府采购合同的履行、违约责任和解决争议的方法等适用《中华人民共和国合同法》。</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政府采购合同的双方当事人不得擅自变更、中止或者终止合同。</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1.4拒绝签订采购合同的按照相关规定处理，并承担相应法律责任。</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1.5</w:t>
      </w:r>
      <w:r>
        <w:rPr>
          <w:rFonts w:ascii="宋体" w:hAnsi="宋体"/>
          <w:color w:val="auto"/>
          <w:sz w:val="24"/>
          <w:szCs w:val="24"/>
        </w:rPr>
        <w:t>采购人应当自政府采购合同签订之日起2个工作日内，将政府采购合同在指定的媒体上公告，但政府采购合同中涉及国家秘密</w:t>
      </w:r>
      <w:r>
        <w:rPr>
          <w:rFonts w:hint="eastAsia" w:ascii="宋体" w:hAnsi="宋体"/>
          <w:color w:val="auto"/>
          <w:sz w:val="24"/>
          <w:szCs w:val="24"/>
        </w:rPr>
        <w:t>、</w:t>
      </w:r>
      <w:r>
        <w:rPr>
          <w:rFonts w:ascii="宋体" w:hAnsi="宋体"/>
          <w:color w:val="auto"/>
          <w:sz w:val="24"/>
          <w:szCs w:val="24"/>
        </w:rPr>
        <w:t>商业秘密的内容除外。</w:t>
      </w:r>
    </w:p>
    <w:p>
      <w:pPr>
        <w:spacing w:line="360" w:lineRule="auto"/>
        <w:ind w:firstLine="480" w:firstLineChars="200"/>
        <w:rPr>
          <w:rFonts w:ascii="宋体" w:hAnsi="宋体"/>
          <w:color w:val="auto"/>
          <w:sz w:val="24"/>
          <w:szCs w:val="24"/>
        </w:rPr>
      </w:pPr>
      <w:r>
        <w:rPr>
          <w:rFonts w:hint="eastAsia" w:ascii="宋体" w:hAnsi="宋体"/>
          <w:color w:val="auto"/>
          <w:sz w:val="24"/>
          <w:szCs w:val="24"/>
        </w:rPr>
        <w:t>自合同签订之日起2个工作日内，中标人应将政府采购合同送达至旗公共资源交易中心（联系人：宋先生，联系电话：0477-7621750）存档，逾期未签订合同或未按时交回合同，将按照相关法律法规做出相应处罚。</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2. 合同格式及内容</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2.1具体格式见本招标文件后附拟签订的《合同文本》（部分合同条款），投标文件中可以不提供《合同文本》。</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2.2《合同文本》的内容可以根据《合同法》和合同签订双方的实际要求进行修改，但不得改变范本中的实质性内容。</w:t>
      </w:r>
    </w:p>
    <w:p>
      <w:pPr>
        <w:spacing w:line="360" w:lineRule="auto"/>
        <w:rPr>
          <w:rFonts w:ascii="宋体" w:hAnsi="宋体"/>
          <w:b/>
          <w:color w:val="auto"/>
          <w:sz w:val="24"/>
          <w:szCs w:val="24"/>
        </w:rPr>
      </w:pPr>
      <w:r>
        <w:rPr>
          <w:rFonts w:hint="eastAsia" w:ascii="宋体" w:hAnsi="宋体"/>
          <w:b/>
          <w:color w:val="auto"/>
          <w:sz w:val="24"/>
          <w:szCs w:val="24"/>
        </w:rPr>
        <w:t>二.验收</w:t>
      </w:r>
    </w:p>
    <w:p>
      <w:pPr>
        <w:spacing w:line="360" w:lineRule="auto"/>
        <w:ind w:firstLine="480" w:firstLineChars="200"/>
        <w:rPr>
          <w:rFonts w:hAnsi="宋体"/>
          <w:color w:val="auto"/>
          <w:sz w:val="24"/>
          <w:szCs w:val="24"/>
        </w:rPr>
      </w:pPr>
      <w:r>
        <w:rPr>
          <w:rFonts w:hint="eastAsia" w:ascii="宋体" w:hAnsi="宋体"/>
          <w:color w:val="auto"/>
          <w:sz w:val="24"/>
          <w:szCs w:val="24"/>
        </w:rPr>
        <w:t>中标人在供货、工程竣工或服务结束后，采购人应及时组织验收，并按照招标文件、投标文件及合同约定填写验收单（下载地址：鄂尔多斯市公共资源交易网</w:t>
      </w:r>
      <w:r>
        <w:rPr>
          <w:rFonts w:ascii="宋体" w:hAnsi="宋体"/>
          <w:color w:val="auto"/>
          <w:sz w:val="24"/>
          <w:szCs w:val="24"/>
        </w:rPr>
        <w:t>—</w:t>
      </w:r>
      <w:r>
        <w:rPr>
          <w:rFonts w:hint="eastAsia" w:ascii="宋体" w:hAnsi="宋体"/>
          <w:color w:val="auto"/>
          <w:sz w:val="24"/>
          <w:szCs w:val="24"/>
        </w:rPr>
        <w:t>办事指南</w:t>
      </w:r>
      <w:r>
        <w:rPr>
          <w:rFonts w:ascii="宋体" w:hAnsi="宋体"/>
          <w:color w:val="auto"/>
          <w:sz w:val="24"/>
          <w:szCs w:val="24"/>
        </w:rPr>
        <w:t>—</w:t>
      </w:r>
      <w:r>
        <w:rPr>
          <w:rFonts w:hint="eastAsia" w:ascii="宋体" w:hAnsi="宋体"/>
          <w:color w:val="auto"/>
          <w:sz w:val="24"/>
          <w:szCs w:val="24"/>
        </w:rPr>
        <w:t>办事表格下载</w:t>
      </w:r>
      <w:r>
        <w:rPr>
          <w:rFonts w:ascii="宋体" w:hAnsi="宋体"/>
          <w:color w:val="auto"/>
          <w:sz w:val="24"/>
          <w:szCs w:val="24"/>
        </w:rPr>
        <w:t>—</w:t>
      </w:r>
      <w:r>
        <w:rPr>
          <w:rFonts w:hint="eastAsia" w:ascii="宋体" w:hAnsi="宋体"/>
          <w:color w:val="auto"/>
          <w:sz w:val="24"/>
          <w:szCs w:val="24"/>
        </w:rPr>
        <w:t>政府采购相关范本）。验收合格后2个工作日内，中标人应将政府采购项目验收单送达至旗公共资源交易中心政府采购部（联系人：宋先生，联系电话：0477-7621750 ）存档。逾期未验收或未按时交回验收单，将按照相关法律法规做出相应处罚。</w:t>
      </w:r>
    </w:p>
    <w:p>
      <w:pPr>
        <w:rPr>
          <w:rFonts w:hAnsi="宋体"/>
          <w:color w:val="auto"/>
          <w:sz w:val="24"/>
          <w:szCs w:val="24"/>
        </w:rPr>
      </w:pPr>
    </w:p>
    <w:p>
      <w:pPr>
        <w:jc w:val="center"/>
        <w:rPr>
          <w:rFonts w:ascii="宋体" w:hAnsi="宋体"/>
          <w:b/>
          <w:bCs/>
          <w:color w:val="auto"/>
          <w:kern w:val="44"/>
          <w:sz w:val="24"/>
          <w:szCs w:val="24"/>
          <w:lang w:val="zh-CN"/>
        </w:rPr>
      </w:pPr>
      <w:r>
        <w:rPr>
          <w:rFonts w:ascii="宋体" w:hAnsi="宋体"/>
          <w:b/>
          <w:bCs/>
          <w:color w:val="auto"/>
          <w:kern w:val="44"/>
          <w:sz w:val="24"/>
          <w:szCs w:val="24"/>
          <w:lang w:val="zh-CN"/>
        </w:rPr>
        <w:br w:type="page"/>
      </w:r>
    </w:p>
    <w:p>
      <w:pPr>
        <w:jc w:val="center"/>
        <w:rPr>
          <w:rFonts w:ascii="宋体" w:hAnsi="宋体"/>
          <w:b/>
          <w:color w:val="auto"/>
          <w:sz w:val="24"/>
          <w:szCs w:val="24"/>
        </w:rPr>
      </w:pPr>
      <w:r>
        <w:rPr>
          <w:rFonts w:hint="eastAsia" w:ascii="宋体" w:hAnsi="宋体"/>
          <w:b/>
          <w:color w:val="auto"/>
          <w:sz w:val="24"/>
          <w:szCs w:val="24"/>
        </w:rPr>
        <w:t>政府采购合同（合同文本）</w:t>
      </w:r>
    </w:p>
    <w:p>
      <w:pPr>
        <w:rPr>
          <w:rFonts w:ascii="宋体" w:hAnsi="宋体"/>
          <w:b/>
          <w:color w:val="auto"/>
          <w:sz w:val="44"/>
          <w:szCs w:val="44"/>
        </w:rPr>
      </w:pPr>
    </w:p>
    <w:p>
      <w:pPr>
        <w:rPr>
          <w:rFonts w:hint="eastAsia" w:asciiTheme="minorEastAsia" w:hAnsiTheme="minorEastAsia" w:eastAsiaTheme="minorEastAsia"/>
          <w:color w:val="auto"/>
          <w:sz w:val="24"/>
          <w:szCs w:val="24"/>
          <w:u w:val="single"/>
          <w:lang w:eastAsia="zh-CN"/>
        </w:rPr>
      </w:pPr>
      <w:r>
        <w:rPr>
          <w:rFonts w:hint="eastAsia" w:asciiTheme="minorEastAsia" w:hAnsiTheme="minorEastAsia" w:eastAsiaTheme="minorEastAsia"/>
          <w:b/>
          <w:color w:val="auto"/>
          <w:sz w:val="24"/>
          <w:szCs w:val="24"/>
        </w:rPr>
        <w:t>甲方：</w:t>
      </w:r>
      <w:r>
        <w:rPr>
          <w:rFonts w:hint="eastAsia" w:asciiTheme="minorEastAsia" w:hAnsiTheme="minorEastAsia" w:eastAsiaTheme="minorEastAsia"/>
          <w:b/>
          <w:color w:val="auto"/>
          <w:sz w:val="24"/>
          <w:szCs w:val="24"/>
          <w:u w:val="single"/>
          <w:lang w:eastAsia="zh-CN"/>
        </w:rPr>
        <w:t>鄂托克前旗民政局</w:t>
      </w:r>
    </w:p>
    <w:p>
      <w:pP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地址：</w:t>
      </w:r>
      <w:r>
        <w:rPr>
          <w:rFonts w:hint="eastAsia" w:asciiTheme="minorEastAsia" w:hAnsiTheme="minorEastAsia" w:eastAsiaTheme="minorEastAsia"/>
          <w:b/>
          <w:color w:val="auto"/>
          <w:sz w:val="24"/>
          <w:szCs w:val="24"/>
          <w:u w:val="single"/>
        </w:rPr>
        <w:t>鄂前旗敖镇</w:t>
      </w:r>
    </w:p>
    <w:p>
      <w:pP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乙方：***（填写中标投标人）</w:t>
      </w:r>
    </w:p>
    <w:p>
      <w:pP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地址（详细地址）：</w:t>
      </w:r>
    </w:p>
    <w:p>
      <w:pPr>
        <w:jc w:val="left"/>
        <w:rPr>
          <w:rFonts w:asciiTheme="minorEastAsia" w:hAnsiTheme="minorEastAsia" w:eastAsiaTheme="minorEastAsia"/>
          <w:color w:val="auto"/>
          <w:sz w:val="24"/>
          <w:szCs w:val="24"/>
          <w:u w:val="single"/>
        </w:rPr>
      </w:pPr>
      <w:r>
        <w:rPr>
          <w:rFonts w:hint="eastAsia" w:asciiTheme="minorEastAsia" w:hAnsiTheme="minorEastAsia" w:eastAsiaTheme="minorEastAsia"/>
          <w:b/>
          <w:color w:val="auto"/>
          <w:sz w:val="24"/>
          <w:szCs w:val="24"/>
        </w:rPr>
        <w:t>合同号：</w:t>
      </w:r>
      <w:r>
        <w:rPr>
          <w:rFonts w:hint="eastAsia" w:asciiTheme="minorEastAsia" w:hAnsiTheme="minorEastAsia" w:eastAsiaTheme="minorEastAsia"/>
          <w:color w:val="auto"/>
          <w:sz w:val="24"/>
          <w:szCs w:val="24"/>
          <w:u w:val="single"/>
        </w:rPr>
        <w:t xml:space="preserve"> （填写签订合同一次性告知书中合同号 ） </w:t>
      </w:r>
    </w:p>
    <w:p>
      <w:pPr>
        <w:spacing w:line="15" w:lineRule="atLeast"/>
        <w:ind w:firstLine="646"/>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根据《中华人民共和国政府采购法》、《中华人民共和国合同法》等相关法律法规，甲、乙双方就</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lang w:eastAsia="zh-CN"/>
        </w:rPr>
        <w:t>鄂托克前旗民政局殡仪馆设施设备项目</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（政府采购项目批准书编号：</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，经平等自愿协商一致达成合同如下：</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一、合同文件</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本合同所附下列文件是构成本合同不可分割的部分：</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1、合同格式以及合同条款</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2、中标结果公告及中标通知书</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3、招标文件</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4、投标文件</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5、变更合同</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二、本合同所提供的标的物、数量及规格等详见中标结果公告及后附清单。</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三、合同金额</w:t>
      </w:r>
    </w:p>
    <w:p>
      <w:pPr>
        <w:spacing w:line="15" w:lineRule="atLeast"/>
        <w:ind w:firstLine="645"/>
        <w:jc w:val="left"/>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合同金额为人民币万元，大写：</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四、付款方式及时间</w:t>
      </w:r>
    </w:p>
    <w:p>
      <w:pPr>
        <w:spacing w:line="15" w:lineRule="atLeast"/>
        <w:ind w:firstLine="600" w:firstLineChars="250"/>
        <w:jc w:val="left"/>
        <w:rPr>
          <w:rFonts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***（见招标文件第四章）</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五、交货安装</w:t>
      </w:r>
    </w:p>
    <w:p>
      <w:pPr>
        <w:spacing w:line="15" w:lineRule="atLeast"/>
        <w:ind w:firstLine="645"/>
        <w:jc w:val="left"/>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交货时间：</w:t>
      </w:r>
    </w:p>
    <w:p>
      <w:pPr>
        <w:spacing w:line="15" w:lineRule="atLeast"/>
        <w:ind w:firstLine="645"/>
        <w:jc w:val="left"/>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交货地点：</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六、质量</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乙方提供的标的物应符合国家相关质量验收标准，且能够提供相关权威部门出具的产品质量检测报告；提供的相关服务符合国家（或行业）规定标准。</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七、包装</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标的物的包装应按照国家或者行业主管部门的技术规定执行，国家或业务主管部门无技术规定的，应当按双方约定采取足以保护标的物安全、完好的包装方式。</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八、运输要求</w:t>
      </w:r>
    </w:p>
    <w:p>
      <w:pPr>
        <w:spacing w:line="15" w:lineRule="atLeast"/>
        <w:ind w:firstLine="645"/>
        <w:jc w:val="left"/>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（一）运输方式及线路：</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（二）运输及相关费用由乙方承担。</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九、知识产权</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乙方应保证甲方在中国境内使用标的物或标的物的任何一部分时，免受第三方提出的侵犯其知识产权的诉讼。</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十、验收</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（一）乙方将标的物送达至甲方指定的地点后，由甲乙双方及第三方（如有）一同验收并签字确认。</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二）对标的物的质量问题，甲方应在发现后向乙方提出书面异议，乙方在接到书面异议后，应当在日内负责处理。甲方逾期提出的，对所交标的物视为符合合同的规定。如果乙方在投标文件及谈判过程中做出的书面说明及承诺中，有明确质量保证期的，适用质量保证期。</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（三）经双方共同验收，标的物达不到质量或规格要求的，甲方可以拒收，并可解除合同且不承担任何法律责任，</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十一、售后服务</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（一）乙方应按招标文件、投标文件及乙方在谈判过程中做出的书面说明或承诺提供及时、快速、优质的售后服务。</w:t>
      </w:r>
    </w:p>
    <w:p>
      <w:pPr>
        <w:spacing w:line="15" w:lineRule="atLeast"/>
        <w:ind w:firstLine="645"/>
        <w:jc w:val="left"/>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（二）其他售后服务内容：</w:t>
      </w:r>
      <w:r>
        <w:rPr>
          <w:rFonts w:hint="eastAsia" w:asciiTheme="minorEastAsia" w:hAnsiTheme="minorEastAsia" w:eastAsiaTheme="minorEastAsia"/>
          <w:color w:val="auto"/>
          <w:sz w:val="24"/>
          <w:szCs w:val="24"/>
          <w:u w:val="single"/>
        </w:rPr>
        <w:t xml:space="preserve">（投标文件售后承诺等） </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十二、违约条款</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（一）乙方逾期交付标的物、甲方逾期付款，按日承担违约部分合同金额的违约金。</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（二）其他违约责任以相关法律法规规定为准，无相关规定的，双方协商解决。</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十三、不可抗力条款</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因不可抗力致使一方不能及时或完全履行合同的，应及时通知另一方，双方互不承担责任，并在天内提供有关不可抗力的相关证明。合同未履行部分是否继续履行、如何履行等问题，双方协商解决。</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十四、争议的解决方式</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合同发生纠纷时，双方应协商解决，协商不成可以采用下列方式解决：</w:t>
      </w:r>
    </w:p>
    <w:p>
      <w:pPr>
        <w:spacing w:line="15" w:lineRule="atLeast"/>
        <w:ind w:firstLine="645"/>
        <w:jc w:val="left"/>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（一）提交仲裁委员会仲裁。</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（二）向人民法院起诉。            </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十五、合同保存</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合同文本一式五份，采购单位、投标人、政府采购监管部门、市旗公共资源交易中心、国库支付执行机构各一份，自双方签订之日起生效。</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十六、</w:t>
      </w:r>
      <w:r>
        <w:rPr>
          <w:rFonts w:asciiTheme="minorEastAsia" w:hAnsiTheme="minorEastAsia" w:eastAsiaTheme="minorEastAsia"/>
          <w:color w:val="auto"/>
          <w:sz w:val="24"/>
          <w:szCs w:val="24"/>
        </w:rPr>
        <w:t>合同未尽事宜，双方另行签订补充协议，补充协议是合同的组成部分。</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甲方： （章）                              乙 方： （章）</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采购方法人代表：       （签字）             投标人法人代表：       （签字）         </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开户银行：                                  开户银行： </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帐    号：                                  帐    号：</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联系电话：                                  联系电话：</w:t>
      </w:r>
    </w:p>
    <w:p>
      <w:pPr>
        <w:spacing w:line="15" w:lineRule="atLeast"/>
        <w:ind w:firstLine="645"/>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签订时间       年  月  日</w:t>
      </w:r>
    </w:p>
    <w:p>
      <w:pPr>
        <w:ind w:firstLine="645"/>
        <w:jc w:val="left"/>
        <w:rPr>
          <w:rFonts w:asciiTheme="minorEastAsia" w:hAnsiTheme="minorEastAsia" w:eastAsiaTheme="minorEastAsia"/>
          <w:color w:val="auto"/>
          <w:sz w:val="24"/>
          <w:szCs w:val="24"/>
        </w:rPr>
      </w:pPr>
    </w:p>
    <w:p>
      <w:pPr>
        <w:jc w:val="left"/>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 xml:space="preserve">附表：标的物清单（主要技术参数需与投标文件相一致）                                                </w:t>
      </w: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4082"/>
        <w:gridCol w:w="616"/>
        <w:gridCol w:w="932"/>
        <w:gridCol w:w="940"/>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45" w:type="dxa"/>
            <w:vAlign w:val="center"/>
          </w:tcPr>
          <w:p>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名 称</w:t>
            </w:r>
          </w:p>
        </w:tc>
        <w:tc>
          <w:tcPr>
            <w:tcW w:w="4082" w:type="dxa"/>
            <w:vAlign w:val="center"/>
          </w:tcPr>
          <w:p>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品牌、规格、标准</w:t>
            </w:r>
          </w:p>
        </w:tc>
        <w:tc>
          <w:tcPr>
            <w:tcW w:w="616" w:type="dxa"/>
            <w:vAlign w:val="center"/>
          </w:tcPr>
          <w:p>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产地</w:t>
            </w:r>
          </w:p>
        </w:tc>
        <w:tc>
          <w:tcPr>
            <w:tcW w:w="932" w:type="dxa"/>
            <w:vAlign w:val="center"/>
          </w:tcPr>
          <w:p>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数量</w:t>
            </w:r>
          </w:p>
        </w:tc>
        <w:tc>
          <w:tcPr>
            <w:tcW w:w="940" w:type="dxa"/>
            <w:vAlign w:val="center"/>
          </w:tcPr>
          <w:p>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单价（元）</w:t>
            </w:r>
          </w:p>
        </w:tc>
        <w:tc>
          <w:tcPr>
            <w:tcW w:w="1413" w:type="dxa"/>
            <w:vAlign w:val="center"/>
          </w:tcPr>
          <w:p>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p>
        </w:tc>
        <w:tc>
          <w:tcPr>
            <w:tcW w:w="4082"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p>
        </w:tc>
        <w:tc>
          <w:tcPr>
            <w:tcW w:w="616"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p>
        </w:tc>
        <w:tc>
          <w:tcPr>
            <w:tcW w:w="932" w:type="dxa"/>
            <w:vAlign w:val="center"/>
          </w:tcPr>
          <w:p>
            <w:pPr>
              <w:adjustRightInd w:val="0"/>
              <w:snapToGrid w:val="0"/>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p>
        </w:tc>
        <w:tc>
          <w:tcPr>
            <w:tcW w:w="940" w:type="dxa"/>
            <w:vAlign w:val="center"/>
          </w:tcPr>
          <w:p>
            <w:pPr>
              <w:adjustRightInd w:val="0"/>
              <w:snapToGrid w:val="0"/>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p>
        </w:tc>
        <w:tc>
          <w:tcPr>
            <w:tcW w:w="1413" w:type="dxa"/>
            <w:vAlign w:val="center"/>
          </w:tcPr>
          <w:p>
            <w:pPr>
              <w:adjustRightInd w:val="0"/>
              <w:snapToGrid w:val="0"/>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asciiTheme="minorEastAsia" w:hAnsiTheme="minorEastAsia" w:eastAsiaTheme="minorEastAsia"/>
                <w:color w:val="auto"/>
                <w:sz w:val="24"/>
                <w:szCs w:val="24"/>
              </w:rPr>
            </w:pPr>
          </w:p>
        </w:tc>
        <w:tc>
          <w:tcPr>
            <w:tcW w:w="4082" w:type="dxa"/>
            <w:vAlign w:val="center"/>
          </w:tcPr>
          <w:p>
            <w:pPr>
              <w:jc w:val="center"/>
              <w:rPr>
                <w:rFonts w:asciiTheme="minorEastAsia" w:hAnsiTheme="minorEastAsia" w:eastAsiaTheme="minorEastAsia"/>
                <w:color w:val="auto"/>
                <w:sz w:val="24"/>
                <w:szCs w:val="24"/>
              </w:rPr>
            </w:pPr>
          </w:p>
        </w:tc>
        <w:tc>
          <w:tcPr>
            <w:tcW w:w="616" w:type="dxa"/>
            <w:vAlign w:val="center"/>
          </w:tcPr>
          <w:p>
            <w:pPr>
              <w:jc w:val="center"/>
              <w:rPr>
                <w:rFonts w:asciiTheme="minorEastAsia" w:hAnsiTheme="minorEastAsia" w:eastAsiaTheme="minorEastAsia"/>
                <w:color w:val="auto"/>
                <w:sz w:val="24"/>
                <w:szCs w:val="24"/>
              </w:rPr>
            </w:pPr>
          </w:p>
        </w:tc>
        <w:tc>
          <w:tcPr>
            <w:tcW w:w="932" w:type="dxa"/>
            <w:vAlign w:val="center"/>
          </w:tcPr>
          <w:p>
            <w:pPr>
              <w:adjustRightInd w:val="0"/>
              <w:snapToGrid w:val="0"/>
              <w:spacing w:line="460" w:lineRule="exact"/>
              <w:jc w:val="center"/>
              <w:rPr>
                <w:rFonts w:asciiTheme="minorEastAsia" w:hAnsiTheme="minorEastAsia" w:eastAsiaTheme="minorEastAsia"/>
                <w:color w:val="auto"/>
                <w:sz w:val="24"/>
                <w:szCs w:val="24"/>
              </w:rPr>
            </w:pPr>
          </w:p>
        </w:tc>
        <w:tc>
          <w:tcPr>
            <w:tcW w:w="940" w:type="dxa"/>
            <w:vAlign w:val="center"/>
          </w:tcPr>
          <w:p>
            <w:pPr>
              <w:adjustRightInd w:val="0"/>
              <w:snapToGrid w:val="0"/>
              <w:spacing w:line="460" w:lineRule="exact"/>
              <w:jc w:val="center"/>
              <w:rPr>
                <w:rFonts w:asciiTheme="minorEastAsia" w:hAnsiTheme="minorEastAsia" w:eastAsiaTheme="minorEastAsia"/>
                <w:color w:val="auto"/>
                <w:sz w:val="24"/>
                <w:szCs w:val="24"/>
              </w:rPr>
            </w:pPr>
          </w:p>
        </w:tc>
        <w:tc>
          <w:tcPr>
            <w:tcW w:w="1413" w:type="dxa"/>
            <w:vAlign w:val="center"/>
          </w:tcPr>
          <w:p>
            <w:pPr>
              <w:adjustRightInd w:val="0"/>
              <w:snapToGrid w:val="0"/>
              <w:spacing w:line="460" w:lineRule="exact"/>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asciiTheme="minorEastAsia" w:hAnsiTheme="minorEastAsia" w:eastAsiaTheme="minorEastAsia"/>
                <w:color w:val="auto"/>
                <w:sz w:val="24"/>
                <w:szCs w:val="24"/>
              </w:rPr>
            </w:pPr>
          </w:p>
        </w:tc>
        <w:tc>
          <w:tcPr>
            <w:tcW w:w="4082" w:type="dxa"/>
            <w:vAlign w:val="center"/>
          </w:tcPr>
          <w:p>
            <w:pPr>
              <w:jc w:val="center"/>
              <w:rPr>
                <w:rFonts w:asciiTheme="minorEastAsia" w:hAnsiTheme="minorEastAsia" w:eastAsiaTheme="minorEastAsia"/>
                <w:color w:val="auto"/>
                <w:sz w:val="24"/>
                <w:szCs w:val="24"/>
              </w:rPr>
            </w:pPr>
          </w:p>
        </w:tc>
        <w:tc>
          <w:tcPr>
            <w:tcW w:w="616" w:type="dxa"/>
            <w:vAlign w:val="center"/>
          </w:tcPr>
          <w:p>
            <w:pPr>
              <w:jc w:val="center"/>
              <w:rPr>
                <w:rFonts w:asciiTheme="minorEastAsia" w:hAnsiTheme="minorEastAsia" w:eastAsiaTheme="minorEastAsia"/>
                <w:color w:val="auto"/>
                <w:sz w:val="24"/>
                <w:szCs w:val="24"/>
              </w:rPr>
            </w:pPr>
          </w:p>
        </w:tc>
        <w:tc>
          <w:tcPr>
            <w:tcW w:w="932" w:type="dxa"/>
            <w:vAlign w:val="center"/>
          </w:tcPr>
          <w:p>
            <w:pPr>
              <w:adjustRightInd w:val="0"/>
              <w:snapToGrid w:val="0"/>
              <w:spacing w:line="460" w:lineRule="exact"/>
              <w:jc w:val="center"/>
              <w:rPr>
                <w:rFonts w:asciiTheme="minorEastAsia" w:hAnsiTheme="minorEastAsia" w:eastAsiaTheme="minorEastAsia"/>
                <w:color w:val="auto"/>
                <w:sz w:val="24"/>
                <w:szCs w:val="24"/>
              </w:rPr>
            </w:pPr>
          </w:p>
        </w:tc>
        <w:tc>
          <w:tcPr>
            <w:tcW w:w="940" w:type="dxa"/>
            <w:vAlign w:val="center"/>
          </w:tcPr>
          <w:p>
            <w:pPr>
              <w:adjustRightInd w:val="0"/>
              <w:snapToGrid w:val="0"/>
              <w:spacing w:line="460" w:lineRule="exact"/>
              <w:jc w:val="center"/>
              <w:rPr>
                <w:rFonts w:asciiTheme="minorEastAsia" w:hAnsiTheme="minorEastAsia" w:eastAsiaTheme="minorEastAsia"/>
                <w:color w:val="auto"/>
                <w:sz w:val="24"/>
                <w:szCs w:val="24"/>
              </w:rPr>
            </w:pPr>
          </w:p>
        </w:tc>
        <w:tc>
          <w:tcPr>
            <w:tcW w:w="1413" w:type="dxa"/>
            <w:vAlign w:val="center"/>
          </w:tcPr>
          <w:p>
            <w:pPr>
              <w:adjustRightInd w:val="0"/>
              <w:snapToGrid w:val="0"/>
              <w:spacing w:line="460" w:lineRule="exact"/>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asciiTheme="minorEastAsia" w:hAnsiTheme="minorEastAsia" w:eastAsiaTheme="minorEastAsia"/>
                <w:color w:val="auto"/>
                <w:sz w:val="24"/>
                <w:szCs w:val="24"/>
              </w:rPr>
            </w:pPr>
          </w:p>
        </w:tc>
        <w:tc>
          <w:tcPr>
            <w:tcW w:w="4082" w:type="dxa"/>
            <w:vAlign w:val="center"/>
          </w:tcPr>
          <w:p>
            <w:pPr>
              <w:jc w:val="center"/>
              <w:rPr>
                <w:rFonts w:asciiTheme="minorEastAsia" w:hAnsiTheme="minorEastAsia" w:eastAsiaTheme="minorEastAsia"/>
                <w:color w:val="auto"/>
                <w:sz w:val="24"/>
                <w:szCs w:val="24"/>
              </w:rPr>
            </w:pPr>
          </w:p>
        </w:tc>
        <w:tc>
          <w:tcPr>
            <w:tcW w:w="616" w:type="dxa"/>
            <w:vAlign w:val="center"/>
          </w:tcPr>
          <w:p>
            <w:pPr>
              <w:jc w:val="center"/>
              <w:rPr>
                <w:rFonts w:asciiTheme="minorEastAsia" w:hAnsiTheme="minorEastAsia" w:eastAsiaTheme="minorEastAsia"/>
                <w:color w:val="auto"/>
                <w:sz w:val="24"/>
                <w:szCs w:val="24"/>
              </w:rPr>
            </w:pPr>
          </w:p>
        </w:tc>
        <w:tc>
          <w:tcPr>
            <w:tcW w:w="932" w:type="dxa"/>
            <w:vAlign w:val="center"/>
          </w:tcPr>
          <w:p>
            <w:pPr>
              <w:adjustRightInd w:val="0"/>
              <w:snapToGrid w:val="0"/>
              <w:spacing w:line="460" w:lineRule="exact"/>
              <w:jc w:val="center"/>
              <w:rPr>
                <w:rFonts w:asciiTheme="minorEastAsia" w:hAnsiTheme="minorEastAsia" w:eastAsiaTheme="minorEastAsia"/>
                <w:color w:val="auto"/>
                <w:sz w:val="24"/>
                <w:szCs w:val="24"/>
              </w:rPr>
            </w:pPr>
          </w:p>
        </w:tc>
        <w:tc>
          <w:tcPr>
            <w:tcW w:w="940" w:type="dxa"/>
            <w:vAlign w:val="center"/>
          </w:tcPr>
          <w:p>
            <w:pPr>
              <w:adjustRightInd w:val="0"/>
              <w:snapToGrid w:val="0"/>
              <w:spacing w:line="460" w:lineRule="exact"/>
              <w:jc w:val="center"/>
              <w:rPr>
                <w:rFonts w:asciiTheme="minorEastAsia" w:hAnsiTheme="minorEastAsia" w:eastAsiaTheme="minorEastAsia"/>
                <w:color w:val="auto"/>
                <w:sz w:val="24"/>
                <w:szCs w:val="24"/>
              </w:rPr>
            </w:pPr>
          </w:p>
        </w:tc>
        <w:tc>
          <w:tcPr>
            <w:tcW w:w="1413" w:type="dxa"/>
            <w:vAlign w:val="center"/>
          </w:tcPr>
          <w:p>
            <w:pPr>
              <w:adjustRightInd w:val="0"/>
              <w:snapToGrid w:val="0"/>
              <w:spacing w:line="460" w:lineRule="exact"/>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asciiTheme="minorEastAsia" w:hAnsiTheme="minorEastAsia" w:eastAsiaTheme="minorEastAsia"/>
                <w:color w:val="auto"/>
                <w:sz w:val="24"/>
                <w:szCs w:val="24"/>
              </w:rPr>
            </w:pPr>
          </w:p>
        </w:tc>
        <w:tc>
          <w:tcPr>
            <w:tcW w:w="4082" w:type="dxa"/>
            <w:vAlign w:val="center"/>
          </w:tcPr>
          <w:p>
            <w:pPr>
              <w:jc w:val="center"/>
              <w:rPr>
                <w:rFonts w:asciiTheme="minorEastAsia" w:hAnsiTheme="minorEastAsia" w:eastAsiaTheme="minorEastAsia"/>
                <w:color w:val="auto"/>
                <w:sz w:val="24"/>
                <w:szCs w:val="24"/>
              </w:rPr>
            </w:pPr>
          </w:p>
        </w:tc>
        <w:tc>
          <w:tcPr>
            <w:tcW w:w="616" w:type="dxa"/>
            <w:vAlign w:val="center"/>
          </w:tcPr>
          <w:p>
            <w:pPr>
              <w:jc w:val="center"/>
              <w:rPr>
                <w:rFonts w:asciiTheme="minorEastAsia" w:hAnsiTheme="minorEastAsia" w:eastAsiaTheme="minorEastAsia"/>
                <w:color w:val="auto"/>
                <w:sz w:val="24"/>
                <w:szCs w:val="24"/>
              </w:rPr>
            </w:pPr>
          </w:p>
        </w:tc>
        <w:tc>
          <w:tcPr>
            <w:tcW w:w="932" w:type="dxa"/>
            <w:vAlign w:val="center"/>
          </w:tcPr>
          <w:p>
            <w:pPr>
              <w:adjustRightInd w:val="0"/>
              <w:snapToGrid w:val="0"/>
              <w:spacing w:line="460" w:lineRule="exact"/>
              <w:jc w:val="center"/>
              <w:rPr>
                <w:rFonts w:asciiTheme="minorEastAsia" w:hAnsiTheme="minorEastAsia" w:eastAsiaTheme="minorEastAsia"/>
                <w:color w:val="auto"/>
                <w:sz w:val="24"/>
                <w:szCs w:val="24"/>
              </w:rPr>
            </w:pPr>
          </w:p>
        </w:tc>
        <w:tc>
          <w:tcPr>
            <w:tcW w:w="940" w:type="dxa"/>
            <w:vAlign w:val="center"/>
          </w:tcPr>
          <w:p>
            <w:pPr>
              <w:adjustRightInd w:val="0"/>
              <w:snapToGrid w:val="0"/>
              <w:spacing w:line="460" w:lineRule="exact"/>
              <w:jc w:val="center"/>
              <w:rPr>
                <w:rFonts w:asciiTheme="minorEastAsia" w:hAnsiTheme="minorEastAsia" w:eastAsiaTheme="minorEastAsia"/>
                <w:color w:val="auto"/>
                <w:sz w:val="24"/>
                <w:szCs w:val="24"/>
              </w:rPr>
            </w:pPr>
          </w:p>
        </w:tc>
        <w:tc>
          <w:tcPr>
            <w:tcW w:w="1413" w:type="dxa"/>
            <w:vAlign w:val="center"/>
          </w:tcPr>
          <w:p>
            <w:pPr>
              <w:adjustRightInd w:val="0"/>
              <w:snapToGrid w:val="0"/>
              <w:spacing w:line="460" w:lineRule="exact"/>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rPr>
                <w:rFonts w:asciiTheme="minorEastAsia" w:hAnsiTheme="minorEastAsia" w:eastAsiaTheme="minorEastAsia"/>
                <w:color w:val="auto"/>
                <w:sz w:val="24"/>
                <w:szCs w:val="24"/>
              </w:rPr>
            </w:pPr>
          </w:p>
        </w:tc>
        <w:tc>
          <w:tcPr>
            <w:tcW w:w="4082" w:type="dxa"/>
            <w:vAlign w:val="center"/>
          </w:tcPr>
          <w:p>
            <w:pPr>
              <w:jc w:val="center"/>
              <w:rPr>
                <w:rFonts w:asciiTheme="minorEastAsia" w:hAnsiTheme="minorEastAsia" w:eastAsiaTheme="minorEastAsia"/>
                <w:color w:val="auto"/>
                <w:sz w:val="24"/>
                <w:szCs w:val="24"/>
              </w:rPr>
            </w:pPr>
          </w:p>
        </w:tc>
        <w:tc>
          <w:tcPr>
            <w:tcW w:w="616" w:type="dxa"/>
            <w:vAlign w:val="center"/>
          </w:tcPr>
          <w:p>
            <w:pPr>
              <w:jc w:val="center"/>
              <w:rPr>
                <w:rFonts w:asciiTheme="minorEastAsia" w:hAnsiTheme="minorEastAsia" w:eastAsiaTheme="minorEastAsia"/>
                <w:color w:val="auto"/>
                <w:sz w:val="24"/>
                <w:szCs w:val="24"/>
              </w:rPr>
            </w:pPr>
          </w:p>
        </w:tc>
        <w:tc>
          <w:tcPr>
            <w:tcW w:w="932" w:type="dxa"/>
            <w:vAlign w:val="center"/>
          </w:tcPr>
          <w:p>
            <w:pPr>
              <w:adjustRightInd w:val="0"/>
              <w:snapToGrid w:val="0"/>
              <w:spacing w:line="460" w:lineRule="exact"/>
              <w:jc w:val="center"/>
              <w:rPr>
                <w:rFonts w:asciiTheme="minorEastAsia" w:hAnsiTheme="minorEastAsia" w:eastAsiaTheme="minorEastAsia"/>
                <w:color w:val="auto"/>
                <w:sz w:val="24"/>
                <w:szCs w:val="24"/>
              </w:rPr>
            </w:pPr>
          </w:p>
        </w:tc>
        <w:tc>
          <w:tcPr>
            <w:tcW w:w="940" w:type="dxa"/>
            <w:vAlign w:val="center"/>
          </w:tcPr>
          <w:p>
            <w:pPr>
              <w:adjustRightInd w:val="0"/>
              <w:snapToGrid w:val="0"/>
              <w:spacing w:line="460" w:lineRule="exact"/>
              <w:jc w:val="center"/>
              <w:rPr>
                <w:rFonts w:asciiTheme="minorEastAsia" w:hAnsiTheme="minorEastAsia" w:eastAsiaTheme="minorEastAsia"/>
                <w:color w:val="auto"/>
                <w:sz w:val="24"/>
                <w:szCs w:val="24"/>
              </w:rPr>
            </w:pPr>
          </w:p>
        </w:tc>
        <w:tc>
          <w:tcPr>
            <w:tcW w:w="1413" w:type="dxa"/>
            <w:vAlign w:val="center"/>
          </w:tcPr>
          <w:p>
            <w:pPr>
              <w:adjustRightInd w:val="0"/>
              <w:snapToGrid w:val="0"/>
              <w:spacing w:line="460" w:lineRule="exact"/>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15" w:type="dxa"/>
            <w:gridSpan w:val="5"/>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人民币大写：**</w:t>
            </w:r>
            <w:r>
              <w:rPr>
                <w:rFonts w:asciiTheme="minorEastAsia" w:hAnsiTheme="minorEastAsia" w:eastAsiaTheme="minorEastAsia"/>
                <w:color w:val="auto"/>
                <w:sz w:val="24"/>
                <w:szCs w:val="24"/>
              </w:rPr>
              <w:t>元</w:t>
            </w:r>
            <w:r>
              <w:rPr>
                <w:rFonts w:hint="eastAsia" w:asciiTheme="minorEastAsia" w:hAnsiTheme="minorEastAsia" w:eastAsiaTheme="minorEastAsia"/>
                <w:color w:val="auto"/>
                <w:sz w:val="24"/>
                <w:szCs w:val="24"/>
              </w:rPr>
              <w:t>整</w:t>
            </w:r>
          </w:p>
        </w:tc>
        <w:tc>
          <w:tcPr>
            <w:tcW w:w="1413"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p>
        </w:tc>
      </w:tr>
    </w:tbl>
    <w:p>
      <w:pPr>
        <w:jc w:val="center"/>
        <w:outlineLvl w:val="0"/>
        <w:rPr>
          <w:rFonts w:ascii="宋体" w:hAnsi="宋体"/>
          <w:b/>
          <w:bCs/>
          <w:color w:val="auto"/>
          <w:kern w:val="44"/>
          <w:sz w:val="24"/>
          <w:szCs w:val="24"/>
          <w:lang w:val="zh-CN"/>
        </w:rPr>
      </w:pPr>
      <w:r>
        <w:rPr>
          <w:rFonts w:ascii="宋体" w:hAnsi="宋体"/>
          <w:b/>
          <w:bCs/>
          <w:color w:val="auto"/>
          <w:kern w:val="44"/>
          <w:sz w:val="24"/>
          <w:szCs w:val="24"/>
          <w:lang w:val="zh-CN"/>
        </w:rPr>
        <w:br w:type="page"/>
      </w:r>
    </w:p>
    <w:p>
      <w:pPr>
        <w:jc w:val="center"/>
        <w:outlineLvl w:val="0"/>
        <w:rPr>
          <w:rFonts w:ascii="宋体" w:hAnsi="宋体"/>
          <w:b/>
          <w:bCs/>
          <w:color w:val="auto"/>
          <w:kern w:val="44"/>
          <w:sz w:val="24"/>
          <w:szCs w:val="24"/>
          <w:lang w:val="zh-CN"/>
        </w:rPr>
      </w:pPr>
      <w:bookmarkStart w:id="10" w:name="_Toc497408660"/>
      <w:bookmarkStart w:id="11" w:name="_Toc29659_WPSOffice_Level1"/>
      <w:r>
        <w:rPr>
          <w:rFonts w:hint="eastAsia" w:ascii="宋体" w:hAnsi="宋体"/>
          <w:b/>
          <w:bCs/>
          <w:color w:val="auto"/>
          <w:kern w:val="44"/>
          <w:sz w:val="24"/>
          <w:szCs w:val="24"/>
          <w:lang w:val="zh-CN"/>
        </w:rPr>
        <w:t>第四章 招标内容与技术要求</w:t>
      </w:r>
      <w:bookmarkEnd w:id="10"/>
      <w:bookmarkEnd w:id="11"/>
    </w:p>
    <w:p>
      <w:pPr>
        <w:jc w:val="left"/>
        <w:rPr>
          <w:rFonts w:hAnsi="宋体"/>
          <w:color w:val="auto"/>
          <w:sz w:val="24"/>
          <w:szCs w:val="24"/>
        </w:rPr>
      </w:pPr>
      <w:r>
        <w:rPr>
          <w:rFonts w:hint="eastAsia" w:ascii="宋体" w:hAnsi="宋体"/>
          <w:b/>
          <w:bCs/>
          <w:color w:val="auto"/>
          <w:kern w:val="44"/>
          <w:sz w:val="24"/>
          <w:szCs w:val="24"/>
          <w:lang w:val="zh-CN"/>
        </w:rPr>
        <w:t>一.主要商务要求</w:t>
      </w:r>
    </w:p>
    <w:tbl>
      <w:tblPr>
        <w:tblStyle w:val="2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6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671" w:type="dxa"/>
            <w:vAlign w:val="center"/>
          </w:tcPr>
          <w:p>
            <w:pPr>
              <w:pStyle w:val="59"/>
              <w:ind w:firstLine="0" w:firstLineChars="0"/>
              <w:jc w:val="center"/>
              <w:rPr>
                <w:rFonts w:ascii="宋体" w:hAnsi="宋体"/>
                <w:color w:val="auto"/>
                <w:sz w:val="24"/>
                <w:szCs w:val="24"/>
              </w:rPr>
            </w:pPr>
            <w:bookmarkStart w:id="12" w:name="_Toc491862079"/>
            <w:r>
              <w:rPr>
                <w:rFonts w:hint="eastAsia" w:ascii="宋体" w:hAnsi="宋体"/>
                <w:color w:val="auto"/>
                <w:sz w:val="24"/>
                <w:szCs w:val="24"/>
              </w:rPr>
              <w:t xml:space="preserve">   主要商务条款</w:t>
            </w:r>
            <w:bookmarkEnd w:id="12"/>
          </w:p>
        </w:tc>
        <w:tc>
          <w:tcPr>
            <w:tcW w:w="6957" w:type="dxa"/>
            <w:vAlign w:val="center"/>
          </w:tcPr>
          <w:p>
            <w:pPr>
              <w:pStyle w:val="59"/>
              <w:ind w:firstLine="0" w:firstLineChars="0"/>
              <w:jc w:val="center"/>
              <w:rPr>
                <w:rFonts w:ascii="宋体" w:hAnsi="宋体"/>
                <w:color w:val="auto"/>
                <w:sz w:val="24"/>
                <w:szCs w:val="24"/>
              </w:rPr>
            </w:pPr>
            <w:bookmarkStart w:id="13" w:name="_Toc491862080"/>
            <w:r>
              <w:rPr>
                <w:rFonts w:hint="eastAsia" w:ascii="宋体" w:hAnsi="宋体"/>
                <w:color w:val="auto"/>
                <w:sz w:val="24"/>
                <w:szCs w:val="24"/>
              </w:rPr>
              <w:t>具体要求</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71" w:type="dxa"/>
            <w:vAlign w:val="center"/>
          </w:tcPr>
          <w:p>
            <w:pPr>
              <w:pStyle w:val="59"/>
              <w:ind w:firstLine="0" w:firstLineChars="0"/>
              <w:jc w:val="center"/>
              <w:rPr>
                <w:rFonts w:ascii="宋体" w:hAnsi="宋体"/>
                <w:color w:val="auto"/>
                <w:sz w:val="24"/>
                <w:szCs w:val="24"/>
              </w:rPr>
            </w:pPr>
            <w:bookmarkStart w:id="14" w:name="_Toc491862082"/>
            <w:r>
              <w:rPr>
                <w:rFonts w:hint="eastAsia" w:ascii="宋体" w:hAnsi="宋体"/>
                <w:color w:val="auto"/>
                <w:sz w:val="24"/>
                <w:szCs w:val="24"/>
              </w:rPr>
              <w:t xml:space="preserve">  采购预算</w:t>
            </w:r>
            <w:bookmarkEnd w:id="14"/>
            <w:r>
              <w:rPr>
                <w:rFonts w:hint="eastAsia" w:ascii="宋体" w:hAnsi="宋体"/>
                <w:color w:val="auto"/>
                <w:sz w:val="24"/>
                <w:szCs w:val="24"/>
              </w:rPr>
              <w:t>价</w:t>
            </w:r>
          </w:p>
        </w:tc>
        <w:tc>
          <w:tcPr>
            <w:tcW w:w="6957" w:type="dxa"/>
            <w:vAlign w:val="center"/>
          </w:tcPr>
          <w:p>
            <w:pPr>
              <w:spacing w:line="360" w:lineRule="auto"/>
              <w:ind w:right="-140" w:rightChars="-50"/>
              <w:rPr>
                <w:rFonts w:ascii="宋体" w:hAnsi="宋体"/>
                <w:color w:val="auto"/>
                <w:sz w:val="24"/>
                <w:szCs w:val="24"/>
              </w:rPr>
            </w:pPr>
            <w:r>
              <w:rPr>
                <w:rFonts w:hint="eastAsia" w:ascii="宋体" w:hAnsi="宋体"/>
                <w:color w:val="auto"/>
                <w:sz w:val="24"/>
                <w:szCs w:val="24"/>
                <w:lang w:val="en-US" w:eastAsia="zh-CN"/>
              </w:rPr>
              <w:t>3982300.00</w:t>
            </w:r>
            <w:r>
              <w:rPr>
                <w:rFonts w:ascii="宋体" w:hAnsi="宋体"/>
                <w:color w:val="auto"/>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671" w:type="dxa"/>
            <w:vAlign w:val="center"/>
          </w:tcPr>
          <w:p>
            <w:pPr>
              <w:spacing w:line="360" w:lineRule="auto"/>
              <w:ind w:right="-140" w:rightChars="-50"/>
              <w:jc w:val="center"/>
              <w:rPr>
                <w:rFonts w:ascii="宋体" w:hAnsi="宋体"/>
                <w:color w:val="auto"/>
                <w:sz w:val="24"/>
                <w:szCs w:val="24"/>
              </w:rPr>
            </w:pPr>
            <w:r>
              <w:rPr>
                <w:rFonts w:hint="eastAsia" w:ascii="宋体" w:hAnsi="宋体"/>
                <w:color w:val="auto"/>
                <w:sz w:val="24"/>
                <w:szCs w:val="24"/>
              </w:rPr>
              <w:t>交付使用时间</w:t>
            </w:r>
          </w:p>
        </w:tc>
        <w:tc>
          <w:tcPr>
            <w:tcW w:w="6957" w:type="dxa"/>
            <w:vAlign w:val="center"/>
          </w:tcPr>
          <w:p>
            <w:pPr>
              <w:spacing w:line="360" w:lineRule="auto"/>
              <w:ind w:right="-140" w:rightChars="-50"/>
              <w:rPr>
                <w:rFonts w:ascii="宋体" w:hAnsi="宋体"/>
                <w:color w:val="auto"/>
                <w:sz w:val="24"/>
                <w:szCs w:val="24"/>
              </w:rPr>
            </w:pPr>
            <w:r>
              <w:rPr>
                <w:rFonts w:hint="eastAsia" w:ascii="宋体" w:hAnsi="宋体"/>
                <w:color w:val="auto"/>
                <w:sz w:val="24"/>
                <w:szCs w:val="24"/>
              </w:rPr>
              <w:t>签订合同后</w:t>
            </w:r>
            <w:r>
              <w:rPr>
                <w:rFonts w:hint="eastAsia" w:ascii="宋体" w:hAnsi="宋体"/>
                <w:color w:val="auto"/>
                <w:sz w:val="24"/>
                <w:szCs w:val="24"/>
                <w:lang w:val="en-US" w:eastAsia="zh-CN"/>
              </w:rPr>
              <w:t>45</w:t>
            </w:r>
            <w:r>
              <w:rPr>
                <w:rFonts w:hint="eastAsia" w:ascii="宋体" w:hAnsi="宋体"/>
                <w:color w:val="auto"/>
                <w:sz w:val="24"/>
                <w:szCs w:val="24"/>
              </w:rPr>
              <w:t xml:space="preserve">日内。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71" w:type="dxa"/>
            <w:vAlign w:val="center"/>
          </w:tcPr>
          <w:p>
            <w:pPr>
              <w:spacing w:line="360" w:lineRule="auto"/>
              <w:ind w:right="-140" w:rightChars="-50"/>
              <w:jc w:val="center"/>
              <w:rPr>
                <w:rFonts w:ascii="宋体" w:hAnsi="宋体"/>
                <w:color w:val="auto"/>
                <w:sz w:val="24"/>
                <w:szCs w:val="24"/>
              </w:rPr>
            </w:pPr>
            <w:bookmarkStart w:id="15" w:name="_Toc491862089"/>
            <w:r>
              <w:rPr>
                <w:rFonts w:hint="eastAsia" w:ascii="宋体" w:hAnsi="宋体"/>
                <w:color w:val="auto"/>
                <w:sz w:val="24"/>
                <w:szCs w:val="24"/>
              </w:rPr>
              <w:t>交付使用地点</w:t>
            </w:r>
            <w:bookmarkEnd w:id="15"/>
          </w:p>
        </w:tc>
        <w:tc>
          <w:tcPr>
            <w:tcW w:w="6957" w:type="dxa"/>
            <w:vAlign w:val="center"/>
          </w:tcPr>
          <w:p>
            <w:pPr>
              <w:spacing w:line="360" w:lineRule="auto"/>
              <w:ind w:right="-140" w:rightChars="-50"/>
              <w:rPr>
                <w:rFonts w:ascii="宋体" w:hAnsi="宋体"/>
                <w:color w:val="auto"/>
                <w:sz w:val="24"/>
                <w:szCs w:val="24"/>
              </w:rPr>
            </w:pPr>
            <w:bookmarkStart w:id="16" w:name="_Toc491862090"/>
            <w:r>
              <w:rPr>
                <w:rFonts w:hint="eastAsia" w:ascii="宋体" w:hAnsi="宋体"/>
                <w:color w:val="auto"/>
                <w:sz w:val="24"/>
                <w:szCs w:val="24"/>
              </w:rPr>
              <w:t>采购人指定地点。</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671" w:type="dxa"/>
            <w:vAlign w:val="center"/>
          </w:tcPr>
          <w:p>
            <w:pPr>
              <w:spacing w:line="360" w:lineRule="auto"/>
              <w:ind w:right="-140" w:rightChars="-50"/>
              <w:jc w:val="center"/>
              <w:rPr>
                <w:rFonts w:ascii="宋体" w:hAnsi="宋体"/>
                <w:color w:val="auto"/>
                <w:sz w:val="24"/>
                <w:szCs w:val="24"/>
              </w:rPr>
            </w:pPr>
            <w:r>
              <w:rPr>
                <w:rFonts w:hint="eastAsia" w:ascii="宋体" w:hAnsi="宋体"/>
                <w:color w:val="auto"/>
                <w:sz w:val="24"/>
                <w:szCs w:val="24"/>
              </w:rPr>
              <w:t>投标有效期</w:t>
            </w:r>
          </w:p>
        </w:tc>
        <w:tc>
          <w:tcPr>
            <w:tcW w:w="6957" w:type="dxa"/>
            <w:vAlign w:val="center"/>
          </w:tcPr>
          <w:p>
            <w:pPr>
              <w:spacing w:line="360" w:lineRule="auto"/>
              <w:ind w:right="-140" w:rightChars="-50"/>
              <w:rPr>
                <w:rFonts w:ascii="宋体" w:hAnsi="宋体"/>
                <w:color w:val="auto"/>
                <w:sz w:val="24"/>
                <w:szCs w:val="24"/>
              </w:rPr>
            </w:pPr>
            <w:r>
              <w:rPr>
                <w:rFonts w:hint="eastAsia" w:ascii="宋体" w:hAnsi="宋体"/>
                <w:color w:val="auto"/>
                <w:sz w:val="24"/>
                <w:szCs w:val="24"/>
              </w:rPr>
              <w:t>从提交投标文件的截止之日起90日历天。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71" w:type="dxa"/>
            <w:vAlign w:val="center"/>
          </w:tcPr>
          <w:p>
            <w:pPr>
              <w:spacing w:line="360" w:lineRule="auto"/>
              <w:ind w:right="-140" w:rightChars="-50"/>
              <w:jc w:val="center"/>
              <w:rPr>
                <w:rFonts w:ascii="宋体" w:hAnsi="宋体"/>
                <w:color w:val="auto"/>
                <w:sz w:val="24"/>
                <w:szCs w:val="24"/>
              </w:rPr>
            </w:pPr>
            <w:bookmarkStart w:id="17" w:name="_Toc491862092"/>
            <w:r>
              <w:rPr>
                <w:rFonts w:hint="eastAsia" w:ascii="宋体" w:hAnsi="宋体"/>
                <w:color w:val="auto"/>
                <w:sz w:val="24"/>
                <w:szCs w:val="24"/>
              </w:rPr>
              <w:t>质保期</w:t>
            </w:r>
            <w:bookmarkEnd w:id="17"/>
          </w:p>
        </w:tc>
        <w:tc>
          <w:tcPr>
            <w:tcW w:w="6957" w:type="dxa"/>
            <w:vAlign w:val="center"/>
          </w:tcPr>
          <w:p>
            <w:pPr>
              <w:spacing w:line="360" w:lineRule="auto"/>
              <w:ind w:right="-140" w:rightChars="-50"/>
              <w:rPr>
                <w:rFonts w:ascii="宋体" w:hAnsi="宋体"/>
                <w:color w:val="auto"/>
                <w:sz w:val="24"/>
                <w:szCs w:val="24"/>
              </w:rPr>
            </w:pPr>
            <w:bookmarkStart w:id="18" w:name="_Toc491862093"/>
            <w:r>
              <w:rPr>
                <w:rFonts w:hint="eastAsia" w:ascii="宋体" w:hAnsi="宋体"/>
                <w:color w:val="auto"/>
                <w:sz w:val="24"/>
                <w:szCs w:val="24"/>
              </w:rPr>
              <w:t>质保期</w:t>
            </w:r>
            <w:r>
              <w:rPr>
                <w:rFonts w:hint="eastAsia" w:ascii="宋体" w:hAnsi="宋体"/>
                <w:color w:val="auto"/>
                <w:sz w:val="24"/>
                <w:szCs w:val="24"/>
                <w:lang w:val="en-US" w:eastAsia="zh-CN"/>
              </w:rPr>
              <w:t>2</w:t>
            </w:r>
            <w:r>
              <w:rPr>
                <w:rFonts w:hint="eastAsia" w:ascii="宋体" w:hAnsi="宋体"/>
                <w:color w:val="auto"/>
                <w:sz w:val="24"/>
                <w:szCs w:val="24"/>
              </w:rPr>
              <w:t>年。</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671" w:type="dxa"/>
            <w:vAlign w:val="center"/>
          </w:tcPr>
          <w:p>
            <w:pPr>
              <w:pStyle w:val="59"/>
              <w:ind w:firstLine="0" w:firstLineChars="0"/>
              <w:jc w:val="center"/>
              <w:rPr>
                <w:rFonts w:ascii="宋体" w:hAnsi="宋体"/>
                <w:color w:val="auto"/>
                <w:sz w:val="24"/>
                <w:szCs w:val="24"/>
              </w:rPr>
            </w:pPr>
            <w:bookmarkStart w:id="19" w:name="_Toc491862095"/>
            <w:r>
              <w:rPr>
                <w:rFonts w:hint="eastAsia" w:ascii="宋体" w:hAnsi="宋体"/>
                <w:color w:val="auto"/>
                <w:sz w:val="24"/>
                <w:szCs w:val="24"/>
              </w:rPr>
              <w:t>付款方式</w:t>
            </w:r>
            <w:bookmarkEnd w:id="19"/>
          </w:p>
        </w:tc>
        <w:tc>
          <w:tcPr>
            <w:tcW w:w="6957" w:type="dxa"/>
            <w:vAlign w:val="center"/>
          </w:tcPr>
          <w:p>
            <w:pPr>
              <w:pStyle w:val="59"/>
              <w:ind w:firstLine="0" w:firstLineChars="0"/>
              <w:rPr>
                <w:rFonts w:ascii="宋体" w:hAnsi="宋体"/>
                <w:color w:val="auto"/>
                <w:sz w:val="24"/>
                <w:szCs w:val="24"/>
              </w:rPr>
            </w:pPr>
            <w:r>
              <w:rPr>
                <w:rFonts w:hint="eastAsia" w:ascii="宋体" w:hAnsi="宋体"/>
                <w:color w:val="auto"/>
                <w:sz w:val="24"/>
                <w:szCs w:val="24"/>
              </w:rPr>
              <w:t>国库集中支付（合同中另行约定）</w:t>
            </w:r>
          </w:p>
        </w:tc>
      </w:tr>
    </w:tbl>
    <w:p>
      <w:pPr>
        <w:numPr>
          <w:ilvl w:val="0"/>
          <w:numId w:val="4"/>
        </w:numPr>
        <w:spacing w:line="360" w:lineRule="auto"/>
        <w:jc w:val="left"/>
        <w:rPr>
          <w:rFonts w:hAnsi="宋体"/>
          <w:b/>
          <w:bCs/>
          <w:color w:val="auto"/>
          <w:sz w:val="24"/>
          <w:szCs w:val="24"/>
        </w:rPr>
      </w:pPr>
      <w:r>
        <w:rPr>
          <w:rFonts w:hint="eastAsia" w:ascii="宋体" w:hAnsi="宋体"/>
          <w:b/>
          <w:bCs/>
          <w:color w:val="auto"/>
          <w:sz w:val="24"/>
          <w:szCs w:val="24"/>
        </w:rPr>
        <w:t>技术标准与要求</w:t>
      </w:r>
      <w:r>
        <w:rPr>
          <w:rFonts w:hint="eastAsia" w:hAnsi="宋体"/>
          <w:b/>
          <w:bCs/>
          <w:color w:val="auto"/>
          <w:sz w:val="24"/>
          <w:szCs w:val="24"/>
        </w:rPr>
        <w:t>：</w:t>
      </w:r>
    </w:p>
    <w:p>
      <w:pPr>
        <w:pStyle w:val="2"/>
        <w:jc w:val="center"/>
        <w:rPr>
          <w:b/>
          <w:bCs/>
          <w:color w:val="auto"/>
          <w:sz w:val="40"/>
          <w:szCs w:val="24"/>
        </w:rPr>
      </w:pPr>
    </w:p>
    <w:p>
      <w:pPr>
        <w:pStyle w:val="2"/>
        <w:jc w:val="center"/>
        <w:rPr>
          <w:b/>
          <w:bCs/>
          <w:color w:val="auto"/>
          <w:sz w:val="40"/>
          <w:szCs w:val="24"/>
        </w:rPr>
      </w:pPr>
    </w:p>
    <w:p>
      <w:pPr>
        <w:pStyle w:val="2"/>
        <w:jc w:val="center"/>
        <w:rPr>
          <w:b/>
          <w:bCs/>
          <w:color w:val="auto"/>
          <w:sz w:val="40"/>
          <w:szCs w:val="24"/>
        </w:rPr>
      </w:pPr>
    </w:p>
    <w:p>
      <w:pPr>
        <w:pStyle w:val="2"/>
        <w:jc w:val="center"/>
        <w:rPr>
          <w:b/>
          <w:bCs/>
          <w:color w:val="auto"/>
          <w:sz w:val="40"/>
          <w:szCs w:val="24"/>
        </w:rPr>
      </w:pPr>
    </w:p>
    <w:p>
      <w:pPr>
        <w:pStyle w:val="2"/>
        <w:jc w:val="center"/>
        <w:rPr>
          <w:b/>
          <w:bCs/>
          <w:color w:val="auto"/>
          <w:sz w:val="40"/>
          <w:szCs w:val="24"/>
        </w:rPr>
      </w:pPr>
    </w:p>
    <w:p>
      <w:pPr>
        <w:pStyle w:val="2"/>
        <w:jc w:val="center"/>
        <w:rPr>
          <w:b/>
          <w:bCs/>
          <w:color w:val="auto"/>
          <w:sz w:val="40"/>
          <w:szCs w:val="24"/>
        </w:rPr>
      </w:pPr>
    </w:p>
    <w:p>
      <w:pPr>
        <w:pStyle w:val="2"/>
        <w:jc w:val="center"/>
        <w:rPr>
          <w:b/>
          <w:bCs/>
          <w:color w:val="auto"/>
          <w:sz w:val="40"/>
          <w:szCs w:val="24"/>
        </w:rPr>
      </w:pPr>
    </w:p>
    <w:p>
      <w:pPr>
        <w:pStyle w:val="2"/>
        <w:jc w:val="center"/>
        <w:rPr>
          <w:b/>
          <w:bCs/>
          <w:color w:val="auto"/>
          <w:sz w:val="40"/>
          <w:szCs w:val="24"/>
        </w:rPr>
      </w:pPr>
    </w:p>
    <w:p>
      <w:pPr>
        <w:pStyle w:val="2"/>
        <w:jc w:val="center"/>
        <w:rPr>
          <w:b/>
          <w:bCs/>
          <w:color w:val="auto"/>
          <w:sz w:val="40"/>
          <w:szCs w:val="24"/>
        </w:rPr>
      </w:pPr>
    </w:p>
    <w:p>
      <w:pPr>
        <w:pStyle w:val="2"/>
        <w:jc w:val="center"/>
        <w:rPr>
          <w:b/>
          <w:bCs/>
          <w:color w:val="auto"/>
          <w:sz w:val="40"/>
          <w:szCs w:val="24"/>
        </w:rPr>
      </w:pPr>
    </w:p>
    <w:p>
      <w:pPr>
        <w:pStyle w:val="2"/>
        <w:jc w:val="center"/>
        <w:rPr>
          <w:b/>
          <w:bCs/>
          <w:color w:val="auto"/>
          <w:sz w:val="40"/>
          <w:szCs w:val="24"/>
        </w:rPr>
      </w:pPr>
    </w:p>
    <w:p>
      <w:pPr>
        <w:pStyle w:val="2"/>
        <w:jc w:val="center"/>
        <w:rPr>
          <w:b/>
          <w:bCs/>
          <w:color w:val="auto"/>
          <w:sz w:val="40"/>
          <w:szCs w:val="24"/>
        </w:rPr>
      </w:pPr>
    </w:p>
    <w:p>
      <w:pPr>
        <w:pStyle w:val="2"/>
        <w:jc w:val="center"/>
        <w:rPr>
          <w:b/>
          <w:bCs/>
          <w:color w:val="auto"/>
          <w:sz w:val="40"/>
          <w:szCs w:val="24"/>
        </w:rPr>
      </w:pPr>
    </w:p>
    <w:p>
      <w:pPr>
        <w:pStyle w:val="2"/>
        <w:jc w:val="center"/>
        <w:rPr>
          <w:b/>
          <w:bCs/>
          <w:color w:val="auto"/>
          <w:sz w:val="40"/>
          <w:szCs w:val="24"/>
        </w:rPr>
      </w:pPr>
    </w:p>
    <w:p>
      <w:pPr>
        <w:pStyle w:val="2"/>
        <w:jc w:val="center"/>
        <w:rPr>
          <w:b/>
          <w:bCs/>
          <w:color w:val="auto"/>
          <w:sz w:val="40"/>
          <w:szCs w:val="24"/>
        </w:rPr>
      </w:pPr>
    </w:p>
    <w:p>
      <w:pPr>
        <w:pStyle w:val="2"/>
        <w:jc w:val="center"/>
        <w:rPr>
          <w:b/>
          <w:bCs/>
          <w:color w:val="auto"/>
          <w:sz w:val="40"/>
          <w:szCs w:val="24"/>
        </w:rPr>
      </w:pPr>
    </w:p>
    <w:p>
      <w:pPr>
        <w:pStyle w:val="2"/>
        <w:jc w:val="center"/>
        <w:rPr>
          <w:b/>
          <w:bCs/>
          <w:color w:val="auto"/>
          <w:sz w:val="40"/>
          <w:szCs w:val="24"/>
        </w:rPr>
      </w:pPr>
      <w:r>
        <w:rPr>
          <w:b/>
          <w:bCs/>
          <w:color w:val="auto"/>
          <w:sz w:val="40"/>
          <w:szCs w:val="24"/>
        </w:rPr>
        <w:t>货物清单</w:t>
      </w:r>
    </w:p>
    <w:tbl>
      <w:tblPr>
        <w:tblStyle w:val="27"/>
        <w:tblpPr w:leftFromText="180" w:rightFromText="180" w:vertAnchor="text" w:horzAnchor="page" w:tblpX="1547" w:tblpY="447"/>
        <w:tblOverlap w:val="never"/>
        <w:tblW w:w="953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2502"/>
        <w:gridCol w:w="1614"/>
        <w:gridCol w:w="1814"/>
        <w:gridCol w:w="2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E6E6E6"/>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2502" w:type="dxa"/>
            <w:tcBorders>
              <w:top w:val="single" w:color="000000" w:sz="4" w:space="0"/>
              <w:left w:val="single" w:color="000000" w:sz="4" w:space="0"/>
              <w:bottom w:val="single" w:color="000000" w:sz="4" w:space="0"/>
              <w:right w:val="single" w:color="000000" w:sz="4" w:space="0"/>
            </w:tcBorders>
            <w:shd w:val="clear" w:color="auto" w:fill="E6E6E6"/>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设备名称</w:t>
            </w:r>
          </w:p>
        </w:tc>
        <w:tc>
          <w:tcPr>
            <w:tcW w:w="1614" w:type="dxa"/>
            <w:tcBorders>
              <w:top w:val="single" w:color="000000" w:sz="4" w:space="0"/>
              <w:left w:val="single" w:color="000000" w:sz="4" w:space="0"/>
              <w:bottom w:val="single" w:color="000000" w:sz="4" w:space="0"/>
              <w:right w:val="single" w:color="000000" w:sz="4" w:space="0"/>
            </w:tcBorders>
            <w:shd w:val="clear" w:color="auto" w:fill="E6E6E6"/>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数量</w:t>
            </w:r>
          </w:p>
        </w:tc>
        <w:tc>
          <w:tcPr>
            <w:tcW w:w="1814" w:type="dxa"/>
            <w:tcBorders>
              <w:top w:val="single" w:color="000000" w:sz="4" w:space="0"/>
              <w:left w:val="single" w:color="000000" w:sz="4" w:space="0"/>
              <w:bottom w:val="single" w:color="000000" w:sz="4" w:space="0"/>
              <w:right w:val="single" w:color="000000" w:sz="4" w:space="0"/>
            </w:tcBorders>
            <w:shd w:val="clear" w:color="auto" w:fill="E6E6E6"/>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单位</w:t>
            </w:r>
          </w:p>
        </w:tc>
        <w:tc>
          <w:tcPr>
            <w:tcW w:w="2943" w:type="dxa"/>
            <w:tcBorders>
              <w:top w:val="single" w:color="000000" w:sz="4" w:space="0"/>
              <w:left w:val="single" w:color="000000" w:sz="4" w:space="0"/>
              <w:bottom w:val="single" w:color="000000" w:sz="4" w:space="0"/>
              <w:right w:val="single" w:color="000000" w:sz="4" w:space="0"/>
            </w:tcBorders>
            <w:shd w:val="clear" w:color="auto" w:fill="E6E6E6"/>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533" w:type="dxa"/>
            <w:gridSpan w:val="5"/>
            <w:tcBorders>
              <w:top w:val="single" w:color="000000" w:sz="4" w:space="0"/>
              <w:left w:val="single" w:color="000000" w:sz="4" w:space="0"/>
              <w:bottom w:val="single" w:color="000000" w:sz="4" w:space="0"/>
              <w:right w:val="single" w:color="000000" w:sz="4" w:space="0"/>
            </w:tcBorders>
            <w:shd w:val="clear" w:color="auto" w:fill="E6E6E6"/>
            <w:vAlign w:val="center"/>
          </w:tcPr>
          <w:p>
            <w:pPr>
              <w:pStyle w:val="2"/>
              <w:spacing w:line="240" w:lineRule="auto"/>
              <w:jc w:val="center"/>
              <w:rPr>
                <w:rFonts w:hint="eastAsia" w:asciiTheme="minorEastAsia" w:hAnsiTheme="minorEastAsia" w:eastAsiaTheme="minorEastAsia" w:cstheme="minorEastAsia"/>
                <w:color w:val="auto"/>
                <w:sz w:val="21"/>
                <w:szCs w:val="21"/>
                <w:shd w:val="clear" w:color="auto" w:fill="auto"/>
              </w:rPr>
            </w:pPr>
            <w:r>
              <w:rPr>
                <w:rFonts w:hint="eastAsia" w:asciiTheme="minorEastAsia" w:hAnsiTheme="minorEastAsia" w:eastAsiaTheme="minorEastAsia" w:cstheme="minorEastAsia"/>
                <w:b/>
                <w:bCs/>
                <w:color w:val="auto"/>
                <w:sz w:val="21"/>
                <w:szCs w:val="21"/>
                <w:shd w:val="clear" w:color="auto" w:fill="auto"/>
              </w:rPr>
              <w:t>火化炉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2502"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高档</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拣灰火化机</w:t>
            </w:r>
          </w:p>
        </w:tc>
        <w:tc>
          <w:tcPr>
            <w:tcW w:w="161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81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c>
          <w:tcPr>
            <w:tcW w:w="2943"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含烟道砌筑，设备安装、调试、售后（详见相关措施）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2502"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一拖二尾气净化处理设备</w:t>
            </w:r>
          </w:p>
        </w:tc>
        <w:tc>
          <w:tcPr>
            <w:tcW w:w="161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81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c>
          <w:tcPr>
            <w:tcW w:w="2943"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含设备安装、调试、售后（详见相关措施）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9533" w:type="dxa"/>
            <w:gridSpan w:val="5"/>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遗体存放室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2502"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三门太平柜</w:t>
            </w:r>
          </w:p>
        </w:tc>
        <w:tc>
          <w:tcPr>
            <w:tcW w:w="161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c>
          <w:tcPr>
            <w:tcW w:w="181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w:t>
            </w:r>
          </w:p>
        </w:tc>
        <w:tc>
          <w:tcPr>
            <w:tcW w:w="2943" w:type="dxa"/>
            <w:tcBorders>
              <w:top w:val="single" w:color="000000" w:sz="4" w:space="0"/>
              <w:left w:val="single" w:color="000000" w:sz="4" w:space="0"/>
              <w:bottom w:val="single" w:color="000000" w:sz="4" w:space="0"/>
              <w:right w:val="single" w:color="000000" w:sz="4" w:space="0"/>
            </w:tcBorders>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含设备安装、调试、售后（详见相关措施）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2502"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液压升降车</w:t>
            </w:r>
          </w:p>
        </w:tc>
        <w:tc>
          <w:tcPr>
            <w:tcW w:w="161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81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辆</w:t>
            </w:r>
          </w:p>
        </w:tc>
        <w:tc>
          <w:tcPr>
            <w:tcW w:w="2943"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533" w:type="dxa"/>
            <w:gridSpan w:val="5"/>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悼念厅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2502"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大型豪华</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瞻仰台</w:t>
            </w:r>
          </w:p>
        </w:tc>
        <w:tc>
          <w:tcPr>
            <w:tcW w:w="161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81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台</w:t>
            </w:r>
          </w:p>
        </w:tc>
        <w:tc>
          <w:tcPr>
            <w:tcW w:w="2943" w:type="dxa"/>
            <w:tcBorders>
              <w:top w:val="single" w:color="000000" w:sz="4" w:space="0"/>
              <w:left w:val="single" w:color="000000" w:sz="4" w:space="0"/>
              <w:bottom w:val="single" w:color="000000" w:sz="4" w:space="0"/>
              <w:right w:val="single" w:color="000000" w:sz="4" w:space="0"/>
            </w:tcBorders>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含设备安装、调试、售后（详见相关措施）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2502"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中型豪华</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瞻仰台</w:t>
            </w:r>
          </w:p>
        </w:tc>
        <w:tc>
          <w:tcPr>
            <w:tcW w:w="161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81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台</w:t>
            </w:r>
          </w:p>
        </w:tc>
        <w:tc>
          <w:tcPr>
            <w:tcW w:w="2943" w:type="dxa"/>
            <w:tcBorders>
              <w:top w:val="single" w:color="000000" w:sz="4" w:space="0"/>
              <w:left w:val="single" w:color="000000" w:sz="4" w:space="0"/>
              <w:bottom w:val="single" w:color="000000" w:sz="4" w:space="0"/>
              <w:right w:val="single" w:color="000000" w:sz="4" w:space="0"/>
            </w:tcBorders>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含设备安装、调试、售后（详见相关措施）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p>
        </w:tc>
        <w:tc>
          <w:tcPr>
            <w:tcW w:w="2502"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水晶棺</w:t>
            </w:r>
          </w:p>
        </w:tc>
        <w:tc>
          <w:tcPr>
            <w:tcW w:w="161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181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张</w:t>
            </w:r>
          </w:p>
        </w:tc>
        <w:tc>
          <w:tcPr>
            <w:tcW w:w="2943"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c>
          <w:tcPr>
            <w:tcW w:w="2502"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跪垫</w:t>
            </w:r>
          </w:p>
        </w:tc>
        <w:tc>
          <w:tcPr>
            <w:tcW w:w="161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30</w:t>
            </w:r>
          </w:p>
        </w:tc>
        <w:tc>
          <w:tcPr>
            <w:tcW w:w="181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个</w:t>
            </w:r>
          </w:p>
        </w:tc>
        <w:tc>
          <w:tcPr>
            <w:tcW w:w="2943"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p>
        </w:tc>
        <w:tc>
          <w:tcPr>
            <w:tcW w:w="2502"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供桌</w:t>
            </w:r>
          </w:p>
        </w:tc>
        <w:tc>
          <w:tcPr>
            <w:tcW w:w="161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c>
          <w:tcPr>
            <w:tcW w:w="181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张</w:t>
            </w:r>
          </w:p>
        </w:tc>
        <w:tc>
          <w:tcPr>
            <w:tcW w:w="2943"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2502"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推车</w:t>
            </w:r>
          </w:p>
        </w:tc>
        <w:tc>
          <w:tcPr>
            <w:tcW w:w="161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81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张</w:t>
            </w:r>
          </w:p>
        </w:tc>
        <w:tc>
          <w:tcPr>
            <w:tcW w:w="2943"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p>
        </w:tc>
        <w:tc>
          <w:tcPr>
            <w:tcW w:w="2502"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洗尸车</w:t>
            </w:r>
          </w:p>
        </w:tc>
        <w:tc>
          <w:tcPr>
            <w:tcW w:w="161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81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辆</w:t>
            </w:r>
          </w:p>
        </w:tc>
        <w:tc>
          <w:tcPr>
            <w:tcW w:w="2943"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9533" w:type="dxa"/>
            <w:gridSpan w:val="5"/>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lang w:eastAsia="zh-CN"/>
              </w:rPr>
              <w:t>骨灰炉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p>
        </w:tc>
        <w:tc>
          <w:tcPr>
            <w:tcW w:w="2502"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骨灰存放架</w:t>
            </w:r>
          </w:p>
        </w:tc>
        <w:tc>
          <w:tcPr>
            <w:tcW w:w="161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2000</w:t>
            </w:r>
          </w:p>
        </w:tc>
        <w:tc>
          <w:tcPr>
            <w:tcW w:w="181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门</w:t>
            </w:r>
          </w:p>
        </w:tc>
        <w:tc>
          <w:tcPr>
            <w:tcW w:w="2943"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含设备安装、调试售后（详见相关措施）</w:t>
            </w:r>
          </w:p>
        </w:tc>
      </w:tr>
    </w:tbl>
    <w:p>
      <w:pPr>
        <w:pStyle w:val="2"/>
        <w:spacing w:line="240" w:lineRule="auto"/>
        <w:rPr>
          <w:rFonts w:hint="eastAsia" w:asciiTheme="minorEastAsia" w:hAnsiTheme="minorEastAsia" w:eastAsiaTheme="minorEastAsia" w:cstheme="minorEastAsia"/>
          <w:color w:val="auto"/>
          <w:sz w:val="21"/>
          <w:szCs w:val="21"/>
        </w:rPr>
      </w:pPr>
    </w:p>
    <w:p>
      <w:pPr>
        <w:pStyle w:val="2"/>
        <w:spacing w:line="240" w:lineRule="auto"/>
        <w:rPr>
          <w:rFonts w:hint="eastAsia" w:asciiTheme="minorEastAsia" w:hAnsiTheme="minorEastAsia" w:eastAsiaTheme="minorEastAsia" w:cstheme="minorEastAsia"/>
          <w:color w:val="auto"/>
          <w:sz w:val="21"/>
          <w:szCs w:val="21"/>
        </w:rPr>
      </w:pPr>
    </w:p>
    <w:p>
      <w:pPr>
        <w:pStyle w:val="2"/>
        <w:spacing w:line="240" w:lineRule="auto"/>
        <w:ind w:firstLine="210" w:firstLineChars="100"/>
        <w:jc w:val="center"/>
        <w:rPr>
          <w:rFonts w:hint="eastAsia" w:asciiTheme="minorEastAsia" w:hAnsiTheme="minorEastAsia" w:eastAsiaTheme="minorEastAsia" w:cstheme="minorEastAsia"/>
          <w:color w:val="auto"/>
          <w:sz w:val="21"/>
          <w:szCs w:val="21"/>
        </w:rPr>
      </w:pPr>
    </w:p>
    <w:p>
      <w:pPr>
        <w:pStyle w:val="2"/>
        <w:spacing w:line="240" w:lineRule="auto"/>
        <w:ind w:firstLine="210" w:firstLineChars="100"/>
        <w:jc w:val="center"/>
        <w:rPr>
          <w:rFonts w:hint="eastAsia" w:asciiTheme="minorEastAsia" w:hAnsiTheme="minorEastAsia" w:eastAsiaTheme="minorEastAsia" w:cstheme="minorEastAsia"/>
          <w:color w:val="auto"/>
          <w:sz w:val="21"/>
          <w:szCs w:val="21"/>
        </w:rPr>
      </w:pPr>
    </w:p>
    <w:p>
      <w:pPr>
        <w:pStyle w:val="2"/>
        <w:spacing w:line="240" w:lineRule="auto"/>
        <w:ind w:firstLine="210" w:firstLineChars="100"/>
        <w:jc w:val="center"/>
        <w:rPr>
          <w:rFonts w:hint="eastAsia" w:asciiTheme="minorEastAsia" w:hAnsiTheme="minorEastAsia" w:eastAsiaTheme="minorEastAsia" w:cstheme="minorEastAsia"/>
          <w:color w:val="auto"/>
          <w:sz w:val="21"/>
          <w:szCs w:val="21"/>
        </w:rPr>
      </w:pPr>
    </w:p>
    <w:p>
      <w:pPr>
        <w:pStyle w:val="2"/>
        <w:spacing w:line="240" w:lineRule="auto"/>
        <w:ind w:firstLine="210" w:firstLineChars="100"/>
        <w:jc w:val="center"/>
        <w:rPr>
          <w:rFonts w:hint="eastAsia" w:asciiTheme="minorEastAsia" w:hAnsiTheme="minorEastAsia" w:eastAsiaTheme="minorEastAsia" w:cstheme="minorEastAsia"/>
          <w:color w:val="auto"/>
          <w:sz w:val="21"/>
          <w:szCs w:val="21"/>
        </w:rPr>
      </w:pPr>
    </w:p>
    <w:p>
      <w:pPr>
        <w:pStyle w:val="2"/>
        <w:spacing w:line="240" w:lineRule="auto"/>
        <w:jc w:val="both"/>
        <w:rPr>
          <w:rFonts w:hint="eastAsia" w:asciiTheme="minorEastAsia" w:hAnsiTheme="minorEastAsia" w:eastAsiaTheme="minorEastAsia" w:cstheme="minorEastAsia"/>
          <w:color w:val="auto"/>
          <w:sz w:val="21"/>
          <w:szCs w:val="21"/>
        </w:rPr>
      </w:pPr>
    </w:p>
    <w:p>
      <w:pPr>
        <w:pStyle w:val="2"/>
        <w:spacing w:line="240" w:lineRule="auto"/>
        <w:ind w:firstLine="321" w:firstLineChars="100"/>
        <w:jc w:val="center"/>
        <w:rPr>
          <w:rFonts w:hint="eastAsia" w:asciiTheme="minorEastAsia" w:hAnsiTheme="minorEastAsia" w:eastAsiaTheme="minorEastAsia" w:cstheme="minorEastAsia"/>
          <w:b/>
          <w:bCs/>
          <w:color w:val="auto"/>
          <w:sz w:val="32"/>
          <w:szCs w:val="32"/>
          <w:lang w:eastAsia="zh-CN"/>
        </w:rPr>
      </w:pPr>
    </w:p>
    <w:p>
      <w:pPr>
        <w:pStyle w:val="2"/>
        <w:spacing w:line="240" w:lineRule="auto"/>
        <w:ind w:firstLine="321" w:firstLineChars="100"/>
        <w:jc w:val="cente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lang w:eastAsia="zh-CN"/>
        </w:rPr>
        <w:t>火化炉</w:t>
      </w:r>
      <w:r>
        <w:rPr>
          <w:rFonts w:hint="eastAsia" w:asciiTheme="minorEastAsia" w:hAnsiTheme="minorEastAsia" w:eastAsiaTheme="minorEastAsia" w:cstheme="minorEastAsia"/>
          <w:b/>
          <w:bCs/>
          <w:color w:val="auto"/>
          <w:sz w:val="32"/>
          <w:szCs w:val="32"/>
        </w:rPr>
        <w:t>设备技术参数及要求</w:t>
      </w:r>
    </w:p>
    <w:tbl>
      <w:tblPr>
        <w:tblStyle w:val="27"/>
        <w:tblpPr w:leftFromText="180" w:rightFromText="180" w:vertAnchor="text" w:horzAnchor="page" w:tblpX="872" w:tblpY="447"/>
        <w:tblOverlap w:val="never"/>
        <w:tblW w:w="101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7"/>
        <w:gridCol w:w="561"/>
        <w:gridCol w:w="1210"/>
        <w:gridCol w:w="1920"/>
        <w:gridCol w:w="54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E6E6E6"/>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设备名称</w:t>
            </w:r>
          </w:p>
        </w:tc>
        <w:tc>
          <w:tcPr>
            <w:tcW w:w="9125" w:type="dxa"/>
            <w:gridSpan w:val="4"/>
            <w:tcBorders>
              <w:top w:val="single" w:color="000000" w:sz="4" w:space="0"/>
              <w:left w:val="single" w:color="000000" w:sz="4" w:space="0"/>
              <w:bottom w:val="single" w:color="000000" w:sz="4" w:space="0"/>
              <w:right w:val="single" w:color="000000" w:sz="4" w:space="0"/>
            </w:tcBorders>
            <w:shd w:val="clear" w:color="auto" w:fill="E6E6E6"/>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047" w:type="dxa"/>
            <w:vMerge w:val="restar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高</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档</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拣</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灰</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火</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化</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机</w:t>
            </w: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产品技术项目</w:t>
            </w:r>
          </w:p>
        </w:tc>
        <w:tc>
          <w:tcPr>
            <w:tcW w:w="7354" w:type="dxa"/>
            <w:gridSpan w:val="2"/>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产品技术规格、参数及技术要求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炉体外形尺寸</w:t>
            </w:r>
          </w:p>
        </w:tc>
        <w:tc>
          <w:tcPr>
            <w:tcW w:w="7354" w:type="dxa"/>
            <w:gridSpan w:val="2"/>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L3500×W2250×H3200，组合式部件出厂，便于装卸和进入现场。外观造型呈流线型，美观实用，操作方便。操作门拉手绝热不烫手。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主炉膛</w:t>
            </w:r>
          </w:p>
        </w:tc>
        <w:tc>
          <w:tcPr>
            <w:tcW w:w="7354" w:type="dxa"/>
            <w:gridSpan w:val="2"/>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L2200×W700×H750，耐温1500℃，二侧下火口耐温1760℃。主炉膛工作温度600-900℃。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炉膛工作压力</w:t>
            </w:r>
          </w:p>
        </w:tc>
        <w:tc>
          <w:tcPr>
            <w:tcW w:w="7354" w:type="dxa"/>
            <w:gridSpan w:val="2"/>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-5Pa～-30Pa内调节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主炉二燃室</w:t>
            </w:r>
          </w:p>
        </w:tc>
        <w:tc>
          <w:tcPr>
            <w:tcW w:w="7354" w:type="dxa"/>
            <w:gridSpan w:val="2"/>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L1324×W700×H350，工作温度750-900℃。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耐火材料与砌筑工艺</w:t>
            </w:r>
          </w:p>
        </w:tc>
        <w:tc>
          <w:tcPr>
            <w:tcW w:w="7354" w:type="dxa"/>
            <w:gridSpan w:val="2"/>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5.1耐火材料全部选用优质品砌筑</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5.2砌筑工艺做到砌筑耐火砖的灰缝不大于3mm，主炉膛灰缝不大于2mm，横平竖直，泥浆饱满，砌体垂直度、平面直线度不大于3‰，用切割机切砖并磨平后使用，砌保温砖像砌耐火砖一样用耐火泥砌、不堆砌。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vMerge w:val="restar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1210" w:type="dxa"/>
            <w:vMerge w:val="restar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供风系统</w:t>
            </w:r>
          </w:p>
        </w:tc>
        <w:tc>
          <w:tcPr>
            <w:tcW w:w="192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热风管</w:t>
            </w:r>
          </w:p>
        </w:tc>
        <w:tc>
          <w:tcPr>
            <w:tcW w:w="543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炉膛左、右侧风、顶风，主枪风都装有热风输入管道和风咀，并与炉体管道式预热器相连提供热风直接喷到炉膛达到快速升温节能的效果。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1210"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192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风量控制</w:t>
            </w:r>
          </w:p>
        </w:tc>
        <w:tc>
          <w:tcPr>
            <w:tcW w:w="543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设主枪风、左侧风、右侧风、顶风、回烟道冷风五个风量控制阀，转动灵活、久用无卡阻。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炉门</w:t>
            </w:r>
          </w:p>
        </w:tc>
        <w:tc>
          <w:tcPr>
            <w:tcW w:w="7354" w:type="dxa"/>
            <w:gridSpan w:val="2"/>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L1060×W1000，不锈钢制作，耐火面用高温（＞1500℃）外表用不锈钢板装饰，具有手动应急操作功能，启闭轻松，停位准确，关闭密封严实。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炉体外装饰</w:t>
            </w:r>
          </w:p>
        </w:tc>
        <w:tc>
          <w:tcPr>
            <w:tcW w:w="7354" w:type="dxa"/>
            <w:gridSpan w:val="2"/>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炉体外装饰用304不锈钢板，暗扣式安装，拆装方便，外观造型美观大方，光亮豪华。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保温性能</w:t>
            </w:r>
          </w:p>
        </w:tc>
        <w:tc>
          <w:tcPr>
            <w:tcW w:w="7354" w:type="dxa"/>
            <w:gridSpan w:val="2"/>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停炉15小时≥300℃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炉体表面温度</w:t>
            </w:r>
          </w:p>
        </w:tc>
        <w:tc>
          <w:tcPr>
            <w:tcW w:w="7354" w:type="dxa"/>
            <w:gridSpan w:val="2"/>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炉体表面平均温升≤20℃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提升双坑面台车</w:t>
            </w:r>
          </w:p>
        </w:tc>
        <w:tc>
          <w:tcPr>
            <w:tcW w:w="7354" w:type="dxa"/>
            <w:gridSpan w:val="2"/>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包括升降装置、遗体输送车、冷却风机、耐高温坑面。升降装置的高度2300mm，跨距1184mm,升降高度823mm，通过升降装置的运行把高温的骨灰连同坑面提升到骨灰冷却装置固定的安装高度823mm，进行骨灰冷却并完成双坑面的交换使用。接送坑面骨灰进行冷却仅需垂直提升利用空间面积节省了预备室有限横向地面积。</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遗体输送车L3750×W417×H521,坑面自动升降高度150mm以内调节，自动完成预备室外接遗体，带棺木入炉，骨灰送至拣灰台等，其过程运行平稳，停位精确无误。</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冷却风机功率3KW，风量7000m³，风压1180Pa和不锈钢冷却罩配套使用，冷却时间20-30分钟/具，冷却后坑面灰尘全部送人集灰房，无尘落地。</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耐高温坑面，L2150×W680×H100，长时间高温下使用不变形，不炸裂，每台炉配二副交换使用，更换期800-1000具。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预备门</w:t>
            </w:r>
          </w:p>
        </w:tc>
        <w:tc>
          <w:tcPr>
            <w:tcW w:w="7354" w:type="dxa"/>
            <w:gridSpan w:val="2"/>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预备门宽1000，高1850，完全满足遗体棺木进入，用不锈钢板制作，装饰豪华美观、传动选用可逆减速电机同步带轮传动，噪音小、平稳、预备门轨道选用铝合金移门吊轮吊轨，滑动轻松，使用寿命都在10年以上。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工作状态显示</w:t>
            </w:r>
          </w:p>
        </w:tc>
        <w:tc>
          <w:tcPr>
            <w:tcW w:w="7354" w:type="dxa"/>
            <w:gridSpan w:val="2"/>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预备门上方配置LED显示屏，根据火化机的工作状态显示工作、停炉、故障信息。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鼓风机</w:t>
            </w:r>
          </w:p>
        </w:tc>
        <w:tc>
          <w:tcPr>
            <w:tcW w:w="7354" w:type="dxa"/>
            <w:gridSpan w:val="2"/>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7.5KW高压鼓风机，风量1291m³，风压12075Pa。风机运转平稳无振动，噪音小于70分贝。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燃烧系统</w:t>
            </w:r>
          </w:p>
        </w:tc>
        <w:tc>
          <w:tcPr>
            <w:tcW w:w="7354" w:type="dxa"/>
            <w:gridSpan w:val="2"/>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15.1主燃烧器选用知名品牌产品，油耗7-12kg/h，油嘴孔径Φ1.2mm，火焰长度达800-1100mm。</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15.2燃烧角度上下可调＞30°，保证炉膛头尾正常火化。</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15.3炉膛主枪点火采用高能点火装置，不需油耗，点火棒高压点火，着火几率100%。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密封性</w:t>
            </w:r>
          </w:p>
        </w:tc>
        <w:tc>
          <w:tcPr>
            <w:tcW w:w="7354" w:type="dxa"/>
            <w:gridSpan w:val="2"/>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火化设备（火化机、预备室、鼓风装置、引风装置、闸板装置、烟道、各烟道口等）在正常运行工作中或停机后不出现烟气溢出、倒烟、回烟、异味现象。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热电偶</w:t>
            </w:r>
          </w:p>
        </w:tc>
        <w:tc>
          <w:tcPr>
            <w:tcW w:w="7354" w:type="dxa"/>
            <w:gridSpan w:val="2"/>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安装位置正确，采用磁导管K式热电偶长650mm，测量温度0-1300℃。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宋体" w:hAnsi="宋体" w:eastAsia="宋体" w:cs="宋体"/>
                <w:color w:val="auto"/>
                <w:sz w:val="21"/>
                <w:szCs w:val="21"/>
              </w:rPr>
              <w:t>★</w:t>
            </w:r>
            <w:r>
              <w:rPr>
                <w:rFonts w:hint="eastAsia" w:asciiTheme="minorEastAsia" w:hAnsiTheme="minorEastAsia" w:eastAsiaTheme="minorEastAsia" w:cstheme="minorEastAsia"/>
                <w:color w:val="auto"/>
                <w:sz w:val="21"/>
                <w:szCs w:val="21"/>
              </w:rPr>
              <w:t>电器自动化控制</w:t>
            </w:r>
          </w:p>
          <w:p>
            <w:pPr>
              <w:pStyle w:val="2"/>
              <w:spacing w:line="240" w:lineRule="auto"/>
              <w:jc w:val="center"/>
              <w:rPr>
                <w:rFonts w:hint="eastAsia" w:asciiTheme="minorEastAsia" w:hAnsiTheme="minorEastAsia" w:eastAsiaTheme="minorEastAsia" w:cstheme="minorEastAsia"/>
                <w:color w:val="auto"/>
                <w:sz w:val="21"/>
                <w:szCs w:val="21"/>
              </w:rPr>
            </w:pPr>
          </w:p>
        </w:tc>
        <w:tc>
          <w:tcPr>
            <w:tcW w:w="7354" w:type="dxa"/>
            <w:gridSpan w:val="2"/>
            <w:tcBorders>
              <w:top w:val="single" w:color="000000" w:sz="4" w:space="0"/>
              <w:left w:val="single" w:color="000000" w:sz="4" w:space="0"/>
              <w:bottom w:val="single" w:color="000000" w:sz="4" w:space="0"/>
              <w:right w:val="single" w:color="000000" w:sz="4" w:space="0"/>
            </w:tcBorders>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19.1硬件选用：摆臂式铝合金组合支杆360度旋转，触摸屏选用10.1寸真彩屏，PLC控制器功能模块选用低压电器元件选用优质产品，耐用、故障率极低。（通过摆臂旋转，操作工可多角度操控设备，触摸屏脱离火化机机体，不受炉体温度影响，稳定性更高，延长使用寿命。）</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19.2后厅控制功能：摆臂式触摸屏制作动态流程动画画面显示，温度压力显示，具有自动控温、自动控压、自动控油气、自动调节风氧量、引风机，鼓风机起停控制，权限授权，参数校准，故障报警功能据。</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19.3前厅控制功能：触摸屏选用10.1寸真彩屏，PLC控制器功能模块选用低压电器元件选用优质产品，耐用、故障率极低。触摸屏制作精致简洁画面，具有实现手动，点动，一键全自动操作模式，点动模式实现预备门点动开闭，炉门的点动升降，尸车点动前后升降。手动模式实现预备门开闭定位操作，炉门升降定位操作，尸车定位前后操作。自动模式实现预备门，炉门，尸车自动完成接尸，送尸操作，模式无忧切换，故障报警闪烁，报警点自动显示功能。</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注：</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须</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提供操作功能演示。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使用燃料</w:t>
            </w:r>
          </w:p>
        </w:tc>
        <w:tc>
          <w:tcPr>
            <w:tcW w:w="7354" w:type="dxa"/>
            <w:gridSpan w:val="2"/>
            <w:tcBorders>
              <w:top w:val="single" w:color="000000" w:sz="4" w:space="0"/>
              <w:left w:val="single" w:color="000000" w:sz="4" w:space="0"/>
              <w:bottom w:val="single" w:color="000000" w:sz="4" w:space="0"/>
              <w:right w:val="single" w:color="000000" w:sz="4" w:space="0"/>
            </w:tcBorders>
            <w:vAlign w:val="center"/>
          </w:tcPr>
          <w:p>
            <w:pPr>
              <w:pStyle w:val="2"/>
              <w:spacing w:line="240" w:lineRule="auto"/>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0#轻柴油、天然气。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连续火化时间</w:t>
            </w:r>
          </w:p>
        </w:tc>
        <w:tc>
          <w:tcPr>
            <w:tcW w:w="7354" w:type="dxa"/>
            <w:gridSpan w:val="2"/>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30-50分钟/具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平均火化油耗</w:t>
            </w:r>
          </w:p>
        </w:tc>
        <w:tc>
          <w:tcPr>
            <w:tcW w:w="7354" w:type="dxa"/>
            <w:gridSpan w:val="2"/>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耗油8-12L/具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使用寿命</w:t>
            </w:r>
          </w:p>
        </w:tc>
        <w:tc>
          <w:tcPr>
            <w:tcW w:w="7354" w:type="dxa"/>
            <w:gridSpan w:val="2"/>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设备正常使用大修期：4500具或三年以上。</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设备正常使用寿命：13000以上或10年。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总功率</w:t>
            </w:r>
          </w:p>
        </w:tc>
        <w:tc>
          <w:tcPr>
            <w:tcW w:w="7354" w:type="dxa"/>
            <w:gridSpan w:val="2"/>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设备总用电功率18-20KW。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有害物质排放</w:t>
            </w:r>
          </w:p>
        </w:tc>
        <w:tc>
          <w:tcPr>
            <w:tcW w:w="7354" w:type="dxa"/>
            <w:gridSpan w:val="2"/>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符合GB13801-2015《火葬场大气污染物排放标准》的要求。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1047"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土建施工</w:t>
            </w:r>
          </w:p>
        </w:tc>
        <w:tc>
          <w:tcPr>
            <w:tcW w:w="7354" w:type="dxa"/>
            <w:gridSpan w:val="2"/>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通风管道挖槽，深2米宽1.5米长约10米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1047"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26</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混凝土浇灌</w:t>
            </w:r>
          </w:p>
        </w:tc>
        <w:tc>
          <w:tcPr>
            <w:tcW w:w="7354" w:type="dxa"/>
            <w:gridSpan w:val="2"/>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浇灌通风管道大约30立方米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1047"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27</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防火棉</w:t>
            </w:r>
          </w:p>
        </w:tc>
        <w:tc>
          <w:tcPr>
            <w:tcW w:w="7354" w:type="dxa"/>
            <w:gridSpan w:val="2"/>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需在通风管道两侧填放防火棉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47" w:type="dxa"/>
            <w:vMerge w:val="restar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拖</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尾</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气</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净</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化</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处</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理</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备</w:t>
            </w: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系统名称</w:t>
            </w:r>
          </w:p>
        </w:tc>
        <w:tc>
          <w:tcPr>
            <w:tcW w:w="7354" w:type="dxa"/>
            <w:gridSpan w:val="2"/>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技术参数和特点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设备组成</w:t>
            </w:r>
          </w:p>
        </w:tc>
        <w:tc>
          <w:tcPr>
            <w:tcW w:w="7354" w:type="dxa"/>
            <w:gridSpan w:val="2"/>
            <w:tcBorders>
              <w:top w:val="single" w:color="000000" w:sz="4" w:space="0"/>
              <w:left w:val="single" w:color="000000" w:sz="4" w:space="0"/>
              <w:bottom w:val="single" w:color="000000" w:sz="4" w:space="0"/>
              <w:right w:val="single" w:color="000000" w:sz="4" w:space="0"/>
            </w:tcBorders>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风冷烟气急冷塔烟气急冷系统。喷雾脱酸塔、组合式高效旋风除尘器、二噁英吸附装置、高温自动转换阀、新型布袋除尘器、脉冲自动清灰装置、应急旁通装置、变频引风机、达标排放引射、螺杆空压机供气系统、PLC全电脑自动控制系统等组成。具有结构紧凑、外形美观、使用操作方便，无二次污染，实用性强等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处理流程</w:t>
            </w:r>
          </w:p>
        </w:tc>
        <w:tc>
          <w:tcPr>
            <w:tcW w:w="7354" w:type="dxa"/>
            <w:gridSpan w:val="2"/>
            <w:tcBorders>
              <w:top w:val="single" w:color="000000" w:sz="4" w:space="0"/>
              <w:left w:val="single" w:color="000000" w:sz="4" w:space="0"/>
              <w:bottom w:val="single" w:color="000000" w:sz="4" w:space="0"/>
              <w:right w:val="single" w:color="000000" w:sz="4" w:space="0"/>
            </w:tcBorders>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火化机烟气→应急旁通系统→烟气急冷塔（烟气急冷至200℃）→喷雾脱酸塔→高效旋风除尘器→活性炭吸附装置→布袋除尘器→变频引风机→引射达标排放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工艺保证与工程安装</w:t>
            </w:r>
          </w:p>
        </w:tc>
        <w:tc>
          <w:tcPr>
            <w:tcW w:w="7354" w:type="dxa"/>
            <w:gridSpan w:val="2"/>
            <w:tcBorders>
              <w:top w:val="single" w:color="000000" w:sz="4" w:space="0"/>
              <w:left w:val="single" w:color="000000" w:sz="4" w:space="0"/>
              <w:bottom w:val="single" w:color="000000" w:sz="4" w:space="0"/>
              <w:right w:val="single" w:color="000000" w:sz="4" w:space="0"/>
            </w:tcBorders>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用料严格按图纸技术要求选用国标材料不以劣代优。产品技术不断持续改进，应用先进的技术，成熟的工艺，并配置激光切割，数控剪折冲床，二保焊接等主导设备加工产品，焊工持证上岗，焊接工艺达行业标准要求，从而为制造优质的产品提供了技术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安装后效果</w:t>
            </w:r>
          </w:p>
        </w:tc>
        <w:tc>
          <w:tcPr>
            <w:tcW w:w="7354" w:type="dxa"/>
            <w:gridSpan w:val="2"/>
            <w:tcBorders>
              <w:top w:val="single" w:color="000000" w:sz="4" w:space="0"/>
              <w:left w:val="single" w:color="000000" w:sz="4" w:space="0"/>
              <w:bottom w:val="single" w:color="000000" w:sz="4" w:space="0"/>
              <w:right w:val="single" w:color="000000" w:sz="4" w:space="0"/>
            </w:tcBorders>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1、尾气处理的污染物排放指标达到GB13801-2015标准。</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2、排放无黑烟、达到林格曼0-1级。</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3、二噁英的排放含量符合国家标准要求。</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4、殡仪馆周边无青烟现象，尾气排放无漂浮物。</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5、车间周围空气中没有火化遗体的异味。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风冷烟气急冷塔</w:t>
            </w:r>
          </w:p>
        </w:tc>
        <w:tc>
          <w:tcPr>
            <w:tcW w:w="7354" w:type="dxa"/>
            <w:gridSpan w:val="2"/>
            <w:tcBorders>
              <w:top w:val="single" w:color="000000" w:sz="4" w:space="0"/>
              <w:left w:val="single" w:color="000000" w:sz="4" w:space="0"/>
              <w:bottom w:val="single" w:color="000000" w:sz="4" w:space="0"/>
              <w:right w:val="single" w:color="000000" w:sz="4" w:space="0"/>
            </w:tcBorders>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L1600×W1200×H3850，优质钢材制作，冷却管用Φ57无缝不锈钢镜面管，实厚2mm，管总长达194米。冷却温度随手可控出口烟气≤200℃，确保散热快，耐高温、耐腐蚀。6年以上不被气体腐蚀穿透。表面温度适应手感，为方便使用冷风底部专门设置了清灰口和检修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喷雾脱酸塔</w:t>
            </w:r>
          </w:p>
        </w:tc>
        <w:tc>
          <w:tcPr>
            <w:tcW w:w="7354" w:type="dxa"/>
            <w:gridSpan w:val="2"/>
            <w:tcBorders>
              <w:top w:val="single" w:color="000000" w:sz="4" w:space="0"/>
              <w:left w:val="single" w:color="000000" w:sz="4" w:space="0"/>
              <w:bottom w:val="single" w:color="000000" w:sz="4" w:space="0"/>
              <w:right w:val="single" w:color="000000" w:sz="4" w:space="0"/>
            </w:tcBorders>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系统采用的是脱酸技术。材料选用优质钢材，不易腐蚀，塔表温度略高室温，6年不被气体腐蚀穿透。塔体外形Φ1200×3750.</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碱液喷雾通过二流体喷头雾化颗粒达5μ，雾化后的碱液喷入脱硫器和含硫烟气充分混合反应进行脱硫，由于雾化碱液颗粒细，用量每小时约16KG，充分被烟气温度吸收而无废水产生。</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石灰粉喷洒系统主要有石灰粉储存罐，流量调节阀，螺旋铰刀、自动添加摆线减速机构组成，用量5.3KG/h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双管旋风除尘器</w:t>
            </w:r>
          </w:p>
        </w:tc>
        <w:tc>
          <w:tcPr>
            <w:tcW w:w="7354" w:type="dxa"/>
            <w:gridSpan w:val="2"/>
            <w:tcBorders>
              <w:top w:val="single" w:color="000000" w:sz="4" w:space="0"/>
              <w:left w:val="single" w:color="000000" w:sz="4" w:space="0"/>
              <w:bottom w:val="single" w:color="000000" w:sz="4" w:space="0"/>
              <w:right w:val="single" w:color="000000" w:sz="4" w:space="0"/>
            </w:tcBorders>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双管旋风外形L1840×W940×H3750采用优质钢材制作，外形结构美观，焊接平整，能去除烟气中50μ以上的粉尘和火星，无二次吸尘现象，底部装有集灰桶，拉开清灰门随时可清灰。表面温度＜50℃，使用时间6年以上。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4.1</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活性炭喷洒及吸附装置</w:t>
            </w:r>
          </w:p>
        </w:tc>
        <w:tc>
          <w:tcPr>
            <w:tcW w:w="7354" w:type="dxa"/>
            <w:gridSpan w:val="2"/>
            <w:tcBorders>
              <w:top w:val="single" w:color="000000" w:sz="4" w:space="0"/>
              <w:left w:val="single" w:color="000000" w:sz="4" w:space="0"/>
              <w:bottom w:val="single" w:color="000000" w:sz="4" w:space="0"/>
              <w:right w:val="single" w:color="000000" w:sz="4" w:space="0"/>
            </w:tcBorders>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用活性炭喷洒和吸附方式能去除烟气中的二噁英。使其排放质量浓度≤0.1ngTE/m³，二噁英化合物及重金属去除率达95%以上，该装置由活性炭储存罐，摆线减速机自动添加机构等组成，用量每小时1-2KG，装有活性炭添加平台，更换迅速方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5.1</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旁通阀</w:t>
            </w:r>
          </w:p>
        </w:tc>
        <w:tc>
          <w:tcPr>
            <w:tcW w:w="7354" w:type="dxa"/>
            <w:gridSpan w:val="2"/>
            <w:tcBorders>
              <w:top w:val="single" w:color="000000" w:sz="4" w:space="0"/>
              <w:left w:val="single" w:color="000000" w:sz="4" w:space="0"/>
              <w:bottom w:val="single" w:color="000000" w:sz="4" w:space="0"/>
              <w:right w:val="single" w:color="000000" w:sz="4" w:space="0"/>
            </w:tcBorders>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规格Φ500、气动控制、启闭迅速、零泄漏、布袋超温自动转换，优质钢材制作耐温无卡阻。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布袋除尘器</w:t>
            </w:r>
          </w:p>
        </w:tc>
        <w:tc>
          <w:tcPr>
            <w:tcW w:w="7354" w:type="dxa"/>
            <w:gridSpan w:val="2"/>
            <w:tcBorders>
              <w:top w:val="single" w:color="000000" w:sz="4" w:space="0"/>
              <w:left w:val="single" w:color="000000" w:sz="4" w:space="0"/>
              <w:bottom w:val="single" w:color="000000" w:sz="4" w:space="0"/>
              <w:right w:val="single" w:color="000000" w:sz="4" w:space="0"/>
            </w:tcBorders>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应用先进技术自主生产加工的布袋除尘器由上箱体、支架、风室、安全护栏、检修人孔，龙骨、覆膜高温滤袋、收尘器、电磁脉冲、清灰装置、清灰程控箱组成。设计结构新颖。除尘效率99%，过滤面积180㎡，清灰压力4kg/cm2，过滤流速≤1.2m/s，L2500×W3800×6600，采用优质碳钢材质制作，箱体经保温防结雾处理，表面温度略高室温，配装不锈钢进口气动阀和旁路管道，以便应急备用。耐温耐酸碱性能优良，数量180条，Φ133×2250，使用寿命达二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7.1</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变频引风机</w:t>
            </w:r>
          </w:p>
        </w:tc>
        <w:tc>
          <w:tcPr>
            <w:tcW w:w="7354" w:type="dxa"/>
            <w:gridSpan w:val="2"/>
            <w:tcBorders>
              <w:top w:val="single" w:color="000000" w:sz="4" w:space="0"/>
              <w:left w:val="single" w:color="000000" w:sz="4" w:space="0"/>
              <w:bottom w:val="single" w:color="000000" w:sz="4" w:space="0"/>
              <w:right w:val="single" w:color="000000" w:sz="4" w:space="0"/>
            </w:tcBorders>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功率30KW，变频器控制调节负压，灵敏度高，空炉负压-300Pa以上，运转平稳，有减震装置和清灰门。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8.1</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排放引射</w:t>
            </w:r>
          </w:p>
        </w:tc>
        <w:tc>
          <w:tcPr>
            <w:tcW w:w="7354" w:type="dxa"/>
            <w:gridSpan w:val="2"/>
            <w:tcBorders>
              <w:top w:val="single" w:color="000000" w:sz="4" w:space="0"/>
              <w:left w:val="single" w:color="000000" w:sz="4" w:space="0"/>
              <w:bottom w:val="single" w:color="000000" w:sz="4" w:space="0"/>
              <w:right w:val="single" w:color="000000" w:sz="4" w:space="0"/>
            </w:tcBorders>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高度在8米以上，优质钢材制作，检测口高3米，工作时引射口远近都看不见烟气。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9.1</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螺杆空压机</w:t>
            </w:r>
          </w:p>
        </w:tc>
        <w:tc>
          <w:tcPr>
            <w:tcW w:w="7354" w:type="dxa"/>
            <w:gridSpan w:val="2"/>
            <w:tcBorders>
              <w:top w:val="single" w:color="000000" w:sz="4" w:space="0"/>
              <w:left w:val="single" w:color="000000" w:sz="4" w:space="0"/>
              <w:bottom w:val="single" w:color="000000" w:sz="4" w:space="0"/>
              <w:right w:val="single" w:color="000000" w:sz="4" w:space="0"/>
            </w:tcBorders>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选用知名品牌螺杆空压机，全自动控制，一天只需开关一次，噪音小，运行平稳、自动报警、功率11-18.5KW、气压0.7-0.8MPa。流量2.6--3.2m³/h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10.1</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储气罐</w:t>
            </w:r>
          </w:p>
        </w:tc>
        <w:tc>
          <w:tcPr>
            <w:tcW w:w="7354" w:type="dxa"/>
            <w:gridSpan w:val="2"/>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容积1m³，承压1MPa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11.1</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油水分离器</w:t>
            </w:r>
          </w:p>
        </w:tc>
        <w:tc>
          <w:tcPr>
            <w:tcW w:w="7354" w:type="dxa"/>
            <w:gridSpan w:val="2"/>
            <w:tcBorders>
              <w:top w:val="single" w:color="000000" w:sz="4" w:space="0"/>
              <w:left w:val="single" w:color="000000" w:sz="4" w:space="0"/>
              <w:bottom w:val="single" w:color="000000" w:sz="4" w:space="0"/>
              <w:right w:val="single" w:color="000000" w:sz="4" w:space="0"/>
            </w:tcBorders>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油水分离器为立式能把压缩空气中的水分和油自动分离而使压缩空气净化保护布袋。流量2.6-3.2m³/h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11.2</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干燥机</w:t>
            </w:r>
          </w:p>
        </w:tc>
        <w:tc>
          <w:tcPr>
            <w:tcW w:w="7354" w:type="dxa"/>
            <w:gridSpan w:val="2"/>
            <w:tcBorders>
              <w:top w:val="single" w:color="000000" w:sz="4" w:space="0"/>
              <w:left w:val="single" w:color="000000" w:sz="4" w:space="0"/>
              <w:bottom w:val="single" w:color="000000" w:sz="4" w:space="0"/>
              <w:right w:val="single" w:color="000000" w:sz="4" w:space="0"/>
            </w:tcBorders>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风冷式干燥机，功率1.1KW，流量2.6-3.2m³/h,通过风冷再次把压缩空气中的水分烘干保证布袋干燥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11.3</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自动化电器控制</w:t>
            </w:r>
          </w:p>
        </w:tc>
        <w:tc>
          <w:tcPr>
            <w:tcW w:w="7354" w:type="dxa"/>
            <w:gridSpan w:val="2"/>
            <w:tcBorders>
              <w:top w:val="single" w:color="000000" w:sz="4" w:space="0"/>
              <w:left w:val="single" w:color="000000" w:sz="4" w:space="0"/>
              <w:bottom w:val="single" w:color="000000" w:sz="4" w:space="0"/>
              <w:right w:val="single" w:color="000000" w:sz="4" w:space="0"/>
            </w:tcBorders>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1、具有与火化机一体化操作功能；</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2、触摸显示屏选用知名品牌10寸真彩，PLC功能模块选用知名品牌进行程序控制，故障自动诊断报警，触摸屏显示运行参数；</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3、低压电器元件选用知名品牌产品，经久耐用，故障率非常低；</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4、电脑操控有自动、手动控制方式，可随时切换。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11.4</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总功率</w:t>
            </w:r>
          </w:p>
        </w:tc>
        <w:tc>
          <w:tcPr>
            <w:tcW w:w="7354" w:type="dxa"/>
            <w:gridSpan w:val="2"/>
            <w:tcBorders>
              <w:top w:val="single" w:color="000000" w:sz="4" w:space="0"/>
              <w:left w:val="single" w:color="000000" w:sz="4" w:space="0"/>
              <w:bottom w:val="single" w:color="000000" w:sz="4" w:space="0"/>
              <w:right w:val="single" w:color="000000" w:sz="4" w:space="0"/>
            </w:tcBorders>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小于或等于35KW。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使用寿命</w:t>
            </w:r>
          </w:p>
        </w:tc>
        <w:tc>
          <w:tcPr>
            <w:tcW w:w="7354" w:type="dxa"/>
            <w:gridSpan w:val="2"/>
            <w:tcBorders>
              <w:top w:val="single" w:color="000000" w:sz="4" w:space="0"/>
              <w:left w:val="single" w:color="000000" w:sz="4" w:space="0"/>
              <w:bottom w:val="single" w:color="000000" w:sz="4" w:space="0"/>
              <w:right w:val="single" w:color="000000" w:sz="4" w:space="0"/>
            </w:tcBorders>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正常使用寿命10年。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47"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土建施工</w:t>
            </w:r>
          </w:p>
        </w:tc>
        <w:tc>
          <w:tcPr>
            <w:tcW w:w="7354" w:type="dxa"/>
            <w:gridSpan w:val="2"/>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通风管道挖槽，深2米宽1.5米长约10米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47"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混凝土浇灌</w:t>
            </w:r>
          </w:p>
        </w:tc>
        <w:tc>
          <w:tcPr>
            <w:tcW w:w="7354" w:type="dxa"/>
            <w:gridSpan w:val="2"/>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浇灌通风管道大约30立方米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47"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6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防火棉</w:t>
            </w:r>
          </w:p>
        </w:tc>
        <w:tc>
          <w:tcPr>
            <w:tcW w:w="7354" w:type="dxa"/>
            <w:gridSpan w:val="2"/>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需在通风管道两侧填放防火棉</w:t>
            </w:r>
          </w:p>
        </w:tc>
      </w:tr>
    </w:tbl>
    <w:p>
      <w:pPr>
        <w:pStyle w:val="2"/>
        <w:spacing w:line="240" w:lineRule="auto"/>
        <w:rPr>
          <w:rFonts w:hint="eastAsia" w:asciiTheme="minorEastAsia" w:hAnsiTheme="minorEastAsia" w:eastAsiaTheme="minorEastAsia" w:cstheme="minorEastAsia"/>
          <w:color w:val="auto"/>
          <w:sz w:val="21"/>
          <w:szCs w:val="21"/>
        </w:rPr>
      </w:pPr>
    </w:p>
    <w:p>
      <w:pPr>
        <w:pStyle w:val="2"/>
        <w:spacing w:line="240" w:lineRule="auto"/>
        <w:jc w:val="cente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遗体存放室设备技术参数及要求</w:t>
      </w:r>
    </w:p>
    <w:tbl>
      <w:tblPr>
        <w:tblStyle w:val="27"/>
        <w:tblpPr w:leftFromText="180" w:rightFromText="180" w:vertAnchor="text" w:horzAnchor="page" w:tblpX="758" w:tblpY="447"/>
        <w:tblOverlap w:val="never"/>
        <w:tblW w:w="101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735"/>
        <w:gridCol w:w="1245"/>
        <w:gridCol w:w="7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11" w:type="dxa"/>
            <w:tcBorders>
              <w:top w:val="single" w:color="000000" w:sz="4" w:space="0"/>
              <w:left w:val="single" w:color="000000" w:sz="4" w:space="0"/>
              <w:bottom w:val="single" w:color="000000" w:sz="4" w:space="0"/>
              <w:right w:val="single" w:color="000000" w:sz="4" w:space="0"/>
            </w:tcBorders>
            <w:shd w:val="clear" w:color="auto" w:fill="E6E6E6"/>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设备名称</w:t>
            </w:r>
          </w:p>
        </w:tc>
        <w:tc>
          <w:tcPr>
            <w:tcW w:w="9375" w:type="dxa"/>
            <w:gridSpan w:val="3"/>
            <w:tcBorders>
              <w:top w:val="single" w:color="000000" w:sz="4" w:space="0"/>
              <w:left w:val="single" w:color="000000" w:sz="4" w:space="0"/>
              <w:bottom w:val="single" w:color="000000" w:sz="4" w:space="0"/>
              <w:right w:val="single" w:color="000000" w:sz="4" w:space="0"/>
            </w:tcBorders>
            <w:shd w:val="clear" w:color="auto" w:fill="E6E6E6"/>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11" w:type="dxa"/>
            <w:vMerge w:val="restar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门</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太</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平</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柜</w:t>
            </w:r>
          </w:p>
        </w:tc>
        <w:tc>
          <w:tcPr>
            <w:tcW w:w="735" w:type="dxa"/>
            <w:tcBorders>
              <w:top w:val="single" w:color="000000" w:sz="4" w:space="0"/>
              <w:left w:val="single" w:color="000000" w:sz="4" w:space="0"/>
              <w:bottom w:val="single" w:color="000000" w:sz="4" w:space="0"/>
              <w:right w:val="single" w:color="000000" w:sz="4" w:space="0"/>
            </w:tcBorders>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1245" w:type="dxa"/>
            <w:tcBorders>
              <w:top w:val="single" w:color="000000" w:sz="4" w:space="0"/>
              <w:left w:val="single" w:color="000000" w:sz="4" w:space="0"/>
              <w:bottom w:val="single" w:color="000000" w:sz="4" w:space="0"/>
              <w:right w:val="single" w:color="000000" w:sz="4" w:space="0"/>
            </w:tcBorders>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项目内容</w:t>
            </w:r>
          </w:p>
        </w:tc>
        <w:tc>
          <w:tcPr>
            <w:tcW w:w="739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 w:hRule="atLeast"/>
        </w:trPr>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24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规格</w:t>
            </w:r>
          </w:p>
        </w:tc>
        <w:tc>
          <w:tcPr>
            <w:tcW w:w="739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外部尺寸（长*宽*高）mm：2871*940*1853</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内部尺寸（长*宽*高）mm：2000*740*1590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 w:hRule="atLeast"/>
        </w:trPr>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24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外墙</w:t>
            </w:r>
          </w:p>
        </w:tc>
        <w:tc>
          <w:tcPr>
            <w:tcW w:w="739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304不锈钢，厚度0.7mm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 w:hRule="atLeast"/>
        </w:trPr>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124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内胆</w:t>
            </w:r>
          </w:p>
        </w:tc>
        <w:tc>
          <w:tcPr>
            <w:tcW w:w="739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经氧化处理冰柜专用轧花铝板，厚度0.6mm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 w:hRule="atLeast"/>
        </w:trPr>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124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门洞</w:t>
            </w:r>
          </w:p>
        </w:tc>
        <w:tc>
          <w:tcPr>
            <w:tcW w:w="739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640*440（mm）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 w:hRule="atLeast"/>
        </w:trPr>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124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柜门</w:t>
            </w:r>
          </w:p>
        </w:tc>
        <w:tc>
          <w:tcPr>
            <w:tcW w:w="739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凸装门</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外表面材料：304无指纹板，厚度0.8mm</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内部材料：PS板一次吸塑成型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 w:hRule="atLeast"/>
        </w:trPr>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124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框架</w:t>
            </w:r>
          </w:p>
        </w:tc>
        <w:tc>
          <w:tcPr>
            <w:tcW w:w="739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不绣钢方管，规格25*25*0.7（mm）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 w:hRule="atLeast"/>
        </w:trPr>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p>
        </w:tc>
        <w:tc>
          <w:tcPr>
            <w:tcW w:w="124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托板</w:t>
            </w:r>
          </w:p>
        </w:tc>
        <w:tc>
          <w:tcPr>
            <w:tcW w:w="739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外形尺寸（长*宽）mm:1970*625</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材料：不锈钢管，规格25*25*0.7（mm）</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不锈钢板，厚度0.7mm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 w:hRule="atLeast"/>
        </w:trPr>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c>
          <w:tcPr>
            <w:tcW w:w="124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助力导轮</w:t>
            </w:r>
          </w:p>
        </w:tc>
        <w:tc>
          <w:tcPr>
            <w:tcW w:w="739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工业耐磨尼龙，规格φ30*30（mm）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 w:hRule="atLeast"/>
        </w:trPr>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p>
        </w:tc>
        <w:tc>
          <w:tcPr>
            <w:tcW w:w="124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制冷方式</w:t>
            </w:r>
          </w:p>
        </w:tc>
        <w:tc>
          <w:tcPr>
            <w:tcW w:w="739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直冷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124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蒸发器</w:t>
            </w:r>
          </w:p>
        </w:tc>
        <w:tc>
          <w:tcPr>
            <w:tcW w:w="739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直冷内藏式紫铜盘管蒸发器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 w:hRule="atLeast"/>
        </w:trPr>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p>
        </w:tc>
        <w:tc>
          <w:tcPr>
            <w:tcW w:w="124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冷凝器</w:t>
            </w:r>
          </w:p>
        </w:tc>
        <w:tc>
          <w:tcPr>
            <w:tcW w:w="739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风冷式翅片紫铜盘管冷凝器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 w:hRule="atLeast"/>
        </w:trPr>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p>
        </w:tc>
        <w:tc>
          <w:tcPr>
            <w:tcW w:w="124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保温层</w:t>
            </w:r>
          </w:p>
        </w:tc>
        <w:tc>
          <w:tcPr>
            <w:tcW w:w="739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聚氨酯整体高压回温发泡，密度50Kg/m3，</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厚度100mm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 w:hRule="atLeast"/>
        </w:trPr>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p>
        </w:tc>
        <w:tc>
          <w:tcPr>
            <w:tcW w:w="124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额定温度</w:t>
            </w:r>
          </w:p>
        </w:tc>
        <w:tc>
          <w:tcPr>
            <w:tcW w:w="739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 w:hRule="atLeast"/>
        </w:trPr>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p>
        </w:tc>
        <w:tc>
          <w:tcPr>
            <w:tcW w:w="124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电源</w:t>
            </w:r>
          </w:p>
        </w:tc>
        <w:tc>
          <w:tcPr>
            <w:tcW w:w="739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220V/50HZ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 w:hRule="atLeast"/>
        </w:trPr>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124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输入功率</w:t>
            </w:r>
          </w:p>
        </w:tc>
        <w:tc>
          <w:tcPr>
            <w:tcW w:w="739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1154W（首次运行2308W）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 w:hRule="atLeast"/>
        </w:trPr>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p>
        </w:tc>
        <w:tc>
          <w:tcPr>
            <w:tcW w:w="124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机组形式</w:t>
            </w:r>
          </w:p>
        </w:tc>
        <w:tc>
          <w:tcPr>
            <w:tcW w:w="739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全封闭进口压缩机4台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 w:hRule="atLeast"/>
        </w:trPr>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w:t>
            </w:r>
          </w:p>
        </w:tc>
        <w:tc>
          <w:tcPr>
            <w:tcW w:w="124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制冷剂</w:t>
            </w:r>
          </w:p>
        </w:tc>
        <w:tc>
          <w:tcPr>
            <w:tcW w:w="739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无氟绿色环保制冷剂R404a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 w:hRule="atLeast"/>
        </w:trPr>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p>
        </w:tc>
        <w:tc>
          <w:tcPr>
            <w:tcW w:w="124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温度控制</w:t>
            </w:r>
          </w:p>
        </w:tc>
        <w:tc>
          <w:tcPr>
            <w:tcW w:w="739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微电脑全自动控制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 w:hRule="atLeast"/>
        </w:trPr>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w:t>
            </w:r>
          </w:p>
        </w:tc>
        <w:tc>
          <w:tcPr>
            <w:tcW w:w="124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双系统报警功能</w:t>
            </w:r>
          </w:p>
        </w:tc>
        <w:tc>
          <w:tcPr>
            <w:tcW w:w="739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双系统功能。首次通电，两系统在正常延时后同时工作；首次运行（开机和停机）后，两系统交替工作；当一系统故障，立即报警，并自动跳入另一系统正常运行；根据环境温度变化实现三种模式自动运行。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 w:hRule="atLeast"/>
        </w:trPr>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p>
        </w:tc>
        <w:tc>
          <w:tcPr>
            <w:tcW w:w="124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基脚架</w:t>
            </w:r>
          </w:p>
        </w:tc>
        <w:tc>
          <w:tcPr>
            <w:tcW w:w="739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槽钢，外表面镀锌处理，规格63*40（mm）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 w:hRule="atLeast"/>
        </w:trPr>
        <w:tc>
          <w:tcPr>
            <w:tcW w:w="81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液压升降车</w:t>
            </w:r>
          </w:p>
        </w:tc>
        <w:tc>
          <w:tcPr>
            <w:tcW w:w="9375" w:type="dxa"/>
            <w:gridSpan w:val="3"/>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升降车均使用不锈钢型材管制作，承载部分的尺寸为2000*630（㎜），升起高度1350㎜，折叠状态下的高度（最低位置起升重量≥150㎏）为500㎜。电动升降车总长2500㎜；手动升降车包括脚踏2200㎜。总宽为680㎜，（注：根据液压升降系统的不同，长度会变动。）</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升降部分采用50*25*1.3㎜方管制作，最上架安装滚动拉杆，进出抬尸板轻松自如。</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3L液压升降系统，H3G液压缸，缸体外径50㎜，伸缩杆直径Φ35㎜，行程400㎜。</w:t>
            </w:r>
          </w:p>
        </w:tc>
      </w:tr>
    </w:tbl>
    <w:p>
      <w:pPr>
        <w:pStyle w:val="2"/>
        <w:spacing w:line="240" w:lineRule="auto"/>
        <w:jc w:val="center"/>
        <w:rPr>
          <w:rFonts w:hint="eastAsia" w:asciiTheme="minorEastAsia" w:hAnsiTheme="minorEastAsia" w:eastAsiaTheme="minorEastAsia" w:cstheme="minorEastAsia"/>
          <w:color w:val="auto"/>
          <w:sz w:val="21"/>
          <w:szCs w:val="21"/>
        </w:rPr>
      </w:pPr>
    </w:p>
    <w:p>
      <w:pPr>
        <w:pStyle w:val="2"/>
        <w:spacing w:line="240" w:lineRule="auto"/>
        <w:jc w:val="cente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悼念厅设备技术参数及要求</w:t>
      </w:r>
    </w:p>
    <w:tbl>
      <w:tblPr>
        <w:tblStyle w:val="27"/>
        <w:tblpPr w:leftFromText="180" w:rightFromText="180" w:vertAnchor="text" w:horzAnchor="page" w:tblpX="629" w:tblpY="447"/>
        <w:tblOverlap w:val="never"/>
        <w:tblW w:w="102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5"/>
        <w:gridCol w:w="555"/>
        <w:gridCol w:w="1391"/>
        <w:gridCol w:w="6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515" w:type="dxa"/>
            <w:tcBorders>
              <w:top w:val="single" w:color="000000" w:sz="4" w:space="0"/>
              <w:left w:val="single" w:color="000000" w:sz="4" w:space="0"/>
              <w:bottom w:val="single" w:color="000000" w:sz="4" w:space="0"/>
              <w:right w:val="single" w:color="000000" w:sz="4" w:space="0"/>
            </w:tcBorders>
            <w:shd w:val="clear" w:color="auto" w:fill="DBEEF3"/>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设备名称</w:t>
            </w:r>
          </w:p>
        </w:tc>
        <w:tc>
          <w:tcPr>
            <w:tcW w:w="8700" w:type="dxa"/>
            <w:gridSpan w:val="3"/>
            <w:tcBorders>
              <w:top w:val="single" w:color="000000" w:sz="4" w:space="0"/>
              <w:left w:val="single" w:color="000000" w:sz="4" w:space="0"/>
              <w:bottom w:val="single" w:color="000000" w:sz="4" w:space="0"/>
              <w:right w:val="single" w:color="000000" w:sz="4" w:space="0"/>
            </w:tcBorders>
            <w:shd w:val="clear" w:color="auto" w:fill="DBEEF3"/>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大</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型</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豪</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华</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瞻</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仰</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台</w:t>
            </w: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规格</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外形尺寸（长*宽*高）mm：5300*4200*1140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棺体</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外部尺寸（长*宽*高）mm：2300*1000*1140</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内部尺寸（长*宽*高）mm：2100*800*375</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外部材料：钛金板，厚度0.8mm</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内部材料：经氧化处理冰柜专用轧花铝板，</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厚度0.6mm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棺罩</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外形尺寸（长*宽*高）mm：2300*1000*390</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顶部材料：PC透明板一次吸塑成型双层罩，</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厚度4mm</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其它材料：钛金板，厚度0.9mm</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不锈钢管，规格80*20*1.2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开罩方式</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自动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台布</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单层高度：176mm</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表面材料：钛金板</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内部骨架：不锈钢管，规格25*25*0.7</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前台布开启方式：自动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宋体" w:hAnsi="宋体" w:eastAsia="宋体" w:cs="宋体"/>
                <w:color w:val="auto"/>
                <w:sz w:val="21"/>
                <w:szCs w:val="21"/>
              </w:rPr>
              <w:t>★</w:t>
            </w:r>
            <w:r>
              <w:rPr>
                <w:rFonts w:hint="eastAsia" w:asciiTheme="minorEastAsia" w:hAnsiTheme="minorEastAsia" w:eastAsiaTheme="minorEastAsia" w:cstheme="minorEastAsia"/>
                <w:color w:val="auto"/>
                <w:sz w:val="21"/>
                <w:szCs w:val="21"/>
              </w:rPr>
              <w:t>围栏</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材料：钛金中华柱、亚克力喷画，实现柱体发光。</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注：</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须</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提供</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中华柱体发光</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演示。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托板</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外形尺寸（长*宽）mm:1970*625</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材料：不锈钢管，规格25*25*0.7（mm）</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不锈钢板，厚度0.7mm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托板架</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材料：不锈钢管，规格30*15*1.5</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托板架升降与棺罩同步开启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助力导轮</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材质：铝质，规格φ30*30（mm）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制冷方式</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直冷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蒸发器</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直冷内藏式紫铜盘管蒸发器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冷凝器</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风冷式翅片紫铜盘管冷凝器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保温层</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聚氨酯整体高压回温发泡，密度50Kg/m3，</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厚度100mm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额定温度</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电源</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220V/50HZ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输入功率</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1292W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机组形式</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全封闭进口压缩机2台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制冷剂</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无氟绿色环保制冷剂R404a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温度控制</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微电脑全自动控制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功能</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双系统运行，同开同停；台布开关与棺罩升降遥控控制；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型</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豪</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华</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瞻</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仰</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台</w:t>
            </w: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产品项目</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规格</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外形尺寸（长*宽*高）mm：4200*3500*1140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棺体</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外部尺寸（长*宽*高）mm：2300*1000*1140</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内部尺寸（长*宽*高）mm：2100*800*375</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外部材料：钛金板，厚度0.8mm</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内部材料：经氧化处理冰柜专用轧花铝板，</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厚度0.6mm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棺罩</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外形尺寸（长*宽*高）mm：2300*1000*390</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顶部材料：PC透明板一次吸塑成型双层罩，</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厚度4mm</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其它材料：钛金板，厚度0.9mm</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不锈钢管，规格80*20*1.2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开罩方式</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自动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台布</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单层高度：176mm</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表面材料：钛金板</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内部骨架：不锈钢管，规格25*25*0.7</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前台布开启方式：自动/手动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围栏</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材料：钛金中华柱、亚克力喷画，实现柱体发光。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托板</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外形尺寸（长*宽）mm:1970*625</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材料：不锈钢管，规格25*25*0.7（mm）</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不锈钢板，厚度0.7mm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托板架</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材料：不锈钢管，规格30*15*1.5</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托板架升降与棺罩同步开启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助力导轮</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材质：铝质，规格φ30*30（mm）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制冷方式</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直冷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蒸发器</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直冷内藏式紫铜盘管蒸发器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冷凝器</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风冷式翅片紫铜盘管冷凝器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保温层</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聚氨酯整体高压回温发泡，密度50Kg/m3</w:t>
            </w:r>
            <w:r>
              <w:rPr>
                <w:rFonts w:hint="eastAsia" w:asciiTheme="minorEastAsia" w:hAnsiTheme="minorEastAsia" w:eastAsiaTheme="minorEastAsia" w:cstheme="minorEastAsia"/>
                <w:color w:val="auto"/>
                <w:sz w:val="21"/>
                <w:szCs w:val="21"/>
                <w:lang w:val="en-US" w:eastAsia="zh-CN"/>
              </w:rPr>
              <w:t>m</w:t>
            </w:r>
            <w:r>
              <w:rPr>
                <w:rFonts w:hint="eastAsia" w:asciiTheme="minorEastAsia" w:hAnsiTheme="minorEastAsia" w:eastAsiaTheme="minorEastAsia" w:cstheme="minorEastAsia"/>
                <w:color w:val="auto"/>
                <w:sz w:val="21"/>
                <w:szCs w:val="21"/>
              </w:rPr>
              <w:t>，</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厚度100mm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额定温度</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电源</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220V/50HZ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输入功率</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1292W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机组形式</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全封闭进口压缩机2台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制冷剂</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无氟绿色环保制冷剂R404a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温度控制</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微电脑全自动控制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功能</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双系统运行，同开同停；台布开关与棺罩升降遥控控制；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普</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通</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型</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瞻</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仰</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台</w:t>
            </w: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产品项目</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规格</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外形尺寸（长*宽*高）mm：4200*3500*1140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棺体</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外部尺寸（长*宽*高）mm：2300*1000*1140</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内部尺寸（长*宽*高）mm：2100*800*375</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外部材料：不锈钢板，厚度0.8mm</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内部材料：经氧化处理冰柜专用轧花铝板，</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厚度0.6mm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棺罩</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外形尺寸（长*宽*高）mm：2300*1000*390</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顶部材料：PC透明板一次吸塑成型双层罩，</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厚度4mm</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其它材料：不锈钢板，厚度0.9mm</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不锈钢管，规格80*20*1.2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开罩方式</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手动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台布</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单层高度：176mm</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表面材料：不锈钢板</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内部骨架：不锈钢管，规格25*25*0.7</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前台布开启方式：手动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围栏</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组合式不锈钢圆管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托板</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外形尺寸（长*宽）mm:1970*625</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材料：不锈钢管，规格25*25*0.7（mm）</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不锈钢板，厚度0.7mm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助力导轮</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工业耐磨尼龙，规格φ30*30（mm）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制冷方式</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直冷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蒸发器</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直冷内藏式紫铜盘管蒸发器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冷凝器</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风冷式翅片紫铜盘管冷凝器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保温层</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聚氨酯整体高压回温发泡，密度50Kg/m3，</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厚度100mm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额定温度</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电源</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220V/50HZ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输入功率</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1292W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机组形式</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全封闭进口压缩机2台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制冷剂</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无氟绿色环保制冷剂R404a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温度控制</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微电脑全自动控制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功能</w:t>
            </w:r>
          </w:p>
        </w:tc>
        <w:tc>
          <w:tcPr>
            <w:tcW w:w="6754"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双系统，同开同停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151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水晶棺</w:t>
            </w:r>
          </w:p>
        </w:tc>
        <w:tc>
          <w:tcPr>
            <w:tcW w:w="8700" w:type="dxa"/>
            <w:gridSpan w:val="3"/>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外壳采用不锈钢板精制而成（常规产品为镀锌板）制冷效果好，温度均匀,</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外形尺寸；L2240*W930*H930外部材料：不锈钢板，厚度0.8mm</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内部材料：经氧化处理冰柜专用轧花铝板，厚度0.8mm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51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跪垫</w:t>
            </w:r>
          </w:p>
        </w:tc>
        <w:tc>
          <w:tcPr>
            <w:tcW w:w="8700" w:type="dxa"/>
            <w:gridSpan w:val="3"/>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1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供桌</w:t>
            </w:r>
          </w:p>
        </w:tc>
        <w:tc>
          <w:tcPr>
            <w:tcW w:w="8700" w:type="dxa"/>
            <w:gridSpan w:val="3"/>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材质：优质不锈钢</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规格：850×360×650mm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51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p>
        </w:tc>
        <w:tc>
          <w:tcPr>
            <w:tcW w:w="8700" w:type="dxa"/>
            <w:gridSpan w:val="3"/>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材质：优质不锈钢</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规格：L2000×W660×H975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515"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p>
        </w:tc>
        <w:tc>
          <w:tcPr>
            <w:tcW w:w="8700" w:type="dxa"/>
            <w:gridSpan w:val="3"/>
            <w:tcBorders>
              <w:top w:val="single" w:color="000000" w:sz="4" w:space="0"/>
              <w:left w:val="single" w:color="000000" w:sz="4" w:space="0"/>
              <w:bottom w:val="single" w:color="000000" w:sz="4" w:space="0"/>
              <w:right w:val="single" w:color="000000" w:sz="4" w:space="0"/>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材质：优质不锈钢</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规格：L2600×W800×H800</w:t>
            </w:r>
          </w:p>
        </w:tc>
      </w:tr>
    </w:tbl>
    <w:tbl>
      <w:tblPr>
        <w:tblStyle w:val="27"/>
        <w:tblpPr w:leftFromText="180" w:rightFromText="180" w:vertAnchor="page" w:horzAnchor="page" w:tblpX="571" w:tblpY="2031"/>
        <w:tblW w:w="102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3"/>
        <w:gridCol w:w="634"/>
        <w:gridCol w:w="2434"/>
        <w:gridCol w:w="1754"/>
        <w:gridCol w:w="1446"/>
        <w:gridCol w:w="2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597" w:type="dxa"/>
            <w:gridSpan w:val="2"/>
            <w:tcBorders>
              <w:tl2br w:val="nil"/>
              <w:tr2bl w:val="nil"/>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规格</w:t>
            </w:r>
          </w:p>
        </w:tc>
        <w:tc>
          <w:tcPr>
            <w:tcW w:w="8630" w:type="dxa"/>
            <w:gridSpan w:val="4"/>
            <w:tcBorders>
              <w:tl2br w:val="nil"/>
              <w:tr2bl w:val="nil"/>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单穴外径尺寸：宽400*高300*深300mm    单穴内径尺寸：宽370*高270*深300mm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1597" w:type="dxa"/>
            <w:gridSpan w:val="2"/>
            <w:vMerge w:val="restart"/>
            <w:tcBorders>
              <w:tl2br w:val="nil"/>
              <w:tr2bl w:val="nil"/>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箱体</w:t>
            </w:r>
          </w:p>
          <w:p>
            <w:pPr>
              <w:pStyle w:val="2"/>
              <w:spacing w:line="240" w:lineRule="auto"/>
              <w:jc w:val="center"/>
              <w:rPr>
                <w:rFonts w:hint="eastAsia" w:asciiTheme="minorEastAsia" w:hAnsiTheme="minorEastAsia" w:eastAsiaTheme="minorEastAsia" w:cstheme="minorEastAsia"/>
                <w:color w:val="auto"/>
                <w:sz w:val="21"/>
                <w:szCs w:val="21"/>
              </w:rPr>
            </w:pPr>
          </w:p>
          <w:p>
            <w:pPr>
              <w:pStyle w:val="2"/>
              <w:spacing w:line="240" w:lineRule="auto"/>
              <w:jc w:val="center"/>
              <w:rPr>
                <w:rFonts w:hint="eastAsia" w:asciiTheme="minorEastAsia" w:hAnsiTheme="minorEastAsia" w:eastAsiaTheme="minorEastAsia" w:cstheme="minorEastAsia"/>
                <w:color w:val="auto"/>
                <w:sz w:val="21"/>
                <w:szCs w:val="21"/>
              </w:rPr>
            </w:pPr>
          </w:p>
        </w:tc>
        <w:tc>
          <w:tcPr>
            <w:tcW w:w="4188" w:type="dxa"/>
            <w:gridSpan w:val="2"/>
            <w:tcBorders>
              <w:tl2br w:val="nil"/>
              <w:tr2bl w:val="nil"/>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立板成型总厚度15mm</w:t>
            </w:r>
          </w:p>
        </w:tc>
        <w:tc>
          <w:tcPr>
            <w:tcW w:w="4442" w:type="dxa"/>
            <w:gridSpan w:val="2"/>
            <w:vMerge w:val="restart"/>
            <w:tcBorders>
              <w:tl2br w:val="nil"/>
              <w:tr2bl w:val="nil"/>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采用优质冷轧镀锌板，板材厚度为0.6mm，</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表面静电粉沫喷涂，颜色为金黄色，50年不生锈不变形。箱体内压印“福”“寿”图案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597" w:type="dxa"/>
            <w:gridSpan w:val="2"/>
            <w:vMerge w:val="continue"/>
            <w:tcBorders>
              <w:tl2br w:val="nil"/>
              <w:tr2bl w:val="nil"/>
            </w:tcBorders>
            <w:vAlign w:val="center"/>
          </w:tcPr>
          <w:p>
            <w:pPr>
              <w:pStyle w:val="2"/>
              <w:spacing w:line="240" w:lineRule="auto"/>
              <w:rPr>
                <w:rFonts w:hint="eastAsia" w:asciiTheme="minorEastAsia" w:hAnsiTheme="minorEastAsia" w:eastAsiaTheme="minorEastAsia" w:cstheme="minorEastAsia"/>
                <w:color w:val="auto"/>
                <w:sz w:val="21"/>
                <w:szCs w:val="21"/>
              </w:rPr>
            </w:pPr>
          </w:p>
        </w:tc>
        <w:tc>
          <w:tcPr>
            <w:tcW w:w="4188" w:type="dxa"/>
            <w:gridSpan w:val="2"/>
            <w:tcBorders>
              <w:tl2br w:val="nil"/>
              <w:tr2bl w:val="nil"/>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承重板成型总厚度30mm</w:t>
            </w:r>
          </w:p>
        </w:tc>
        <w:tc>
          <w:tcPr>
            <w:tcW w:w="4442" w:type="dxa"/>
            <w:gridSpan w:val="2"/>
            <w:vMerge w:val="continue"/>
            <w:tcBorders>
              <w:tl2br w:val="nil"/>
              <w:tr2bl w:val="nil"/>
            </w:tcBorders>
            <w:vAlign w:val="center"/>
          </w:tcPr>
          <w:p>
            <w:pPr>
              <w:pStyle w:val="2"/>
              <w:spacing w:line="240" w:lineRule="auto"/>
              <w:rPr>
                <w:rFonts w:hint="eastAsia" w:asciiTheme="minorEastAsia" w:hAnsiTheme="minorEastAsia" w:eastAsiaTheme="minorEastAsia" w:cstheme="minorEastAsia"/>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0227" w:type="dxa"/>
            <w:gridSpan w:val="6"/>
            <w:tcBorders>
              <w:tl2br w:val="nil"/>
              <w:tr2bl w:val="nil"/>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门板结构及用材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0227" w:type="dxa"/>
            <w:gridSpan w:val="6"/>
            <w:tcBorders>
              <w:tl2br w:val="nil"/>
              <w:tr2bl w:val="nil"/>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门板开门方式：采用下翻门方式，便于供奉供品。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597" w:type="dxa"/>
            <w:gridSpan w:val="2"/>
            <w:vMerge w:val="restart"/>
            <w:tcBorders>
              <w:tl2br w:val="nil"/>
              <w:tr2bl w:val="nil"/>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面板</w:t>
            </w:r>
          </w:p>
        </w:tc>
        <w:tc>
          <w:tcPr>
            <w:tcW w:w="2434" w:type="dxa"/>
            <w:tcBorders>
              <w:tl2br w:val="nil"/>
              <w:tr2bl w:val="nil"/>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门面板采用国标纯铝板厚0.8mm一体压印成型，成型总厚度为18mm.</w:t>
            </w:r>
          </w:p>
        </w:tc>
        <w:tc>
          <w:tcPr>
            <w:tcW w:w="3200" w:type="dxa"/>
            <w:gridSpan w:val="2"/>
            <w:tcBorders>
              <w:tl2br w:val="nil"/>
              <w:tr2bl w:val="nil"/>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门面板为一体压印浮雕图案，四周采用专用连接装置，防止人员碰伤及划伤</w:t>
            </w:r>
          </w:p>
        </w:tc>
        <w:tc>
          <w:tcPr>
            <w:tcW w:w="2996" w:type="dxa"/>
            <w:vMerge w:val="restart"/>
            <w:tcBorders>
              <w:tl2br w:val="nil"/>
              <w:tr2bl w:val="nil"/>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表面进行纳米喷镀泰国金色处理，增强了面板的抗划力和抗氧化力；抗拉力不小于220N/㎜²，50年内不褪色不变形。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1597" w:type="dxa"/>
            <w:gridSpan w:val="2"/>
            <w:vMerge w:val="continue"/>
            <w:tcBorders>
              <w:tl2br w:val="nil"/>
              <w:tr2bl w:val="nil"/>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p>
        </w:tc>
        <w:tc>
          <w:tcPr>
            <w:tcW w:w="2434" w:type="dxa"/>
            <w:tcBorders>
              <w:tl2br w:val="nil"/>
              <w:tr2bl w:val="nil"/>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门背板采用优质冷轧镀锌板厚0.6mm</w:t>
            </w:r>
          </w:p>
        </w:tc>
        <w:tc>
          <w:tcPr>
            <w:tcW w:w="3200" w:type="dxa"/>
            <w:gridSpan w:val="2"/>
            <w:tcBorders>
              <w:tl2br w:val="nil"/>
              <w:tr2bl w:val="nil"/>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背板四周采用专用卡扣装置，整体不使用螺丝和铆钉固定</w:t>
            </w:r>
          </w:p>
        </w:tc>
        <w:tc>
          <w:tcPr>
            <w:tcW w:w="2996" w:type="dxa"/>
            <w:vMerge w:val="continue"/>
            <w:tcBorders>
              <w:tl2br w:val="nil"/>
              <w:tr2bl w:val="nil"/>
            </w:tcBorders>
            <w:vAlign w:val="center"/>
          </w:tcPr>
          <w:p>
            <w:pPr>
              <w:pStyle w:val="2"/>
              <w:spacing w:line="240" w:lineRule="auto"/>
              <w:rPr>
                <w:rFonts w:hint="eastAsia" w:asciiTheme="minorEastAsia" w:hAnsiTheme="minorEastAsia" w:eastAsiaTheme="minorEastAsia" w:cstheme="minorEastAsia"/>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597" w:type="dxa"/>
            <w:gridSpan w:val="2"/>
            <w:tcBorders>
              <w:tl2br w:val="nil"/>
              <w:tr2bl w:val="nil"/>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顶 盖</w:t>
            </w:r>
          </w:p>
        </w:tc>
        <w:tc>
          <w:tcPr>
            <w:tcW w:w="2434" w:type="dxa"/>
            <w:tcBorders>
              <w:tl2br w:val="nil"/>
              <w:tr2bl w:val="nil"/>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高60mm厚0.8mm</w:t>
            </w:r>
          </w:p>
        </w:tc>
        <w:tc>
          <w:tcPr>
            <w:tcW w:w="3200" w:type="dxa"/>
            <w:gridSpan w:val="2"/>
            <w:vMerge w:val="restart"/>
            <w:tcBorders>
              <w:tl2br w:val="nil"/>
              <w:tr2bl w:val="nil"/>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国标6063铝合金</w:t>
            </w:r>
          </w:p>
        </w:tc>
        <w:tc>
          <w:tcPr>
            <w:tcW w:w="2996" w:type="dxa"/>
            <w:vMerge w:val="restart"/>
            <w:tcBorders>
              <w:tl2br w:val="nil"/>
              <w:tr2bl w:val="nil"/>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表面抛光、阳极氧化金砂处理，型材表面增强了抗划力和抗氧化力、抗拉力不小于220N/㎜²．50年内不褪色不变形。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597" w:type="dxa"/>
            <w:gridSpan w:val="2"/>
            <w:tcBorders>
              <w:tl2br w:val="nil"/>
              <w:tr2bl w:val="nil"/>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底 座</w:t>
            </w:r>
          </w:p>
        </w:tc>
        <w:tc>
          <w:tcPr>
            <w:tcW w:w="2434" w:type="dxa"/>
            <w:tcBorders>
              <w:tl2br w:val="nil"/>
              <w:tr2bl w:val="nil"/>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高120mm厚1.0mm</w:t>
            </w:r>
          </w:p>
        </w:tc>
        <w:tc>
          <w:tcPr>
            <w:tcW w:w="3200" w:type="dxa"/>
            <w:gridSpan w:val="2"/>
            <w:vMerge w:val="continue"/>
            <w:tcBorders>
              <w:tl2br w:val="nil"/>
              <w:tr2bl w:val="nil"/>
            </w:tcBorders>
            <w:vAlign w:val="center"/>
          </w:tcPr>
          <w:p>
            <w:pPr>
              <w:pStyle w:val="2"/>
              <w:spacing w:line="240" w:lineRule="auto"/>
              <w:rPr>
                <w:rFonts w:hint="eastAsia" w:asciiTheme="minorEastAsia" w:hAnsiTheme="minorEastAsia" w:eastAsiaTheme="minorEastAsia" w:cstheme="minorEastAsia"/>
                <w:color w:val="auto"/>
                <w:sz w:val="21"/>
                <w:szCs w:val="21"/>
              </w:rPr>
            </w:pPr>
          </w:p>
        </w:tc>
        <w:tc>
          <w:tcPr>
            <w:tcW w:w="2996" w:type="dxa"/>
            <w:vMerge w:val="continue"/>
            <w:tcBorders>
              <w:tl2br w:val="nil"/>
              <w:tr2bl w:val="nil"/>
            </w:tcBorders>
            <w:vAlign w:val="center"/>
          </w:tcPr>
          <w:p>
            <w:pPr>
              <w:pStyle w:val="2"/>
              <w:spacing w:line="240" w:lineRule="auto"/>
              <w:rPr>
                <w:rFonts w:hint="eastAsia" w:asciiTheme="minorEastAsia" w:hAnsiTheme="minorEastAsia" w:eastAsiaTheme="minorEastAsia" w:cstheme="minorEastAsia"/>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597" w:type="dxa"/>
            <w:gridSpan w:val="2"/>
            <w:tcBorders>
              <w:tl2br w:val="nil"/>
              <w:tr2bl w:val="nil"/>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侧板立柱</w:t>
            </w:r>
          </w:p>
        </w:tc>
        <w:tc>
          <w:tcPr>
            <w:tcW w:w="2434" w:type="dxa"/>
            <w:tcBorders>
              <w:tl2br w:val="nil"/>
              <w:tr2bl w:val="nil"/>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厚1.0mm</w:t>
            </w:r>
          </w:p>
        </w:tc>
        <w:tc>
          <w:tcPr>
            <w:tcW w:w="3200" w:type="dxa"/>
            <w:gridSpan w:val="2"/>
            <w:vMerge w:val="continue"/>
            <w:tcBorders>
              <w:tl2br w:val="nil"/>
              <w:tr2bl w:val="nil"/>
            </w:tcBorders>
            <w:vAlign w:val="center"/>
          </w:tcPr>
          <w:p>
            <w:pPr>
              <w:pStyle w:val="2"/>
              <w:spacing w:line="240" w:lineRule="auto"/>
              <w:rPr>
                <w:rFonts w:hint="eastAsia" w:asciiTheme="minorEastAsia" w:hAnsiTheme="minorEastAsia" w:eastAsiaTheme="minorEastAsia" w:cstheme="minorEastAsia"/>
                <w:color w:val="auto"/>
                <w:sz w:val="21"/>
                <w:szCs w:val="21"/>
              </w:rPr>
            </w:pPr>
          </w:p>
        </w:tc>
        <w:tc>
          <w:tcPr>
            <w:tcW w:w="2996" w:type="dxa"/>
            <w:vMerge w:val="continue"/>
            <w:tcBorders>
              <w:tl2br w:val="nil"/>
              <w:tr2bl w:val="nil"/>
            </w:tcBorders>
            <w:vAlign w:val="center"/>
          </w:tcPr>
          <w:p>
            <w:pPr>
              <w:pStyle w:val="2"/>
              <w:spacing w:line="240" w:lineRule="auto"/>
              <w:rPr>
                <w:rFonts w:hint="eastAsia" w:asciiTheme="minorEastAsia" w:hAnsiTheme="minorEastAsia" w:eastAsiaTheme="minorEastAsia" w:cstheme="minorEastAsia"/>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97" w:type="dxa"/>
            <w:gridSpan w:val="2"/>
            <w:tcBorders>
              <w:tl2br w:val="nil"/>
              <w:tr2bl w:val="nil"/>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侧面板</w:t>
            </w:r>
          </w:p>
        </w:tc>
        <w:tc>
          <w:tcPr>
            <w:tcW w:w="2434" w:type="dxa"/>
            <w:tcBorders>
              <w:tl2br w:val="nil"/>
              <w:tr2bl w:val="nil"/>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优质铝塑板</w:t>
            </w:r>
          </w:p>
        </w:tc>
        <w:tc>
          <w:tcPr>
            <w:tcW w:w="3200" w:type="dxa"/>
            <w:gridSpan w:val="2"/>
            <w:tcBorders>
              <w:tl2br w:val="nil"/>
              <w:tr2bl w:val="nil"/>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厚3.8mm</w:t>
            </w:r>
          </w:p>
        </w:tc>
        <w:tc>
          <w:tcPr>
            <w:tcW w:w="2996" w:type="dxa"/>
            <w:tcBorders>
              <w:tl2br w:val="nil"/>
              <w:tr2bl w:val="nil"/>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表面打印立体浮雕彩印图案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1597" w:type="dxa"/>
            <w:gridSpan w:val="2"/>
            <w:tcBorders>
              <w:tl2br w:val="nil"/>
              <w:tr2bl w:val="nil"/>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拉 杆</w:t>
            </w:r>
          </w:p>
        </w:tc>
        <w:tc>
          <w:tcPr>
            <w:tcW w:w="2434" w:type="dxa"/>
            <w:tcBorders>
              <w:tl2br w:val="nil"/>
              <w:tr2bl w:val="nil"/>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304不锈钢折叠拉杆</w:t>
            </w:r>
          </w:p>
        </w:tc>
        <w:tc>
          <w:tcPr>
            <w:tcW w:w="6196" w:type="dxa"/>
            <w:gridSpan w:val="3"/>
            <w:tcBorders>
              <w:tl2br w:val="nil"/>
              <w:tr2bl w:val="nil"/>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耐用性好，50年内不褪色不变形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1597" w:type="dxa"/>
            <w:gridSpan w:val="2"/>
            <w:tcBorders>
              <w:tl2br w:val="nil"/>
              <w:tr2bl w:val="nil"/>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锁具</w:t>
            </w:r>
          </w:p>
        </w:tc>
        <w:tc>
          <w:tcPr>
            <w:tcW w:w="2434" w:type="dxa"/>
            <w:tcBorders>
              <w:tl2br w:val="nil"/>
              <w:tr2bl w:val="nil"/>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钢铜材质</w:t>
            </w:r>
          </w:p>
        </w:tc>
        <w:tc>
          <w:tcPr>
            <w:tcW w:w="6196" w:type="dxa"/>
            <w:gridSpan w:val="3"/>
            <w:tcBorders>
              <w:tl2br w:val="nil"/>
              <w:tr2bl w:val="nil"/>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优质子母锁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1597" w:type="dxa"/>
            <w:gridSpan w:val="2"/>
            <w:tcBorders>
              <w:tl2br w:val="nil"/>
              <w:tr2bl w:val="nil"/>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门轴</w:t>
            </w:r>
          </w:p>
        </w:tc>
        <w:tc>
          <w:tcPr>
            <w:tcW w:w="2434" w:type="dxa"/>
            <w:tcBorders>
              <w:tl2br w:val="nil"/>
              <w:tr2bl w:val="nil"/>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采用黄铜材质</w:t>
            </w:r>
          </w:p>
        </w:tc>
        <w:tc>
          <w:tcPr>
            <w:tcW w:w="6196" w:type="dxa"/>
            <w:gridSpan w:val="3"/>
            <w:tcBorders>
              <w:tl2br w:val="nil"/>
              <w:tr2bl w:val="nil"/>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内部带弹力销安装方便，美观耐用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597" w:type="dxa"/>
            <w:gridSpan w:val="2"/>
            <w:tcBorders>
              <w:tl2br w:val="nil"/>
              <w:tr2bl w:val="nil"/>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顶、底</w:t>
            </w:r>
          </w:p>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连接装置</w:t>
            </w:r>
          </w:p>
        </w:tc>
        <w:tc>
          <w:tcPr>
            <w:tcW w:w="2434" w:type="dxa"/>
            <w:tcBorders>
              <w:tl2br w:val="nil"/>
              <w:tr2bl w:val="nil"/>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ABS材质</w:t>
            </w:r>
          </w:p>
        </w:tc>
        <w:tc>
          <w:tcPr>
            <w:tcW w:w="6196" w:type="dxa"/>
            <w:gridSpan w:val="3"/>
            <w:tcBorders>
              <w:tl2br w:val="nil"/>
              <w:tr2bl w:val="nil"/>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专用连接装置，避免人员的碰撞及刮伤，既美观又安全。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597" w:type="dxa"/>
            <w:gridSpan w:val="2"/>
            <w:tcBorders>
              <w:tl2br w:val="nil"/>
              <w:tr2bl w:val="nil"/>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编号牌</w:t>
            </w:r>
          </w:p>
        </w:tc>
        <w:tc>
          <w:tcPr>
            <w:tcW w:w="2434" w:type="dxa"/>
            <w:tcBorders>
              <w:tl2br w:val="nil"/>
              <w:tr2bl w:val="nil"/>
            </w:tcBorders>
            <w:vAlign w:val="center"/>
          </w:tcPr>
          <w:p>
            <w:pPr>
              <w:pStyle w:val="2"/>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优质铝塑板</w:t>
            </w:r>
          </w:p>
        </w:tc>
        <w:tc>
          <w:tcPr>
            <w:tcW w:w="6196" w:type="dxa"/>
            <w:gridSpan w:val="3"/>
            <w:tcBorders>
              <w:tl2br w:val="nil"/>
              <w:tr2bl w:val="nil"/>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金底红字,方便查找，能遮住锁孔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6" w:hRule="atLeast"/>
        </w:trPr>
        <w:tc>
          <w:tcPr>
            <w:tcW w:w="963" w:type="dxa"/>
            <w:tcBorders>
              <w:tl2br w:val="nil"/>
              <w:tr2bl w:val="nil"/>
            </w:tcBorders>
            <w:vAlign w:val="center"/>
          </w:tcPr>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结构</w:t>
            </w:r>
          </w:p>
        </w:tc>
        <w:tc>
          <w:tcPr>
            <w:tcW w:w="9264" w:type="dxa"/>
            <w:gridSpan w:val="5"/>
            <w:tcBorders>
              <w:tl2br w:val="nil"/>
              <w:tr2bl w:val="nil"/>
            </w:tcBorders>
            <w:vAlign w:val="center"/>
          </w:tcPr>
          <w:p>
            <w:pPr>
              <w:pStyle w:val="2"/>
              <w:spacing w:line="240" w:lineRule="auto"/>
              <w:rPr>
                <w:rFonts w:hint="default" w:asciiTheme="minorEastAsia" w:hAnsiTheme="minorEastAsia" w:eastAsiaTheme="minorEastAsia" w:cstheme="minorEastAsia"/>
                <w:color w:val="auto"/>
                <w:sz w:val="21"/>
                <w:szCs w:val="21"/>
                <w:lang w:val="en-US"/>
              </w:rPr>
            </w:pPr>
            <w:r>
              <w:rPr>
                <w:rFonts w:hint="default" w:asciiTheme="minorEastAsia" w:hAnsiTheme="minorEastAsia" w:eastAsiaTheme="minorEastAsia" w:cstheme="minorEastAsia"/>
                <w:color w:val="auto"/>
                <w:sz w:val="21"/>
                <w:szCs w:val="21"/>
                <w:lang w:val="en-US"/>
              </w:rPr>
              <w:t>1、顶底铝合金及门板的拼装采用专用连接件连接，既美观又避免人员的碰撞刮伤。</w:t>
            </w:r>
          </w:p>
          <w:p>
            <w:pPr>
              <w:pStyle w:val="2"/>
              <w:spacing w:line="240" w:lineRule="auto"/>
              <w:rPr>
                <w:rFonts w:hint="default" w:asciiTheme="minorEastAsia" w:hAnsiTheme="minorEastAsia" w:eastAsiaTheme="minorEastAsia" w:cstheme="minorEastAsia"/>
                <w:color w:val="auto"/>
                <w:sz w:val="21"/>
                <w:szCs w:val="21"/>
                <w:lang w:val="en-US"/>
              </w:rPr>
            </w:pPr>
            <w:r>
              <w:rPr>
                <w:rFonts w:hint="default" w:asciiTheme="minorEastAsia" w:hAnsiTheme="minorEastAsia" w:eastAsiaTheme="minorEastAsia" w:cstheme="minorEastAsia"/>
                <w:color w:val="auto"/>
                <w:sz w:val="21"/>
                <w:szCs w:val="21"/>
                <w:lang w:val="en-US"/>
              </w:rPr>
              <w:t>2、产品结构形式：整体组合式，不接受积木式和插接式。</w:t>
            </w:r>
          </w:p>
          <w:p>
            <w:pPr>
              <w:pStyle w:val="2"/>
              <w:spacing w:line="240" w:lineRule="auto"/>
              <w:rPr>
                <w:rFonts w:hint="default" w:asciiTheme="minorEastAsia" w:hAnsiTheme="minorEastAsia" w:eastAsiaTheme="minorEastAsia" w:cstheme="minorEastAsia"/>
                <w:color w:val="auto"/>
                <w:sz w:val="21"/>
                <w:szCs w:val="21"/>
                <w:lang w:val="en-US"/>
              </w:rPr>
            </w:pPr>
            <w:r>
              <w:rPr>
                <w:rFonts w:hint="default" w:asciiTheme="minorEastAsia" w:hAnsiTheme="minorEastAsia" w:eastAsiaTheme="minorEastAsia" w:cstheme="minorEastAsia"/>
                <w:color w:val="auto"/>
                <w:sz w:val="21"/>
                <w:szCs w:val="21"/>
                <w:lang w:val="en-US"/>
              </w:rPr>
              <w:t>3、外观：门板与骨灰存放架箱体整体横平竖直，美观大方。</w:t>
            </w:r>
          </w:p>
          <w:p>
            <w:pPr>
              <w:pStyle w:val="2"/>
              <w:spacing w:line="240" w:lineRule="auto"/>
              <w:rPr>
                <w:rFonts w:hint="default" w:asciiTheme="minorEastAsia" w:hAnsiTheme="minorEastAsia" w:eastAsiaTheme="minorEastAsia" w:cstheme="minorEastAsia"/>
                <w:color w:val="auto"/>
                <w:sz w:val="21"/>
                <w:szCs w:val="21"/>
                <w:lang w:val="en-US"/>
              </w:rPr>
            </w:pPr>
            <w:r>
              <w:rPr>
                <w:rFonts w:hint="default" w:asciiTheme="minorEastAsia" w:hAnsiTheme="minorEastAsia" w:eastAsiaTheme="minorEastAsia" w:cstheme="minorEastAsia"/>
                <w:color w:val="auto"/>
                <w:sz w:val="21"/>
                <w:szCs w:val="21"/>
                <w:lang w:val="en-US"/>
              </w:rPr>
              <w:t>4、箱体承重能力：每个穴位能承重100公斤以上。</w:t>
            </w:r>
          </w:p>
        </w:tc>
      </w:tr>
    </w:tbl>
    <w:p>
      <w:pPr>
        <w:pStyle w:val="2"/>
        <w:spacing w:line="24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骨灰炉</w:t>
      </w:r>
      <w:r>
        <w:rPr>
          <w:rFonts w:hint="eastAsia" w:asciiTheme="minorEastAsia" w:hAnsiTheme="minorEastAsia" w:eastAsiaTheme="minorEastAsia" w:cstheme="minorEastAsia"/>
          <w:b/>
          <w:bCs/>
          <w:color w:val="auto"/>
          <w:sz w:val="24"/>
          <w:szCs w:val="24"/>
        </w:rPr>
        <w:t>骨灰存放架设备技术参数</w:t>
      </w:r>
    </w:p>
    <w:p>
      <w:pPr>
        <w:spacing w:line="240" w:lineRule="auto"/>
        <w:rPr>
          <w:rFonts w:hint="eastAsia" w:asciiTheme="minorEastAsia" w:hAnsiTheme="minorEastAsia" w:eastAsiaTheme="minorEastAsia" w:cstheme="minorEastAsia"/>
          <w:b/>
          <w:bCs/>
          <w:color w:val="auto"/>
          <w:sz w:val="21"/>
          <w:szCs w:val="21"/>
        </w:rPr>
      </w:pPr>
      <w:bookmarkStart w:id="20" w:name="_Toc20924_WPSOffice_Level1"/>
      <w:bookmarkStart w:id="21" w:name="_Toc497408661"/>
      <w:bookmarkStart w:id="22" w:name="_Toc494546014"/>
      <w:r>
        <w:rPr>
          <w:rFonts w:hint="eastAsia" w:asciiTheme="minorEastAsia" w:hAnsiTheme="minorEastAsia" w:eastAsiaTheme="minorEastAsia" w:cstheme="minorEastAsia"/>
          <w:b/>
          <w:bCs/>
          <w:color w:val="auto"/>
          <w:sz w:val="21"/>
          <w:szCs w:val="21"/>
        </w:rPr>
        <w:t>注：1.以上凡涉及到品牌的则仅供参考，投标人可投不低于参考品牌的其他品牌产品。</w:t>
      </w:r>
    </w:p>
    <w:p>
      <w:pPr>
        <w:widowControl/>
        <w:jc w:val="both"/>
        <w:rPr>
          <w:rFonts w:hint="eastAsia" w:ascii="宋体" w:hAnsi="宋体"/>
          <w:b/>
          <w:bCs/>
          <w:color w:val="auto"/>
          <w:kern w:val="44"/>
          <w:sz w:val="24"/>
          <w:szCs w:val="24"/>
          <w:lang w:val="zh-CN"/>
        </w:rPr>
      </w:pPr>
    </w:p>
    <w:p>
      <w:pPr>
        <w:widowControl/>
        <w:jc w:val="center"/>
        <w:rPr>
          <w:rFonts w:hint="eastAsia" w:ascii="宋体" w:hAnsi="宋体"/>
          <w:b/>
          <w:bCs/>
          <w:color w:val="auto"/>
          <w:kern w:val="44"/>
          <w:sz w:val="24"/>
          <w:szCs w:val="24"/>
          <w:lang w:val="zh-CN"/>
        </w:rPr>
      </w:pPr>
    </w:p>
    <w:p>
      <w:pPr>
        <w:widowControl/>
        <w:jc w:val="center"/>
        <w:rPr>
          <w:rFonts w:hint="eastAsia" w:ascii="宋体" w:hAnsi="宋体"/>
          <w:b/>
          <w:bCs/>
          <w:color w:val="auto"/>
          <w:kern w:val="44"/>
          <w:sz w:val="24"/>
          <w:szCs w:val="24"/>
          <w:lang w:val="zh-CN"/>
        </w:rPr>
      </w:pPr>
    </w:p>
    <w:p>
      <w:pPr>
        <w:widowControl/>
        <w:jc w:val="both"/>
        <w:rPr>
          <w:rFonts w:hint="eastAsia" w:ascii="宋体" w:hAnsi="宋体"/>
          <w:b/>
          <w:bCs/>
          <w:color w:val="auto"/>
          <w:kern w:val="44"/>
          <w:sz w:val="24"/>
          <w:szCs w:val="24"/>
          <w:lang w:val="zh-CN"/>
        </w:rPr>
      </w:pPr>
    </w:p>
    <w:p>
      <w:pPr>
        <w:widowControl/>
        <w:jc w:val="center"/>
        <w:rPr>
          <w:rFonts w:hint="eastAsia" w:ascii="宋体" w:hAnsi="宋体"/>
          <w:b/>
          <w:bCs/>
          <w:color w:val="auto"/>
          <w:kern w:val="44"/>
          <w:sz w:val="24"/>
          <w:szCs w:val="24"/>
          <w:lang w:val="zh-CN"/>
        </w:rPr>
      </w:pPr>
    </w:p>
    <w:p>
      <w:pPr>
        <w:widowControl/>
        <w:jc w:val="center"/>
        <w:rPr>
          <w:rFonts w:hint="eastAsia" w:ascii="宋体" w:hAnsi="宋体"/>
          <w:b/>
          <w:bCs/>
          <w:color w:val="auto"/>
          <w:kern w:val="44"/>
          <w:sz w:val="24"/>
          <w:szCs w:val="24"/>
          <w:lang w:val="zh-CN"/>
        </w:rPr>
      </w:pPr>
    </w:p>
    <w:p>
      <w:pPr>
        <w:widowControl/>
        <w:jc w:val="center"/>
        <w:rPr>
          <w:rFonts w:ascii="宋体" w:hAnsi="宋体"/>
          <w:b/>
          <w:bCs/>
          <w:color w:val="auto"/>
          <w:kern w:val="44"/>
          <w:sz w:val="24"/>
          <w:szCs w:val="24"/>
          <w:lang w:val="zh-CN"/>
        </w:rPr>
      </w:pPr>
      <w:r>
        <w:rPr>
          <w:rFonts w:hint="eastAsia" w:ascii="宋体" w:hAnsi="宋体"/>
          <w:b/>
          <w:bCs/>
          <w:color w:val="auto"/>
          <w:kern w:val="44"/>
          <w:sz w:val="24"/>
          <w:szCs w:val="24"/>
          <w:lang w:val="zh-CN"/>
        </w:rPr>
        <w:t>第五章投标人资格证明及相关文件要求</w:t>
      </w:r>
      <w:bookmarkEnd w:id="20"/>
      <w:bookmarkEnd w:id="21"/>
      <w:bookmarkEnd w:id="22"/>
    </w:p>
    <w:p>
      <w:pPr>
        <w:spacing w:line="360" w:lineRule="auto"/>
        <w:jc w:val="center"/>
        <w:rPr>
          <w:rFonts w:ascii="宋体" w:hAnsi="宋体"/>
          <w:b/>
          <w:bCs/>
          <w:color w:val="auto"/>
          <w:kern w:val="44"/>
          <w:sz w:val="24"/>
          <w:szCs w:val="24"/>
          <w:lang w:val="zh-CN"/>
        </w:rPr>
      </w:pPr>
    </w:p>
    <w:p>
      <w:pPr>
        <w:autoSpaceDE w:val="0"/>
        <w:autoSpaceDN w:val="0"/>
        <w:adjustRightInd w:val="0"/>
        <w:snapToGrid w:val="0"/>
        <w:spacing w:line="360" w:lineRule="auto"/>
        <w:ind w:firstLine="482" w:firstLineChars="201"/>
        <w:rPr>
          <w:rFonts w:ascii="宋体" w:hAnsi="宋体" w:cs="宋体"/>
          <w:color w:val="auto"/>
          <w:kern w:val="0"/>
          <w:sz w:val="24"/>
          <w:szCs w:val="24"/>
        </w:rPr>
      </w:pPr>
      <w:r>
        <w:rPr>
          <w:rFonts w:hint="eastAsia" w:ascii="宋体" w:hAnsi="宋体" w:cs="宋体"/>
          <w:color w:val="auto"/>
          <w:kern w:val="0"/>
          <w:sz w:val="24"/>
          <w:szCs w:val="24"/>
        </w:rPr>
        <w:t>投标人应提交证明其有资格参加投标和中标后有能力履行合同的文件，并作为其投标文件的一部分，所有文件</w:t>
      </w:r>
      <w:r>
        <w:rPr>
          <w:rFonts w:hint="eastAsia" w:ascii="宋体" w:hAnsi="宋体" w:cs="宋体"/>
          <w:color w:val="auto"/>
          <w:sz w:val="24"/>
          <w:szCs w:val="24"/>
        </w:rPr>
        <w:t>必须真实可靠、不得伪造，否则将按相关规定予以处罚。资质证明文件及其它文件</w:t>
      </w:r>
      <w:r>
        <w:rPr>
          <w:rFonts w:hint="eastAsia" w:ascii="宋体" w:hAnsi="宋体" w:cs="宋体"/>
          <w:color w:val="auto"/>
          <w:kern w:val="0"/>
          <w:sz w:val="24"/>
          <w:szCs w:val="24"/>
        </w:rPr>
        <w:t>应包括：</w:t>
      </w:r>
    </w:p>
    <w:p>
      <w:pPr>
        <w:spacing w:line="360" w:lineRule="auto"/>
        <w:rPr>
          <w:rFonts w:ascii="宋体" w:hAnsi="宋体" w:cs="宋体"/>
          <w:color w:val="auto"/>
          <w:sz w:val="24"/>
          <w:szCs w:val="24"/>
        </w:rPr>
      </w:pPr>
      <w:r>
        <w:rPr>
          <w:rFonts w:hint="eastAsia" w:ascii="宋体" w:hAnsi="宋体" w:cs="宋体"/>
          <w:b/>
          <w:color w:val="auto"/>
          <w:sz w:val="24"/>
          <w:szCs w:val="24"/>
        </w:rPr>
        <w:t>一.投标人的资格性证明文件</w:t>
      </w:r>
    </w:p>
    <w:p>
      <w:pPr>
        <w:spacing w:line="360" w:lineRule="auto"/>
        <w:ind w:firstLine="482" w:firstLineChars="201"/>
        <w:rPr>
          <w:rFonts w:ascii="宋体" w:hAns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 xml:space="preserve"> 法人营业执照副本（三证合一）；</w:t>
      </w:r>
    </w:p>
    <w:p>
      <w:pPr>
        <w:spacing w:line="360" w:lineRule="auto"/>
        <w:ind w:firstLine="482" w:firstLineChars="201"/>
        <w:rPr>
          <w:rFonts w:hAnsi="宋体"/>
          <w:color w:val="auto"/>
          <w:sz w:val="24"/>
          <w:szCs w:val="24"/>
        </w:rPr>
      </w:pPr>
      <w:r>
        <w:rPr>
          <w:rFonts w:hAnsi="宋体"/>
          <w:color w:val="auto"/>
          <w:sz w:val="24"/>
          <w:szCs w:val="24"/>
        </w:rPr>
        <w:t>2</w:t>
      </w:r>
      <w:r>
        <w:rPr>
          <w:rFonts w:hint="eastAsia" w:hAnsi="宋体"/>
          <w:color w:val="auto"/>
          <w:sz w:val="24"/>
          <w:szCs w:val="24"/>
        </w:rPr>
        <w:t>．委托代表投标时的法人代表授权书（开标时须提供原件）；</w:t>
      </w:r>
    </w:p>
    <w:p>
      <w:pPr>
        <w:spacing w:line="360" w:lineRule="auto"/>
        <w:ind w:firstLine="482" w:firstLineChars="201"/>
        <w:rPr>
          <w:rFonts w:ascii="宋体" w:hAnsi="宋体"/>
          <w:color w:val="auto"/>
          <w:sz w:val="24"/>
          <w:szCs w:val="24"/>
        </w:rPr>
      </w:pPr>
      <w:r>
        <w:rPr>
          <w:rFonts w:hint="eastAsia" w:ascii="宋体" w:hAnsi="宋体"/>
          <w:color w:val="auto"/>
          <w:sz w:val="24"/>
          <w:szCs w:val="24"/>
        </w:rPr>
        <w:t>3</w:t>
      </w:r>
      <w:r>
        <w:rPr>
          <w:rFonts w:hint="eastAsia" w:ascii="宋体" w:hAnsi="宋体" w:cs="宋体"/>
          <w:color w:val="auto"/>
          <w:sz w:val="24"/>
          <w:szCs w:val="24"/>
        </w:rPr>
        <w:t>．①供应商需提供由“征信中心网”（https://ipcrs.pbccrc.org.cn/）查询的信用报告；</w:t>
      </w:r>
      <w:r>
        <w:rPr>
          <w:rFonts w:hint="eastAsia" w:ascii="宋体" w:hAnsi="宋体"/>
          <w:color w:val="auto"/>
          <w:sz w:val="24"/>
          <w:szCs w:val="24"/>
        </w:rPr>
        <w:t>②供应商是企业或个体经营户的需带公司法人身份证及公司营业执照和公章去项目所在地或当地中国人民银行出具信用报告。</w:t>
      </w:r>
    </w:p>
    <w:p>
      <w:pPr>
        <w:spacing w:line="360" w:lineRule="auto"/>
        <w:ind w:firstLine="482" w:firstLineChars="201"/>
        <w:rPr>
          <w:rFonts w:ascii="宋体" w:hAnsi="宋体"/>
          <w:color w:val="auto"/>
          <w:sz w:val="24"/>
          <w:szCs w:val="24"/>
        </w:rPr>
      </w:pPr>
      <w:r>
        <w:rPr>
          <w:rFonts w:hint="eastAsia" w:ascii="宋体" w:hAnsi="宋体" w:cs="宋体"/>
          <w:color w:val="auto"/>
          <w:sz w:val="24"/>
          <w:szCs w:val="24"/>
        </w:rPr>
        <w:t>4．投标人依法缴纳税收证明（以税务机关提供的纳税凭证或银行入账单为准）；</w:t>
      </w:r>
    </w:p>
    <w:p>
      <w:pPr>
        <w:spacing w:line="360" w:lineRule="auto"/>
        <w:ind w:firstLine="482" w:firstLineChars="201"/>
        <w:rPr>
          <w:rFonts w:ascii="宋体" w:hAnsi="宋体"/>
          <w:color w:val="auto"/>
          <w:sz w:val="24"/>
          <w:szCs w:val="24"/>
        </w:rPr>
      </w:pPr>
      <w:r>
        <w:rPr>
          <w:rFonts w:hint="eastAsia" w:ascii="宋体" w:hAnsi="宋体" w:cs="宋体"/>
          <w:color w:val="auto"/>
          <w:sz w:val="24"/>
          <w:szCs w:val="24"/>
        </w:rPr>
        <w:t>5．投标人为企业员工缴纳社保资金的凭证（以社保机构出具的缴纳纪录凭证或银行入账单为准）；</w:t>
      </w:r>
    </w:p>
    <w:p>
      <w:pPr>
        <w:autoSpaceDE w:val="0"/>
        <w:autoSpaceDN w:val="0"/>
        <w:adjustRightInd w:val="0"/>
        <w:snapToGrid w:val="0"/>
        <w:spacing w:line="360" w:lineRule="auto"/>
        <w:ind w:right="32" w:firstLine="482" w:firstLineChars="201"/>
        <w:rPr>
          <w:rFonts w:ascii="宋体" w:hAnsi="宋体" w:cs="宋体"/>
          <w:color w:val="auto"/>
          <w:kern w:val="0"/>
          <w:sz w:val="24"/>
          <w:szCs w:val="24"/>
        </w:rPr>
      </w:pPr>
      <w:r>
        <w:rPr>
          <w:rFonts w:hint="eastAsia" w:ascii="宋体" w:hAnsi="宋体" w:cs="宋体"/>
          <w:color w:val="auto"/>
          <w:sz w:val="24"/>
          <w:szCs w:val="24"/>
        </w:rPr>
        <w:t>6．投标人参加政府采购前</w:t>
      </w:r>
      <w:r>
        <w:rPr>
          <w:rFonts w:hint="eastAsia" w:ascii="宋体" w:hAnsi="宋体" w:cs="宋体"/>
          <w:color w:val="auto"/>
          <w:kern w:val="0"/>
          <w:sz w:val="24"/>
          <w:szCs w:val="24"/>
        </w:rPr>
        <w:t>三年内在经营活动中没有重大违法记录书面声明；</w:t>
      </w:r>
    </w:p>
    <w:p>
      <w:pPr>
        <w:autoSpaceDE w:val="0"/>
        <w:autoSpaceDN w:val="0"/>
        <w:adjustRightInd w:val="0"/>
        <w:snapToGrid w:val="0"/>
        <w:spacing w:line="360" w:lineRule="auto"/>
        <w:ind w:right="32" w:firstLine="482" w:firstLineChars="201"/>
        <w:rPr>
          <w:rFonts w:ascii="宋体" w:hAnsi="宋体"/>
          <w:color w:val="auto"/>
          <w:sz w:val="24"/>
          <w:szCs w:val="24"/>
        </w:rPr>
      </w:pPr>
      <w:r>
        <w:rPr>
          <w:rFonts w:hint="eastAsia" w:ascii="宋体" w:hAnsi="宋体"/>
          <w:color w:val="auto"/>
          <w:sz w:val="24"/>
          <w:szCs w:val="24"/>
        </w:rPr>
        <w:t>7. 投标人须在投标文件中提供企业工商注册所在地或项目所在地信用管理中心出具的《信用信息查询结果》且在有效期范围内，办理步骤：详见第七章格式。</w:t>
      </w:r>
    </w:p>
    <w:p>
      <w:pPr>
        <w:autoSpaceDE w:val="0"/>
        <w:autoSpaceDN w:val="0"/>
        <w:adjustRightInd w:val="0"/>
        <w:snapToGrid w:val="0"/>
        <w:spacing w:line="360" w:lineRule="auto"/>
        <w:ind w:right="32" w:firstLine="482" w:firstLineChars="201"/>
        <w:rPr>
          <w:rFonts w:ascii="宋体" w:hAnsi="宋体" w:cs="宋体"/>
          <w:color w:val="auto"/>
          <w:kern w:val="0"/>
          <w:sz w:val="24"/>
          <w:szCs w:val="24"/>
        </w:rPr>
      </w:pPr>
      <w:r>
        <w:rPr>
          <w:rFonts w:hint="eastAsia" w:ascii="宋体" w:hAnsi="宋体" w:cs="宋体"/>
          <w:color w:val="auto"/>
          <w:kern w:val="0"/>
          <w:sz w:val="24"/>
          <w:szCs w:val="24"/>
        </w:rPr>
        <w:t>8.招标文件对投标人的其他资格要求。</w:t>
      </w:r>
    </w:p>
    <w:p>
      <w:pPr>
        <w:spacing w:line="360" w:lineRule="auto"/>
        <w:ind w:firstLine="482" w:firstLineChars="201"/>
        <w:rPr>
          <w:rFonts w:ascii="宋体" w:hAnsi="宋体"/>
          <w:color w:val="auto"/>
          <w:sz w:val="24"/>
          <w:szCs w:val="24"/>
        </w:rPr>
      </w:pPr>
      <w:r>
        <w:rPr>
          <w:rFonts w:hint="eastAsia" w:ascii="宋体" w:hAnsi="宋体"/>
          <w:color w:val="auto"/>
          <w:sz w:val="24"/>
          <w:szCs w:val="24"/>
        </w:rPr>
        <w:t>以上文件除要求提供“原件”以外，均应在投标文件中提供复印件并加盖投标人公章，未提供或提供的文件过期、失效的，均为无效投标。</w:t>
      </w:r>
    </w:p>
    <w:p>
      <w:pPr>
        <w:spacing w:line="360" w:lineRule="auto"/>
        <w:rPr>
          <w:rFonts w:ascii="宋体" w:hAnsi="宋体"/>
          <w:color w:val="auto"/>
          <w:sz w:val="24"/>
          <w:szCs w:val="24"/>
        </w:rPr>
      </w:pPr>
      <w:r>
        <w:rPr>
          <w:rFonts w:hint="eastAsia" w:ascii="宋体" w:hAnsi="宋体"/>
          <w:color w:val="auto"/>
          <w:sz w:val="24"/>
          <w:szCs w:val="24"/>
        </w:rPr>
        <w:t>二.</w:t>
      </w:r>
      <w:r>
        <w:rPr>
          <w:rFonts w:hint="eastAsia" w:ascii="宋体" w:hAnsi="宋体"/>
          <w:b/>
          <w:color w:val="auto"/>
          <w:sz w:val="24"/>
          <w:szCs w:val="24"/>
        </w:rPr>
        <w:t>投标人应提供的其它材料</w:t>
      </w:r>
    </w:p>
    <w:p>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 xml:space="preserve">1. 与投标产品型号及技术参数相关的佐证材料，如产品检测报告、鉴定证书、技术白皮书、说明书、产品彩页等； </w:t>
      </w:r>
    </w:p>
    <w:p>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2. 最新一期政府采购节能、环保清单截图证明；（如有）</w:t>
      </w:r>
    </w:p>
    <w:p>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3. </w:t>
      </w:r>
      <w:r>
        <w:rPr>
          <w:rFonts w:ascii="宋体" w:hAnsi="宋体"/>
          <w:color w:val="auto"/>
          <w:sz w:val="24"/>
          <w:szCs w:val="24"/>
        </w:rPr>
        <w:t>能够真实反映投标人业绩的有效证明材料，如</w:t>
      </w:r>
      <w:r>
        <w:rPr>
          <w:rFonts w:hint="eastAsia" w:ascii="宋体" w:hAnsi="宋体"/>
          <w:color w:val="auto"/>
          <w:sz w:val="24"/>
          <w:szCs w:val="24"/>
        </w:rPr>
        <w:t>销售或服务</w:t>
      </w:r>
      <w:r>
        <w:rPr>
          <w:rFonts w:ascii="宋体" w:hAnsi="宋体"/>
          <w:color w:val="auto"/>
          <w:sz w:val="24"/>
          <w:szCs w:val="24"/>
        </w:rPr>
        <w:t>合同等</w:t>
      </w:r>
      <w:r>
        <w:rPr>
          <w:rFonts w:hint="eastAsia" w:ascii="宋体" w:hAnsi="宋体"/>
          <w:color w:val="auto"/>
          <w:sz w:val="24"/>
          <w:szCs w:val="24"/>
        </w:rPr>
        <w:t>；</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w:t>
      </w:r>
      <w:r>
        <w:rPr>
          <w:rFonts w:hint="eastAsia" w:ascii="宋体" w:hAnsi="宋体"/>
          <w:color w:val="auto"/>
          <w:kern w:val="0"/>
          <w:sz w:val="24"/>
          <w:szCs w:val="24"/>
        </w:rPr>
        <w:t>. 产品生产（或经销）企业的质量管理体系认证证书、环境认证证书等；</w:t>
      </w:r>
    </w:p>
    <w:p>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 xml:space="preserve">5. </w:t>
      </w:r>
      <w:r>
        <w:rPr>
          <w:rFonts w:ascii="宋体" w:hAnsi="宋体"/>
          <w:color w:val="auto"/>
          <w:kern w:val="0"/>
          <w:sz w:val="24"/>
          <w:szCs w:val="24"/>
        </w:rPr>
        <w:t>投标人认为需要提供的证明文件及资料。</w:t>
      </w:r>
    </w:p>
    <w:p>
      <w:pPr>
        <w:spacing w:line="360" w:lineRule="auto"/>
        <w:ind w:firstLine="480" w:firstLineChars="200"/>
        <w:rPr>
          <w:rFonts w:ascii="宋体" w:hAnsi="宋体"/>
          <w:color w:val="auto"/>
          <w:sz w:val="24"/>
          <w:szCs w:val="24"/>
        </w:rPr>
      </w:pPr>
      <w:r>
        <w:rPr>
          <w:rFonts w:ascii="宋体" w:hAnsi="宋体"/>
          <w:color w:val="auto"/>
          <w:sz w:val="24"/>
          <w:szCs w:val="24"/>
        </w:rPr>
        <w:t>以上文件除要求提供原件以外，</w:t>
      </w:r>
      <w:r>
        <w:rPr>
          <w:rFonts w:hint="eastAsia" w:ascii="宋体" w:hAnsi="宋体"/>
          <w:color w:val="auto"/>
          <w:sz w:val="24"/>
          <w:szCs w:val="24"/>
        </w:rPr>
        <w:t>其余</w:t>
      </w:r>
      <w:r>
        <w:rPr>
          <w:rFonts w:ascii="宋体" w:hAnsi="宋体"/>
          <w:color w:val="auto"/>
          <w:sz w:val="24"/>
          <w:szCs w:val="24"/>
        </w:rPr>
        <w:t>均</w:t>
      </w:r>
      <w:r>
        <w:rPr>
          <w:rFonts w:hint="eastAsia" w:ascii="宋体" w:hAnsi="宋体"/>
          <w:color w:val="auto"/>
          <w:sz w:val="24"/>
          <w:szCs w:val="24"/>
        </w:rPr>
        <w:t>在响应文件中</w:t>
      </w:r>
      <w:r>
        <w:rPr>
          <w:rFonts w:ascii="宋体" w:hAnsi="宋体"/>
          <w:color w:val="auto"/>
          <w:sz w:val="24"/>
          <w:szCs w:val="24"/>
        </w:rPr>
        <w:t>提供复印件并加盖供应商公章</w:t>
      </w:r>
      <w:r>
        <w:rPr>
          <w:rFonts w:hint="eastAsia" w:ascii="宋体" w:hAnsi="宋体"/>
          <w:color w:val="auto"/>
          <w:sz w:val="24"/>
          <w:szCs w:val="24"/>
        </w:rPr>
        <w:t>；如不提供则为无效投标。</w:t>
      </w:r>
    </w:p>
    <w:p>
      <w:pPr>
        <w:outlineLvl w:val="0"/>
        <w:rPr>
          <w:rFonts w:ascii="宋体" w:hAnsi="宋体"/>
          <w:color w:val="auto"/>
          <w:sz w:val="24"/>
          <w:szCs w:val="24"/>
        </w:rPr>
      </w:pPr>
      <w:r>
        <w:rPr>
          <w:rFonts w:ascii="宋体" w:hAnsi="宋体"/>
          <w:color w:val="auto"/>
          <w:sz w:val="24"/>
          <w:szCs w:val="24"/>
        </w:rPr>
        <w:br w:type="page"/>
      </w:r>
    </w:p>
    <w:p>
      <w:pPr>
        <w:spacing w:line="360" w:lineRule="auto"/>
        <w:jc w:val="center"/>
        <w:outlineLvl w:val="0"/>
        <w:rPr>
          <w:rFonts w:ascii="宋体" w:hAnsi="宋体"/>
          <w:b/>
          <w:bCs/>
          <w:color w:val="auto"/>
          <w:kern w:val="44"/>
          <w:sz w:val="24"/>
          <w:szCs w:val="24"/>
          <w:lang w:val="zh-CN"/>
        </w:rPr>
      </w:pPr>
      <w:bookmarkStart w:id="23" w:name="_Toc844_WPSOffice_Level1"/>
      <w:bookmarkStart w:id="24" w:name="_Toc497408662"/>
      <w:r>
        <w:rPr>
          <w:rFonts w:hint="eastAsia" w:ascii="宋体" w:hAnsi="宋体"/>
          <w:b/>
          <w:bCs/>
          <w:color w:val="auto"/>
          <w:kern w:val="44"/>
          <w:sz w:val="24"/>
          <w:szCs w:val="24"/>
          <w:lang w:val="zh-CN"/>
        </w:rPr>
        <w:t>第六章 评标办法（综合评分法）</w:t>
      </w:r>
      <w:bookmarkEnd w:id="23"/>
      <w:bookmarkEnd w:id="24"/>
    </w:p>
    <w:p>
      <w:pPr>
        <w:spacing w:line="360" w:lineRule="auto"/>
        <w:ind w:firstLine="482" w:firstLineChars="200"/>
        <w:rPr>
          <w:rFonts w:ascii="宋体" w:hAnsi="宋体"/>
          <w:b/>
          <w:color w:val="auto"/>
          <w:sz w:val="24"/>
          <w:szCs w:val="24"/>
        </w:rPr>
      </w:pPr>
      <w:r>
        <w:rPr>
          <w:rFonts w:hint="eastAsia" w:ascii="宋体" w:hAnsi="宋体" w:cs="黑体"/>
          <w:b/>
          <w:color w:val="auto"/>
          <w:sz w:val="24"/>
          <w:szCs w:val="24"/>
        </w:rPr>
        <w:t>一.评标原则</w:t>
      </w:r>
    </w:p>
    <w:p>
      <w:pPr>
        <w:spacing w:line="360" w:lineRule="auto"/>
        <w:ind w:firstLine="482" w:firstLineChars="201"/>
        <w:rPr>
          <w:rFonts w:ascii="宋体" w:hAnsi="宋体"/>
          <w:color w:val="auto"/>
          <w:sz w:val="24"/>
          <w:szCs w:val="24"/>
        </w:rPr>
      </w:pPr>
      <w:r>
        <w:rPr>
          <w:rFonts w:hint="eastAsia" w:ascii="宋体" w:hAnsi="宋体" w:cs="宋体"/>
          <w:color w:val="auto"/>
          <w:sz w:val="24"/>
          <w:szCs w:val="24"/>
        </w:rPr>
        <w:t>评标活动遵循公开、公平、公正、择优的原则进行。评标委员会将综合分析投标人的各项指标，而不以单项指标的优劣评选出预中标人。</w:t>
      </w:r>
    </w:p>
    <w:p>
      <w:pPr>
        <w:spacing w:line="360" w:lineRule="auto"/>
        <w:ind w:firstLine="484" w:firstLineChars="201"/>
        <w:rPr>
          <w:rFonts w:ascii="宋体" w:hAnsi="宋体"/>
          <w:b/>
          <w:color w:val="auto"/>
          <w:sz w:val="24"/>
          <w:szCs w:val="24"/>
        </w:rPr>
      </w:pPr>
      <w:r>
        <w:rPr>
          <w:rFonts w:hint="eastAsia" w:ascii="宋体" w:hAnsi="宋体" w:cs="黑体"/>
          <w:b/>
          <w:color w:val="auto"/>
          <w:sz w:val="24"/>
          <w:szCs w:val="24"/>
        </w:rPr>
        <w:t>二.</w:t>
      </w:r>
      <w:r>
        <w:rPr>
          <w:rFonts w:hint="eastAsia" w:ascii="宋体" w:hAnsi="宋体" w:cs="宋体"/>
          <w:b/>
          <w:color w:val="auto"/>
          <w:sz w:val="24"/>
          <w:szCs w:val="24"/>
        </w:rPr>
        <w:t>评标办法</w:t>
      </w:r>
    </w:p>
    <w:p>
      <w:pPr>
        <w:widowControl/>
        <w:spacing w:line="360" w:lineRule="auto"/>
        <w:ind w:firstLine="482" w:firstLineChars="201"/>
        <w:rPr>
          <w:rFonts w:ascii="宋体" w:hAnsi="宋体" w:cs="宋体"/>
          <w:color w:val="auto"/>
          <w:sz w:val="24"/>
          <w:szCs w:val="24"/>
        </w:rPr>
      </w:pPr>
      <w:r>
        <w:rPr>
          <w:rFonts w:hint="eastAsia" w:ascii="宋体" w:hAnsi="宋体" w:cs="宋体"/>
          <w:color w:val="auto"/>
          <w:sz w:val="24"/>
          <w:szCs w:val="24"/>
        </w:rPr>
        <w:t>（一）综合评分法评标</w:t>
      </w:r>
      <w:r>
        <w:rPr>
          <w:rFonts w:ascii="宋体" w:hAnsi="宋体" w:cs="宋体"/>
          <w:color w:val="auto"/>
          <w:sz w:val="24"/>
          <w:szCs w:val="24"/>
        </w:rPr>
        <w:t>,</w:t>
      </w:r>
      <w:r>
        <w:rPr>
          <w:rFonts w:hint="eastAsia" w:ascii="宋体" w:hAnsi="宋体" w:cs="宋体"/>
          <w:color w:val="auto"/>
          <w:sz w:val="24"/>
          <w:szCs w:val="24"/>
        </w:rPr>
        <w:t>即在投标文件满足招标文件全部实质性要求，且按照评审因素的量化指标评审得分最高的投标人为中标人的评标方法。（最低报价不是中标的唯一依据。）</w:t>
      </w:r>
    </w:p>
    <w:p>
      <w:pPr>
        <w:widowControl/>
        <w:spacing w:line="360" w:lineRule="auto"/>
        <w:ind w:firstLine="482" w:firstLineChars="201"/>
        <w:rPr>
          <w:rFonts w:ascii="宋体" w:hAnsi="宋体"/>
          <w:color w:val="auto"/>
          <w:sz w:val="24"/>
          <w:szCs w:val="24"/>
        </w:rPr>
      </w:pPr>
      <w:r>
        <w:rPr>
          <w:rFonts w:hint="eastAsia" w:ascii="宋体" w:hAnsi="宋体" w:cs="宋体"/>
          <w:color w:val="auto"/>
          <w:sz w:val="24"/>
          <w:szCs w:val="24"/>
        </w:rPr>
        <w:t>（二）具体评审工作按照以下步骤进行。</w:t>
      </w:r>
    </w:p>
    <w:p>
      <w:pPr>
        <w:widowControl/>
        <w:spacing w:line="360" w:lineRule="auto"/>
        <w:ind w:firstLine="482" w:firstLineChars="201"/>
        <w:rPr>
          <w:rFonts w:ascii="宋体" w:hAnsi="宋体" w:cs="宋体"/>
          <w:color w:val="auto"/>
          <w:kern w:val="0"/>
          <w:sz w:val="24"/>
          <w:szCs w:val="24"/>
        </w:rPr>
      </w:pPr>
      <w:r>
        <w:rPr>
          <w:rFonts w:ascii="宋体" w:hAnsi="宋体" w:cs="宋体"/>
          <w:color w:val="auto"/>
          <w:sz w:val="24"/>
          <w:szCs w:val="24"/>
        </w:rPr>
        <w:t>1</w:t>
      </w:r>
      <w:r>
        <w:rPr>
          <w:rFonts w:hint="eastAsia" w:ascii="宋体" w:hAnsi="宋体" w:cs="宋体"/>
          <w:color w:val="auto"/>
          <w:sz w:val="24"/>
          <w:szCs w:val="24"/>
        </w:rPr>
        <w:t>.</w:t>
      </w:r>
      <w:r>
        <w:rPr>
          <w:rFonts w:hint="eastAsia" w:ascii="宋体" w:hAnsi="宋体" w:cs="宋体"/>
          <w:color w:val="auto"/>
          <w:kern w:val="0"/>
          <w:sz w:val="24"/>
          <w:szCs w:val="24"/>
        </w:rPr>
        <w:t>初审。初审分为资格性检查和符合性检查。</w:t>
      </w:r>
      <w:r>
        <w:rPr>
          <w:rFonts w:hint="eastAsia" w:ascii="宋体" w:hAnsi="宋体" w:cs="宋体"/>
          <w:b/>
          <w:color w:val="auto"/>
          <w:kern w:val="0"/>
          <w:sz w:val="24"/>
          <w:szCs w:val="24"/>
        </w:rPr>
        <w:t>（详见后附表一初审表）</w:t>
      </w:r>
    </w:p>
    <w:p>
      <w:pPr>
        <w:widowControl/>
        <w:spacing w:line="360" w:lineRule="auto"/>
        <w:ind w:firstLine="482" w:firstLineChars="201"/>
        <w:rPr>
          <w:rFonts w:ascii="宋体" w:hAnsi="宋体" w:cs="宋体"/>
          <w:color w:val="auto"/>
          <w:kern w:val="0"/>
          <w:sz w:val="24"/>
          <w:szCs w:val="24"/>
        </w:rPr>
      </w:pPr>
      <w:r>
        <w:rPr>
          <w:rFonts w:hint="eastAsia" w:ascii="宋体" w:hAnsi="宋体" w:cs="宋体"/>
          <w:color w:val="auto"/>
          <w:kern w:val="0"/>
          <w:sz w:val="24"/>
          <w:szCs w:val="24"/>
        </w:rPr>
        <w:t>资格性检查。依据法律法规和招标文件的规定，对投标文件中的资格证明、投标保证金等进行审查，以确定投标投标人是否具备投标资格。</w:t>
      </w:r>
    </w:p>
    <w:p>
      <w:pPr>
        <w:widowControl/>
        <w:spacing w:line="360" w:lineRule="auto"/>
        <w:ind w:firstLine="482" w:firstLineChars="201"/>
        <w:rPr>
          <w:rFonts w:ascii="宋体" w:hAnsi="宋体" w:cs="宋体"/>
          <w:color w:val="auto"/>
          <w:kern w:val="0"/>
          <w:sz w:val="24"/>
          <w:szCs w:val="24"/>
        </w:rPr>
      </w:pPr>
      <w:r>
        <w:rPr>
          <w:rFonts w:hint="eastAsia" w:ascii="宋体" w:hAnsi="宋体" w:cs="宋体"/>
          <w:color w:val="auto"/>
          <w:kern w:val="0"/>
          <w:sz w:val="24"/>
          <w:szCs w:val="24"/>
        </w:rPr>
        <w:t>符合性检查。依据招标文件的规定，从投标文件的有效性、完整性和对招标文件的响应程度进行审查，以确定是否对招标文件的实质性要求作出响应。</w:t>
      </w:r>
    </w:p>
    <w:p>
      <w:pPr>
        <w:widowControl/>
        <w:spacing w:line="360" w:lineRule="auto"/>
        <w:ind w:firstLine="482" w:firstLineChars="201"/>
        <w:rPr>
          <w:rFonts w:ascii="宋体" w:hAnsi="宋体" w:cs="宋体"/>
          <w:color w:val="auto"/>
          <w:sz w:val="24"/>
          <w:szCs w:val="24"/>
        </w:rPr>
      </w:pPr>
      <w:r>
        <w:rPr>
          <w:rFonts w:hint="eastAsia" w:ascii="宋体" w:hAnsi="宋体" w:cs="宋体"/>
          <w:color w:val="auto"/>
          <w:kern w:val="0"/>
          <w:sz w:val="24"/>
          <w:szCs w:val="24"/>
        </w:rPr>
        <w:t>评审结果为“通过”或“未通过”，未通过资格性检查、符合性检查的投标单位按无</w:t>
      </w:r>
      <w:r>
        <w:rPr>
          <w:rFonts w:hint="eastAsia" w:ascii="宋体" w:hAnsi="宋体" w:cs="宋体"/>
          <w:color w:val="auto"/>
          <w:sz w:val="24"/>
          <w:szCs w:val="24"/>
        </w:rPr>
        <w:t>效投标处理。</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2.详细评审。分为投标报价、商务部分、技术部分。</w:t>
      </w:r>
      <w:r>
        <w:rPr>
          <w:rFonts w:hint="eastAsia" w:ascii="宋体" w:hAnsi="宋体" w:cs="宋体"/>
          <w:b/>
          <w:color w:val="auto"/>
          <w:sz w:val="24"/>
          <w:szCs w:val="24"/>
        </w:rPr>
        <w:t>（详见后附表二详细评审表）</w:t>
      </w:r>
    </w:p>
    <w:p>
      <w:pPr>
        <w:widowControl/>
        <w:spacing w:line="360" w:lineRule="auto"/>
        <w:ind w:firstLine="482" w:firstLineChars="201"/>
        <w:rPr>
          <w:rFonts w:ascii="宋体" w:hAnsi="宋体"/>
          <w:color w:val="auto"/>
          <w:sz w:val="24"/>
          <w:szCs w:val="24"/>
        </w:rPr>
      </w:pPr>
      <w:r>
        <w:rPr>
          <w:rFonts w:hint="eastAsia" w:ascii="宋体" w:hAnsi="宋体"/>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2" w:firstLineChars="201"/>
        <w:rPr>
          <w:rFonts w:ascii="宋体" w:hAnsi="宋体" w:cs="宋体"/>
          <w:color w:val="auto"/>
          <w:sz w:val="24"/>
          <w:szCs w:val="24"/>
        </w:rPr>
      </w:pPr>
      <w:r>
        <w:rPr>
          <w:rFonts w:hint="eastAsia" w:ascii="宋体" w:hAnsi="宋体"/>
          <w:color w:val="auto"/>
          <w:sz w:val="24"/>
          <w:szCs w:val="24"/>
        </w:rPr>
        <w:t>3．</w:t>
      </w:r>
      <w:r>
        <w:rPr>
          <w:rFonts w:hint="eastAsia" w:ascii="宋体" w:hAnsi="宋体" w:cs="宋体"/>
          <w:color w:val="auto"/>
          <w:sz w:val="24"/>
          <w:szCs w:val="24"/>
        </w:rPr>
        <w:t>评标结果按评审后得分由高到低顺序排列。得分相同的，按投标报价由低到高顺序排列。得分且投标报价相同的，按技术指标、售后服务条款、业绩的优劣顺序排列。</w:t>
      </w:r>
    </w:p>
    <w:p>
      <w:pPr>
        <w:widowControl/>
        <w:spacing w:line="360" w:lineRule="auto"/>
        <w:ind w:firstLine="482" w:firstLineChars="200"/>
        <w:jc w:val="left"/>
        <w:rPr>
          <w:rFonts w:ascii="宋体" w:hAnsi="宋体"/>
          <w:color w:val="auto"/>
          <w:sz w:val="24"/>
          <w:szCs w:val="24"/>
        </w:rPr>
      </w:pPr>
      <w:r>
        <w:rPr>
          <w:rFonts w:hint="eastAsia" w:ascii="宋体" w:hAnsi="宋体" w:cs="宋体"/>
          <w:b/>
          <w:color w:val="auto"/>
          <w:sz w:val="24"/>
          <w:szCs w:val="24"/>
        </w:rPr>
        <w:t>注：</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1.提供的核心产品品牌相同且通过资格审查、符合性审查的不同投标人参加同一合同项下投标的，按一家投标人计算，评审后得分最高的同品牌投标人获得中标人推荐资格，其他同品牌投标人不作为中标候选人；</w:t>
      </w:r>
      <w:r>
        <w:rPr>
          <w:rFonts w:hint="eastAsia" w:ascii="宋体" w:hAnsi="宋体" w:cs="宋体"/>
          <w:color w:val="auto"/>
          <w:sz w:val="24"/>
          <w:szCs w:val="24"/>
        </w:rPr>
        <w:t>得分相同的，按投标报价由低到高顺序排列；得分且投标报价相同的，按技术指标、售后服务条款、业绩的优劣顺序排列。</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2.参与竞争的核心产品品牌不足</w:t>
      </w:r>
      <w:r>
        <w:rPr>
          <w:rFonts w:ascii="宋体" w:hAnsi="宋体" w:cs="宋体"/>
          <w:color w:val="auto"/>
          <w:sz w:val="24"/>
          <w:szCs w:val="24"/>
        </w:rPr>
        <w:t>3</w:t>
      </w:r>
      <w:r>
        <w:rPr>
          <w:rFonts w:hint="eastAsia" w:ascii="宋体" w:hAnsi="宋体" w:cs="宋体"/>
          <w:color w:val="auto"/>
          <w:sz w:val="24"/>
          <w:szCs w:val="24"/>
        </w:rPr>
        <w:t>个的，项目废标处理。</w:t>
      </w:r>
    </w:p>
    <w:p>
      <w:pPr>
        <w:spacing w:line="360" w:lineRule="auto"/>
        <w:ind w:firstLine="480" w:firstLineChars="200"/>
        <w:rPr>
          <w:rFonts w:ascii="宋体" w:hAnsi="宋体"/>
          <w:color w:val="auto"/>
          <w:sz w:val="24"/>
          <w:szCs w:val="24"/>
        </w:rPr>
      </w:pPr>
      <w:r>
        <w:rPr>
          <w:rFonts w:hint="eastAsia" w:ascii="宋体" w:hAnsi="宋体" w:cs="宋体"/>
          <w:color w:val="auto"/>
          <w:sz w:val="24"/>
          <w:szCs w:val="24"/>
        </w:rPr>
        <w:t>3.在同等条件下，</w:t>
      </w:r>
      <w:r>
        <w:rPr>
          <w:rFonts w:hint="eastAsia" w:ascii="宋体" w:hAnsi="宋体"/>
          <w:color w:val="auto"/>
          <w:sz w:val="24"/>
          <w:szCs w:val="24"/>
        </w:rPr>
        <w:t>保护环境、不发达地区和少数民族地区</w:t>
      </w:r>
      <w:r>
        <w:rPr>
          <w:rFonts w:ascii="宋体" w:hAnsi="宋体" w:cs="Arial"/>
          <w:color w:val="auto"/>
          <w:sz w:val="24"/>
          <w:szCs w:val="24"/>
        </w:rPr>
        <w:t>企业</w:t>
      </w:r>
      <w:r>
        <w:rPr>
          <w:rFonts w:hint="eastAsia" w:ascii="宋体" w:hAnsi="宋体"/>
          <w:color w:val="auto"/>
          <w:sz w:val="24"/>
          <w:szCs w:val="24"/>
        </w:rPr>
        <w:t>优先。（需提供相关证明材料）</w:t>
      </w:r>
    </w:p>
    <w:p>
      <w:pPr>
        <w:widowControl/>
        <w:spacing w:line="360" w:lineRule="auto"/>
        <w:ind w:firstLine="602" w:firstLineChars="250"/>
        <w:jc w:val="left"/>
        <w:rPr>
          <w:rFonts w:ascii="宋体" w:hAnsi="宋体"/>
          <w:b/>
          <w:color w:val="auto"/>
          <w:sz w:val="24"/>
          <w:szCs w:val="24"/>
        </w:rPr>
      </w:pPr>
      <w:r>
        <w:rPr>
          <w:rFonts w:hint="eastAsia" w:ascii="宋体" w:hAnsi="宋体"/>
          <w:b/>
          <w:color w:val="auto"/>
          <w:sz w:val="24"/>
          <w:szCs w:val="24"/>
        </w:rPr>
        <w:t>三.政府采购政策落实：</w:t>
      </w:r>
    </w:p>
    <w:p>
      <w:pPr>
        <w:pStyle w:val="40"/>
        <w:spacing w:line="360" w:lineRule="auto"/>
        <w:ind w:firstLine="480" w:firstLineChars="200"/>
        <w:jc w:val="both"/>
        <w:rPr>
          <w:rFonts w:ascii="宋体" w:hAnsi="宋体" w:eastAsia="宋体" w:cs="Times New Roman"/>
          <w:color w:val="auto"/>
          <w:kern w:val="2"/>
        </w:rPr>
      </w:pPr>
      <w:r>
        <w:rPr>
          <w:rFonts w:hint="eastAsia" w:ascii="宋体" w:hAnsi="宋体" w:eastAsia="宋体" w:cs="Times New Roman"/>
          <w:color w:val="auto"/>
          <w:kern w:val="2"/>
        </w:rPr>
        <w:t>1.依照《政府采购促进中小企业发展暂行办法》、《关于政府采购支持监狱企业发展有关问题的通知》和</w:t>
      </w:r>
      <w:r>
        <w:rPr>
          <w:rFonts w:hint="eastAsia"/>
          <w:color w:val="auto"/>
          <w:szCs w:val="21"/>
        </w:rPr>
        <w:t>《财政部 民政部 中国残疾人联合会关于促进残疾人就业政府采购政策的通知》</w:t>
      </w:r>
      <w:r>
        <w:rPr>
          <w:rFonts w:hint="eastAsia" w:ascii="宋体" w:hAnsi="宋体" w:eastAsia="宋体" w:cs="Times New Roman"/>
          <w:color w:val="auto"/>
          <w:kern w:val="2"/>
        </w:rPr>
        <w:t>的规定，凡符合要求的小型、微型企业、监狱企业或</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，按照以下比例给予相应的价格扣除：（监狱企业、</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视同为小、微企业）</w:t>
      </w:r>
    </w:p>
    <w:tbl>
      <w:tblPr>
        <w:tblStyle w:val="27"/>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3828"/>
        <w:gridCol w:w="2409"/>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snapToGrid w:val="0"/>
              <w:jc w:val="center"/>
              <w:rPr>
                <w:rFonts w:ascii="宋体" w:hAnsi="宋体"/>
                <w:color w:val="auto"/>
                <w:sz w:val="18"/>
                <w:szCs w:val="18"/>
              </w:rPr>
            </w:pPr>
            <w:r>
              <w:rPr>
                <w:rFonts w:hint="eastAsia" w:ascii="宋体" w:hAnsi="宋体"/>
                <w:color w:val="auto"/>
                <w:sz w:val="18"/>
                <w:szCs w:val="18"/>
              </w:rPr>
              <w:t>序号</w:t>
            </w:r>
          </w:p>
        </w:tc>
        <w:tc>
          <w:tcPr>
            <w:tcW w:w="3828" w:type="dxa"/>
            <w:vAlign w:val="center"/>
          </w:tcPr>
          <w:p>
            <w:pPr>
              <w:snapToGrid w:val="0"/>
              <w:jc w:val="center"/>
              <w:rPr>
                <w:rFonts w:ascii="宋体" w:hAnsi="宋体"/>
                <w:color w:val="auto"/>
                <w:sz w:val="24"/>
                <w:szCs w:val="24"/>
              </w:rPr>
            </w:pPr>
            <w:r>
              <w:rPr>
                <w:rFonts w:hint="eastAsia" w:ascii="宋体" w:hAnsi="宋体"/>
                <w:color w:val="auto"/>
                <w:sz w:val="24"/>
                <w:szCs w:val="24"/>
              </w:rPr>
              <w:t>情形</w:t>
            </w:r>
          </w:p>
        </w:tc>
        <w:tc>
          <w:tcPr>
            <w:tcW w:w="2409" w:type="dxa"/>
            <w:vAlign w:val="center"/>
          </w:tcPr>
          <w:p>
            <w:pPr>
              <w:snapToGrid w:val="0"/>
              <w:jc w:val="center"/>
              <w:rPr>
                <w:rFonts w:ascii="宋体" w:hAnsi="宋体"/>
                <w:color w:val="auto"/>
                <w:sz w:val="24"/>
                <w:szCs w:val="24"/>
              </w:rPr>
            </w:pPr>
            <w:r>
              <w:rPr>
                <w:rFonts w:hint="eastAsia" w:ascii="宋体" w:hAnsi="宋体"/>
                <w:color w:val="auto"/>
                <w:sz w:val="24"/>
                <w:szCs w:val="24"/>
              </w:rPr>
              <w:t>价格扣除比例</w:t>
            </w:r>
          </w:p>
        </w:tc>
        <w:tc>
          <w:tcPr>
            <w:tcW w:w="2643" w:type="dxa"/>
            <w:vAlign w:val="center"/>
          </w:tcPr>
          <w:p>
            <w:pPr>
              <w:snapToGrid w:val="0"/>
              <w:jc w:val="center"/>
              <w:rPr>
                <w:rFonts w:ascii="宋体" w:hAnsi="宋体"/>
                <w:color w:val="auto"/>
                <w:sz w:val="24"/>
                <w:szCs w:val="24"/>
              </w:rPr>
            </w:pPr>
            <w:r>
              <w:rPr>
                <w:rFonts w:hint="eastAsia" w:ascii="宋体" w:hAnsi="宋体"/>
                <w:color w:val="auto"/>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02" w:type="dxa"/>
            <w:vAlign w:val="center"/>
          </w:tcPr>
          <w:p>
            <w:pPr>
              <w:snapToGrid w:val="0"/>
              <w:jc w:val="center"/>
              <w:rPr>
                <w:rFonts w:ascii="宋体" w:hAnsi="宋体"/>
                <w:color w:val="auto"/>
                <w:sz w:val="24"/>
                <w:szCs w:val="24"/>
              </w:rPr>
            </w:pPr>
            <w:r>
              <w:rPr>
                <w:rFonts w:hint="eastAsia" w:ascii="宋体" w:hAnsi="宋体"/>
                <w:color w:val="auto"/>
                <w:sz w:val="24"/>
                <w:szCs w:val="24"/>
              </w:rPr>
              <w:t>1</w:t>
            </w:r>
          </w:p>
        </w:tc>
        <w:tc>
          <w:tcPr>
            <w:tcW w:w="3828" w:type="dxa"/>
            <w:vAlign w:val="center"/>
          </w:tcPr>
          <w:p>
            <w:pPr>
              <w:snapToGrid w:val="0"/>
              <w:jc w:val="center"/>
              <w:rPr>
                <w:rFonts w:ascii="宋体" w:hAnsi="宋体"/>
                <w:color w:val="auto"/>
                <w:sz w:val="24"/>
                <w:szCs w:val="24"/>
              </w:rPr>
            </w:pPr>
            <w:r>
              <w:rPr>
                <w:rFonts w:hint="eastAsia" w:ascii="宋体" w:hAnsi="宋体"/>
                <w:color w:val="auto"/>
                <w:sz w:val="24"/>
                <w:szCs w:val="24"/>
              </w:rPr>
              <w:t>非联合体投标人</w:t>
            </w:r>
          </w:p>
          <w:p>
            <w:pPr>
              <w:snapToGrid w:val="0"/>
              <w:jc w:val="center"/>
              <w:rPr>
                <w:rFonts w:ascii="宋体" w:hAnsi="宋体"/>
                <w:color w:val="auto"/>
                <w:sz w:val="24"/>
                <w:szCs w:val="24"/>
              </w:rPr>
            </w:pPr>
            <w:r>
              <w:rPr>
                <w:rFonts w:hint="eastAsia" w:ascii="宋体" w:hAnsi="宋体"/>
                <w:color w:val="auto"/>
                <w:sz w:val="24"/>
                <w:szCs w:val="24"/>
              </w:rPr>
              <w:t>（小型、微型企业）</w:t>
            </w:r>
          </w:p>
        </w:tc>
        <w:tc>
          <w:tcPr>
            <w:tcW w:w="2409" w:type="dxa"/>
            <w:vAlign w:val="center"/>
          </w:tcPr>
          <w:p>
            <w:pPr>
              <w:snapToGrid w:val="0"/>
              <w:jc w:val="center"/>
              <w:rPr>
                <w:rFonts w:ascii="宋体" w:hAnsi="宋体"/>
                <w:color w:val="auto"/>
                <w:sz w:val="24"/>
                <w:szCs w:val="24"/>
              </w:rPr>
            </w:pPr>
            <w:r>
              <w:rPr>
                <w:rFonts w:hint="eastAsia" w:ascii="宋体" w:hAnsi="宋体"/>
                <w:color w:val="auto"/>
                <w:sz w:val="24"/>
                <w:szCs w:val="24"/>
              </w:rPr>
              <w:t>6%</w:t>
            </w:r>
          </w:p>
        </w:tc>
        <w:tc>
          <w:tcPr>
            <w:tcW w:w="2643" w:type="dxa"/>
            <w:vMerge w:val="restart"/>
            <w:vAlign w:val="center"/>
          </w:tcPr>
          <w:p>
            <w:pPr>
              <w:snapToGrid w:val="0"/>
              <w:jc w:val="center"/>
              <w:rPr>
                <w:rFonts w:ascii="宋体" w:hAnsi="宋体"/>
                <w:color w:val="auto"/>
                <w:sz w:val="24"/>
                <w:szCs w:val="24"/>
              </w:rPr>
            </w:pPr>
            <w:r>
              <w:rPr>
                <w:rFonts w:hint="eastAsia" w:ascii="宋体" w:hAnsi="宋体"/>
                <w:color w:val="auto"/>
                <w:sz w:val="24"/>
                <w:szCs w:val="24"/>
              </w:rPr>
              <w:t>评标价＝投标总报价×（1-6%）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02" w:type="dxa"/>
            <w:vAlign w:val="center"/>
          </w:tcPr>
          <w:p>
            <w:pPr>
              <w:snapToGrid w:val="0"/>
              <w:jc w:val="center"/>
              <w:rPr>
                <w:rFonts w:ascii="宋体" w:hAnsi="宋体"/>
                <w:color w:val="auto"/>
                <w:sz w:val="24"/>
                <w:szCs w:val="24"/>
              </w:rPr>
            </w:pPr>
            <w:r>
              <w:rPr>
                <w:rFonts w:hint="eastAsia" w:ascii="宋体" w:hAnsi="宋体"/>
                <w:color w:val="auto"/>
                <w:sz w:val="24"/>
                <w:szCs w:val="24"/>
              </w:rPr>
              <w:t>2</w:t>
            </w:r>
          </w:p>
        </w:tc>
        <w:tc>
          <w:tcPr>
            <w:tcW w:w="3828" w:type="dxa"/>
            <w:vAlign w:val="center"/>
          </w:tcPr>
          <w:p>
            <w:pPr>
              <w:snapToGrid w:val="0"/>
              <w:jc w:val="center"/>
              <w:rPr>
                <w:rFonts w:ascii="宋体" w:hAnsi="宋体"/>
                <w:color w:val="auto"/>
                <w:sz w:val="24"/>
                <w:szCs w:val="24"/>
              </w:rPr>
            </w:pPr>
            <w:r>
              <w:rPr>
                <w:rFonts w:hint="eastAsia" w:ascii="宋体" w:hAnsi="宋体"/>
                <w:color w:val="auto"/>
                <w:sz w:val="24"/>
                <w:szCs w:val="24"/>
              </w:rPr>
              <w:t>联合体各方均为小型、微型企业</w:t>
            </w:r>
          </w:p>
        </w:tc>
        <w:tc>
          <w:tcPr>
            <w:tcW w:w="2409" w:type="dxa"/>
            <w:vAlign w:val="center"/>
          </w:tcPr>
          <w:p>
            <w:pPr>
              <w:snapToGrid w:val="0"/>
              <w:jc w:val="center"/>
              <w:rPr>
                <w:rFonts w:ascii="宋体" w:hAnsi="宋体"/>
                <w:color w:val="auto"/>
                <w:sz w:val="24"/>
                <w:szCs w:val="24"/>
              </w:rPr>
            </w:pPr>
            <w:r>
              <w:rPr>
                <w:rFonts w:hint="eastAsia" w:ascii="宋体" w:hAnsi="宋体"/>
                <w:color w:val="auto"/>
                <w:sz w:val="24"/>
                <w:szCs w:val="24"/>
              </w:rPr>
              <w:t>6%（不再享受本表序号3的价格扣除）</w:t>
            </w:r>
          </w:p>
        </w:tc>
        <w:tc>
          <w:tcPr>
            <w:tcW w:w="2643" w:type="dxa"/>
            <w:vMerge w:val="continue"/>
          </w:tcPr>
          <w:p>
            <w:pPr>
              <w:snapToGrid w:val="0"/>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02" w:type="dxa"/>
            <w:vAlign w:val="center"/>
          </w:tcPr>
          <w:p>
            <w:pPr>
              <w:snapToGrid w:val="0"/>
              <w:jc w:val="center"/>
              <w:rPr>
                <w:rFonts w:ascii="宋体" w:hAnsi="宋体"/>
                <w:color w:val="auto"/>
                <w:sz w:val="24"/>
                <w:szCs w:val="24"/>
              </w:rPr>
            </w:pPr>
            <w:r>
              <w:rPr>
                <w:rFonts w:hint="eastAsia" w:ascii="宋体" w:hAnsi="宋体"/>
                <w:color w:val="auto"/>
                <w:sz w:val="24"/>
                <w:szCs w:val="24"/>
              </w:rPr>
              <w:t>3</w:t>
            </w:r>
          </w:p>
        </w:tc>
        <w:tc>
          <w:tcPr>
            <w:tcW w:w="3828" w:type="dxa"/>
            <w:vAlign w:val="center"/>
          </w:tcPr>
          <w:p>
            <w:pPr>
              <w:snapToGrid w:val="0"/>
              <w:jc w:val="center"/>
              <w:rPr>
                <w:rFonts w:ascii="宋体" w:hAnsi="宋体"/>
                <w:color w:val="auto"/>
                <w:sz w:val="24"/>
                <w:szCs w:val="24"/>
              </w:rPr>
            </w:pPr>
            <w:r>
              <w:rPr>
                <w:rFonts w:hint="eastAsia" w:ascii="宋体" w:hAnsi="宋体"/>
                <w:color w:val="auto"/>
                <w:sz w:val="24"/>
                <w:szCs w:val="24"/>
              </w:rPr>
              <w:t>联合体一方为小型、微型企业且小型、微型企业协议合同金额占联合体协议合同总金额30%以上的</w:t>
            </w:r>
          </w:p>
        </w:tc>
        <w:tc>
          <w:tcPr>
            <w:tcW w:w="2409" w:type="dxa"/>
            <w:vAlign w:val="center"/>
          </w:tcPr>
          <w:p>
            <w:pPr>
              <w:snapToGrid w:val="0"/>
              <w:jc w:val="center"/>
              <w:rPr>
                <w:rFonts w:ascii="宋体" w:hAnsi="宋体"/>
                <w:color w:val="auto"/>
                <w:sz w:val="24"/>
                <w:szCs w:val="24"/>
              </w:rPr>
            </w:pPr>
            <w:r>
              <w:rPr>
                <w:rFonts w:hint="eastAsia" w:ascii="宋体" w:hAnsi="宋体"/>
                <w:color w:val="auto"/>
                <w:sz w:val="24"/>
                <w:szCs w:val="24"/>
              </w:rPr>
              <w:t>对联合体总金额扣除2%</w:t>
            </w:r>
          </w:p>
        </w:tc>
        <w:tc>
          <w:tcPr>
            <w:tcW w:w="2643" w:type="dxa"/>
            <w:vAlign w:val="center"/>
          </w:tcPr>
          <w:p>
            <w:pPr>
              <w:snapToGrid w:val="0"/>
              <w:jc w:val="center"/>
              <w:rPr>
                <w:rFonts w:ascii="宋体" w:hAnsi="宋体"/>
                <w:color w:val="auto"/>
                <w:sz w:val="24"/>
                <w:szCs w:val="24"/>
              </w:rPr>
            </w:pPr>
            <w:r>
              <w:rPr>
                <w:rFonts w:hint="eastAsia" w:ascii="宋体" w:hAnsi="宋体"/>
                <w:color w:val="auto"/>
                <w:sz w:val="24"/>
                <w:szCs w:val="24"/>
              </w:rPr>
              <w:t>评标价＝投标总报价×(1-2%)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482" w:type="dxa"/>
            <w:gridSpan w:val="4"/>
            <w:vAlign w:val="center"/>
          </w:tcPr>
          <w:p>
            <w:pPr>
              <w:snapToGrid w:val="0"/>
              <w:rPr>
                <w:rFonts w:ascii="宋体" w:hAnsi="宋体"/>
                <w:b/>
                <w:color w:val="auto"/>
                <w:sz w:val="21"/>
                <w:szCs w:val="21"/>
              </w:rPr>
            </w:pPr>
            <w:r>
              <w:rPr>
                <w:rFonts w:hint="eastAsia" w:ascii="宋体" w:hAnsi="宋体"/>
                <w:color w:val="auto"/>
                <w:sz w:val="21"/>
                <w:szCs w:val="21"/>
              </w:rPr>
              <w:t>注：</w:t>
            </w:r>
            <w:r>
              <w:rPr>
                <w:rFonts w:hint="eastAsia" w:ascii="宋体" w:hAnsi="宋体"/>
                <w:b/>
                <w:color w:val="auto"/>
                <w:sz w:val="21"/>
                <w:szCs w:val="21"/>
              </w:rPr>
              <w:t>（1）上述评标价仅用于计算价格评分，中标金额以实际投标价为准。</w:t>
            </w:r>
          </w:p>
          <w:p>
            <w:pPr>
              <w:widowControl/>
              <w:ind w:firstLine="316" w:firstLineChars="150"/>
              <w:jc w:val="left"/>
              <w:rPr>
                <w:rFonts w:ascii="宋体" w:hAnsi="宋体"/>
                <w:b/>
                <w:color w:val="auto"/>
                <w:sz w:val="21"/>
                <w:szCs w:val="21"/>
              </w:rPr>
            </w:pPr>
            <w:r>
              <w:rPr>
                <w:rFonts w:hint="eastAsia" w:ascii="宋体" w:hAnsi="宋体"/>
                <w:b/>
                <w:color w:val="auto"/>
                <w:sz w:val="21"/>
                <w:szCs w:val="21"/>
              </w:rPr>
              <w:t>（2）小型、微型企业是指投标人及其所投核心产品的制造商均为小型、微型企业。（如实填写后附《政府采购政策情况表》）</w:t>
            </w:r>
          </w:p>
          <w:p>
            <w:pPr>
              <w:widowControl/>
              <w:ind w:firstLine="316" w:firstLineChars="150"/>
              <w:jc w:val="left"/>
              <w:rPr>
                <w:rFonts w:ascii="宋体" w:hAnsi="宋体"/>
                <w:color w:val="auto"/>
                <w:sz w:val="24"/>
                <w:szCs w:val="24"/>
              </w:rPr>
            </w:pPr>
            <w:r>
              <w:rPr>
                <w:rFonts w:hint="eastAsia" w:ascii="宋体" w:hAnsi="宋体"/>
                <w:b/>
                <w:color w:val="auto"/>
                <w:sz w:val="21"/>
                <w:szCs w:val="21"/>
              </w:rPr>
              <w:t>（3）组成联合体的大中型企业和其他自然人、法人或者其他组织，与小型、微型企业之间不得存在投资关系。</w:t>
            </w:r>
          </w:p>
        </w:tc>
      </w:tr>
    </w:tbl>
    <w:p>
      <w:pPr>
        <w:widowControl/>
        <w:spacing w:line="360" w:lineRule="auto"/>
        <w:ind w:firstLine="480" w:firstLineChars="200"/>
        <w:jc w:val="left"/>
        <w:rPr>
          <w:rFonts w:ascii="宋体" w:hAnsi="宋体"/>
          <w:color w:val="auto"/>
          <w:sz w:val="24"/>
          <w:szCs w:val="24"/>
        </w:rPr>
      </w:pPr>
      <w:r>
        <w:rPr>
          <w:rFonts w:hint="eastAsia" w:ascii="宋体" w:hAnsi="宋体"/>
          <w:color w:val="auto"/>
          <w:sz w:val="24"/>
          <w:szCs w:val="24"/>
        </w:rPr>
        <w:t>2.价格扣除相关要求。</w:t>
      </w:r>
    </w:p>
    <w:p>
      <w:pPr>
        <w:widowControl/>
        <w:spacing w:line="360" w:lineRule="auto"/>
        <w:ind w:firstLine="480" w:firstLineChars="200"/>
        <w:jc w:val="left"/>
        <w:rPr>
          <w:rFonts w:ascii="宋体" w:hAnsi="宋体"/>
          <w:color w:val="auto"/>
          <w:sz w:val="24"/>
          <w:szCs w:val="24"/>
        </w:rPr>
      </w:pPr>
      <w:r>
        <w:rPr>
          <w:rFonts w:hint="eastAsia" w:ascii="宋体" w:hAnsi="宋体"/>
          <w:color w:val="auto"/>
          <w:sz w:val="24"/>
          <w:szCs w:val="24"/>
        </w:rPr>
        <w:t>所称小型和微型企业应当同时符合以下条件：</w:t>
      </w:r>
    </w:p>
    <w:p>
      <w:pPr>
        <w:spacing w:line="360" w:lineRule="auto"/>
        <w:ind w:firstLine="360" w:firstLineChars="150"/>
        <w:rPr>
          <w:rFonts w:ascii="宋体" w:hAnsi="宋体"/>
          <w:color w:val="auto"/>
          <w:sz w:val="24"/>
          <w:szCs w:val="24"/>
        </w:rPr>
      </w:pPr>
      <w:r>
        <w:rPr>
          <w:rFonts w:hint="eastAsia" w:ascii="宋体" w:hAnsi="宋体"/>
          <w:color w:val="auto"/>
          <w:sz w:val="24"/>
          <w:szCs w:val="24"/>
        </w:rPr>
        <w:t>（1）符合中小企业划分标准：是指国务院有关部门根据企业从业人员、营业收入、资产总额等指标制定的中小企业划型标准。（详见《关于印发中小企业划型标准规定的通知》工信部联企业〔2011〕300号）</w:t>
      </w:r>
    </w:p>
    <w:p>
      <w:pPr>
        <w:widowControl/>
        <w:spacing w:line="360" w:lineRule="auto"/>
        <w:ind w:firstLine="480" w:firstLineChars="200"/>
        <w:jc w:val="left"/>
        <w:rPr>
          <w:rFonts w:ascii="宋体" w:hAnsi="宋体"/>
          <w:color w:val="auto"/>
          <w:sz w:val="24"/>
          <w:szCs w:val="24"/>
        </w:rPr>
      </w:pPr>
      <w:r>
        <w:rPr>
          <w:rFonts w:hint="eastAsia" w:ascii="宋体" w:hAnsi="宋体"/>
          <w:color w:val="auto"/>
          <w:sz w:val="24"/>
          <w:szCs w:val="24"/>
        </w:rPr>
        <w:t>提供本企业制造的货物、承担的工程或者服务，或者提供其他中小企业制造的货物。</w:t>
      </w:r>
      <w:bookmarkStart w:id="25" w:name="OLE_LINK1"/>
      <w:bookmarkStart w:id="26" w:name="OLE_LINK9"/>
      <w:r>
        <w:rPr>
          <w:rFonts w:hint="eastAsia" w:ascii="宋体" w:hAnsi="宋体"/>
          <w:color w:val="auto"/>
          <w:sz w:val="24"/>
          <w:szCs w:val="24"/>
        </w:rPr>
        <w:t>本项所称货物不包括使用大型企业注册商标的货物。</w:t>
      </w:r>
      <w:bookmarkEnd w:id="25"/>
      <w:bookmarkEnd w:id="26"/>
      <w:r>
        <w:rPr>
          <w:rFonts w:hint="eastAsia" w:ascii="宋体" w:hAnsi="宋体"/>
          <w:color w:val="auto"/>
          <w:sz w:val="24"/>
          <w:szCs w:val="24"/>
        </w:rPr>
        <w:t>小型、微型企业提供中型企业制造的货物的，视同为中型企业。</w:t>
      </w:r>
    </w:p>
    <w:p>
      <w:pPr>
        <w:widowControl/>
        <w:spacing w:line="360" w:lineRule="auto"/>
        <w:ind w:firstLine="480" w:firstLineChars="200"/>
        <w:jc w:val="left"/>
        <w:rPr>
          <w:rFonts w:ascii="宋体" w:hAnsi="宋体"/>
          <w:color w:val="auto"/>
          <w:sz w:val="24"/>
          <w:szCs w:val="24"/>
        </w:rPr>
      </w:pPr>
      <w:r>
        <w:rPr>
          <w:rFonts w:hint="eastAsia" w:ascii="宋体" w:hAnsi="宋体"/>
          <w:color w:val="auto"/>
          <w:sz w:val="24"/>
          <w:szCs w:val="24"/>
        </w:rPr>
        <w:t>（2）小微企业以投标人填写的《中小企业声明函》为判定标准；监狱企业须投标人提供由监狱管理局、戒毒管理局（含新疆生产建设兵团）出具的属于监狱企业的证明文件为判定标准；残疾人福利性单位以投标人填写的</w:t>
      </w:r>
      <w:bookmarkStart w:id="27" w:name="OLE_LINK14"/>
      <w:bookmarkStart w:id="28" w:name="OLE_LINK13"/>
      <w:r>
        <w:rPr>
          <w:rFonts w:hint="eastAsia" w:ascii="宋体" w:hAnsi="宋体"/>
          <w:color w:val="auto"/>
          <w:sz w:val="24"/>
          <w:szCs w:val="24"/>
        </w:rPr>
        <w:t>《残疾人福利性单位声明函》</w:t>
      </w:r>
      <w:bookmarkEnd w:id="27"/>
      <w:bookmarkEnd w:id="28"/>
      <w:r>
        <w:rPr>
          <w:rFonts w:hint="eastAsia" w:ascii="宋体" w:hAnsi="宋体"/>
          <w:color w:val="auto"/>
          <w:sz w:val="24"/>
          <w:szCs w:val="24"/>
        </w:rPr>
        <w:t>为判定标准，否则不认定价格扣除。</w:t>
      </w:r>
    </w:p>
    <w:p>
      <w:pPr>
        <w:widowControl/>
        <w:spacing w:line="360" w:lineRule="auto"/>
        <w:ind w:firstLine="360" w:firstLineChars="150"/>
        <w:jc w:val="left"/>
        <w:rPr>
          <w:rFonts w:ascii="宋体" w:hAnsi="宋体"/>
          <w:color w:val="auto"/>
          <w:sz w:val="24"/>
          <w:szCs w:val="24"/>
        </w:rPr>
      </w:pPr>
      <w:r>
        <w:rPr>
          <w:rFonts w:hint="eastAsia" w:ascii="宋体" w:hAnsi="宋体"/>
          <w:color w:val="auto"/>
          <w:sz w:val="24"/>
          <w:szCs w:val="24"/>
        </w:rPr>
        <w:t>（3）提供投标人的《中小企业声明函》、《残疾人福利性单位声明函》（格式后附，不可修改），未提供、未盖章的不予价格扣除。</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（4）提供声明函不实或在政府采购活动中有违法违规行为的，取消其中标资格，并严格按照相关法律法规处理。</w:t>
      </w:r>
    </w:p>
    <w:p>
      <w:pPr>
        <w:spacing w:line="360" w:lineRule="auto"/>
        <w:ind w:firstLine="600" w:firstLineChars="250"/>
        <w:rPr>
          <w:rFonts w:ascii="宋体" w:hAnsi="宋体"/>
          <w:color w:val="auto"/>
          <w:sz w:val="24"/>
          <w:szCs w:val="24"/>
        </w:rPr>
      </w:pPr>
      <w:r>
        <w:rPr>
          <w:rFonts w:ascii="宋体" w:hAnsi="宋体"/>
          <w:color w:val="auto"/>
          <w:sz w:val="24"/>
          <w:szCs w:val="24"/>
        </w:rPr>
        <w:br w:type="page"/>
      </w:r>
    </w:p>
    <w:p>
      <w:pPr>
        <w:spacing w:line="360" w:lineRule="auto"/>
        <w:rPr>
          <w:rFonts w:ascii="宋体" w:hAnsi="宋体" w:cs="宋体"/>
          <w:b/>
          <w:color w:val="auto"/>
          <w:kern w:val="0"/>
          <w:sz w:val="24"/>
          <w:szCs w:val="24"/>
        </w:rPr>
      </w:pPr>
      <w:r>
        <w:rPr>
          <w:rFonts w:hint="eastAsia" w:ascii="宋体" w:hAnsi="宋体" w:cs="宋体"/>
          <w:b/>
          <w:color w:val="auto"/>
          <w:kern w:val="0"/>
          <w:sz w:val="24"/>
          <w:szCs w:val="24"/>
        </w:rPr>
        <w:t>表一初审表：</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913"/>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vMerge w:val="restart"/>
            <w:tcBorders>
              <w:top w:val="single" w:color="auto" w:sz="4" w:space="0"/>
              <w:left w:val="single" w:color="auto" w:sz="4" w:space="0"/>
              <w:right w:val="single" w:color="auto" w:sz="4" w:space="0"/>
            </w:tcBorders>
            <w:vAlign w:val="center"/>
          </w:tcPr>
          <w:p>
            <w:pPr>
              <w:jc w:val="left"/>
              <w:rPr>
                <w:rFonts w:ascii="宋体" w:hAnsi="宋体"/>
                <w:color w:val="auto"/>
                <w:sz w:val="21"/>
                <w:szCs w:val="21"/>
              </w:rPr>
            </w:pPr>
            <w:r>
              <w:rPr>
                <w:rFonts w:hint="eastAsia" w:ascii="宋体" w:hAnsi="宋体"/>
                <w:color w:val="auto"/>
                <w:sz w:val="21"/>
                <w:szCs w:val="21"/>
              </w:rPr>
              <w:t>资格性检查</w:t>
            </w:r>
          </w:p>
          <w:p>
            <w:pPr>
              <w:jc w:val="left"/>
              <w:rPr>
                <w:rFonts w:ascii="宋体" w:hAnsi="宋体"/>
                <w:color w:val="auto"/>
                <w:sz w:val="21"/>
                <w:szCs w:val="21"/>
              </w:rPr>
            </w:pPr>
          </w:p>
        </w:tc>
        <w:tc>
          <w:tcPr>
            <w:tcW w:w="2913" w:type="dxa"/>
            <w:tcBorders>
              <w:top w:val="single" w:color="auto" w:sz="4" w:space="0"/>
              <w:left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报名及保证金缴纳情况</w:t>
            </w:r>
          </w:p>
        </w:tc>
        <w:tc>
          <w:tcPr>
            <w:tcW w:w="6258" w:type="dxa"/>
            <w:tcBorders>
              <w:top w:val="single" w:color="auto" w:sz="4" w:space="0"/>
              <w:left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按要求进行网上报名，进行保证金缴纳（审查汇款凭证）。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57" w:type="dxa"/>
            <w:vMerge w:val="continue"/>
            <w:tcBorders>
              <w:left w:val="single" w:color="auto" w:sz="4" w:space="0"/>
              <w:right w:val="single" w:color="auto" w:sz="4" w:space="0"/>
            </w:tcBorders>
            <w:vAlign w:val="center"/>
          </w:tcPr>
          <w:p>
            <w:pPr>
              <w:jc w:val="left"/>
              <w:rPr>
                <w:rFonts w:ascii="宋体" w:hAnsi="宋体"/>
                <w:color w:val="auto"/>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具有独立承担民事责任的能力</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审查有效的营业执照或事业单位法人证书或执业许可证或自然人的身份证明。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auto"/>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具有良好的商业信誉</w:t>
            </w:r>
          </w:p>
        </w:tc>
        <w:tc>
          <w:tcPr>
            <w:tcW w:w="625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r>
              <w:rPr>
                <w:rFonts w:hint="eastAsia" w:ascii="宋体" w:hAnsi="宋体"/>
                <w:color w:val="auto"/>
                <w:sz w:val="24"/>
                <w:szCs w:val="24"/>
              </w:rPr>
              <w:t>1.供应商需提供由“征信中心网”（https://ipcrs.pbccrc.org.cn/）查询的信用报告。</w:t>
            </w:r>
          </w:p>
          <w:p>
            <w:pPr>
              <w:jc w:val="left"/>
              <w:rPr>
                <w:rFonts w:ascii="宋体" w:hAnsi="宋体"/>
                <w:color w:val="auto"/>
                <w:sz w:val="24"/>
                <w:szCs w:val="24"/>
              </w:rPr>
            </w:pPr>
            <w:r>
              <w:rPr>
                <w:rFonts w:hint="eastAsia" w:ascii="宋体" w:hAnsi="宋体"/>
                <w:color w:val="auto"/>
                <w:sz w:val="24"/>
                <w:szCs w:val="24"/>
              </w:rPr>
              <w:t>2.供应商是企业或个体经营户的需带公司法人身份证及公司营业执照和公章去项目所在地或当地中国人民银行出具信用报告。</w:t>
            </w:r>
            <w:r>
              <w:rPr>
                <w:rFonts w:ascii="宋体" w:hAnsi="宋体"/>
                <w:b/>
                <w:color w:val="auto"/>
                <w:sz w:val="24"/>
                <w:szCs w:val="24"/>
              </w:rPr>
              <w:br w:type="pag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auto"/>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有依法缴纳税收和社会保障资金的良好记录</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1.201</w:t>
            </w:r>
            <w:r>
              <w:rPr>
                <w:rFonts w:hint="eastAsia" w:ascii="宋体" w:hAnsi="宋体"/>
                <w:color w:val="auto"/>
                <w:sz w:val="24"/>
                <w:szCs w:val="24"/>
                <w:lang w:val="en-US" w:eastAsia="zh-CN"/>
              </w:rPr>
              <w:t>9</w:t>
            </w:r>
            <w:r>
              <w:rPr>
                <w:rFonts w:hint="eastAsia" w:ascii="宋体" w:hAnsi="宋体"/>
                <w:color w:val="auto"/>
                <w:sz w:val="24"/>
                <w:szCs w:val="24"/>
              </w:rPr>
              <w:t>年</w:t>
            </w:r>
            <w:r>
              <w:rPr>
                <w:rFonts w:hint="eastAsia" w:ascii="宋体" w:hAnsi="宋体"/>
                <w:color w:val="auto"/>
                <w:sz w:val="24"/>
                <w:szCs w:val="24"/>
                <w:lang w:val="en-US" w:eastAsia="zh-CN"/>
              </w:rPr>
              <w:t>6</w:t>
            </w:r>
            <w:r>
              <w:rPr>
                <w:rFonts w:hint="eastAsia" w:ascii="宋体" w:hAnsi="宋体"/>
                <w:color w:val="auto"/>
                <w:sz w:val="24"/>
                <w:szCs w:val="24"/>
              </w:rPr>
              <w:t>月至开标当日的任意一个月缴纳增值税、营业税或企业所得税的凭据。</w:t>
            </w:r>
          </w:p>
          <w:p>
            <w:pPr>
              <w:jc w:val="left"/>
              <w:rPr>
                <w:rFonts w:ascii="宋体" w:hAnsi="宋体"/>
                <w:color w:val="auto"/>
                <w:sz w:val="24"/>
                <w:szCs w:val="24"/>
              </w:rPr>
            </w:pPr>
            <w:r>
              <w:rPr>
                <w:rFonts w:hint="eastAsia" w:ascii="宋体" w:hAnsi="宋体"/>
                <w:color w:val="auto"/>
                <w:sz w:val="24"/>
                <w:szCs w:val="24"/>
              </w:rPr>
              <w:t>2.201</w:t>
            </w:r>
            <w:r>
              <w:rPr>
                <w:rFonts w:hint="eastAsia" w:ascii="宋体" w:hAnsi="宋体"/>
                <w:color w:val="auto"/>
                <w:sz w:val="24"/>
                <w:szCs w:val="24"/>
                <w:lang w:val="en-US" w:eastAsia="zh-CN"/>
              </w:rPr>
              <w:t>9</w:t>
            </w:r>
            <w:r>
              <w:rPr>
                <w:rFonts w:hint="eastAsia" w:ascii="宋体" w:hAnsi="宋体"/>
                <w:color w:val="auto"/>
                <w:sz w:val="24"/>
                <w:szCs w:val="24"/>
              </w:rPr>
              <w:t>年</w:t>
            </w:r>
            <w:r>
              <w:rPr>
                <w:rFonts w:hint="eastAsia" w:ascii="宋体" w:hAnsi="宋体"/>
                <w:color w:val="auto"/>
                <w:sz w:val="24"/>
                <w:szCs w:val="24"/>
                <w:lang w:val="en-US" w:eastAsia="zh-CN"/>
              </w:rPr>
              <w:t>6</w:t>
            </w:r>
            <w:r>
              <w:rPr>
                <w:rFonts w:hint="eastAsia" w:ascii="宋体" w:hAnsi="宋体"/>
                <w:color w:val="auto"/>
                <w:sz w:val="24"/>
                <w:szCs w:val="24"/>
              </w:rPr>
              <w:t>月至开标当日的任意一个月缴纳社会保险的凭据（专用收据或社保缴纳清单）</w:t>
            </w:r>
          </w:p>
          <w:p>
            <w:pPr>
              <w:jc w:val="left"/>
              <w:rPr>
                <w:rFonts w:ascii="宋体" w:hAnsi="宋体"/>
                <w:color w:val="auto"/>
                <w:sz w:val="24"/>
                <w:szCs w:val="24"/>
              </w:rPr>
            </w:pPr>
            <w:r>
              <w:rPr>
                <w:rFonts w:hint="eastAsia" w:ascii="宋体" w:hAnsi="宋体"/>
                <w:color w:val="auto"/>
                <w:sz w:val="24"/>
                <w:szCs w:val="24"/>
              </w:rPr>
              <w:t>依法免税和无需缴纳社会保险的必须提供相关主管部门出具的证明。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auto"/>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具有履行合同所必须的设备和专业技术能力</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经营范围符合采购需求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auto"/>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参加采购活动近三年内，在经营活动中没有重大违法记录</w:t>
            </w:r>
          </w:p>
        </w:tc>
        <w:tc>
          <w:tcPr>
            <w:tcW w:w="6258" w:type="dxa"/>
            <w:tcBorders>
              <w:top w:val="single" w:color="auto" w:sz="4" w:space="0"/>
              <w:left w:val="single" w:color="auto" w:sz="4" w:space="0"/>
              <w:bottom w:val="single" w:color="auto" w:sz="4" w:space="0"/>
              <w:right w:val="single" w:color="auto" w:sz="4" w:space="0"/>
            </w:tcBorders>
            <w:vAlign w:val="center"/>
          </w:tcPr>
          <w:p>
            <w:pPr>
              <w:pStyle w:val="2"/>
              <w:spacing w:line="240" w:lineRule="auto"/>
              <w:jc w:val="left"/>
              <w:rPr>
                <w:rFonts w:ascii="宋体" w:hAnsi="宋体" w:cs="宋体"/>
                <w:bCs/>
                <w:color w:val="auto"/>
                <w:kern w:val="36"/>
                <w:sz w:val="24"/>
                <w:szCs w:val="24"/>
              </w:rPr>
            </w:pPr>
            <w:r>
              <w:rPr>
                <w:rFonts w:hint="eastAsia" w:ascii="宋体" w:hAnsi="宋体" w:cs="宋体"/>
                <w:bCs/>
                <w:color w:val="auto"/>
                <w:kern w:val="36"/>
                <w:sz w:val="24"/>
                <w:szCs w:val="24"/>
              </w:rPr>
              <w:t>1.审查参加政府采购活动近三年内在经营活动中没有重大违法违规记录书面声明函；</w:t>
            </w:r>
          </w:p>
          <w:p>
            <w:pPr>
              <w:pStyle w:val="2"/>
              <w:spacing w:line="240" w:lineRule="auto"/>
              <w:jc w:val="left"/>
              <w:rPr>
                <w:rFonts w:ascii="宋体" w:hAnsi="宋体" w:cs="宋体"/>
                <w:bCs/>
                <w:color w:val="auto"/>
                <w:kern w:val="36"/>
                <w:sz w:val="24"/>
                <w:szCs w:val="24"/>
              </w:rPr>
            </w:pPr>
            <w:r>
              <w:rPr>
                <w:rFonts w:hint="eastAsia" w:ascii="宋体" w:hAnsi="宋体" w:cs="宋体"/>
                <w:bCs/>
                <w:color w:val="auto"/>
                <w:kern w:val="36"/>
                <w:sz w:val="24"/>
                <w:szCs w:val="24"/>
              </w:rPr>
              <w:t>2.供应商是法人或其他组织的，需提供企业工商注册所在地或项目所在地信用管理中心出具的《信用信息查询结果》且在有效期范围内。</w:t>
            </w:r>
          </w:p>
          <w:p>
            <w:pPr>
              <w:pStyle w:val="2"/>
              <w:spacing w:line="240" w:lineRule="auto"/>
              <w:jc w:val="left"/>
              <w:rPr>
                <w:rFonts w:ascii="宋体" w:hAnsi="宋体"/>
                <w:color w:val="auto"/>
                <w:sz w:val="24"/>
                <w:szCs w:val="24"/>
              </w:rPr>
            </w:pPr>
            <w:r>
              <w:rPr>
                <w:rFonts w:hint="eastAsia" w:ascii="宋体" w:hAnsi="宋体" w:cs="宋体"/>
                <w:bCs/>
                <w:color w:val="auto"/>
                <w:kern w:val="36"/>
                <w:sz w:val="24"/>
                <w:szCs w:val="24"/>
              </w:rPr>
              <w:t>3.供应商未被“中国政府采购网”（www.ccgp.gov.cn）列入有关违法违规纪录（提供供应商网上查询结果截图）。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auto"/>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pStyle w:val="2"/>
              <w:spacing w:line="240" w:lineRule="auto"/>
              <w:jc w:val="left"/>
              <w:rPr>
                <w:rFonts w:ascii="宋体" w:hAnsi="宋体" w:cs="宋体"/>
                <w:bCs/>
                <w:color w:val="auto"/>
                <w:kern w:val="36"/>
                <w:sz w:val="24"/>
                <w:szCs w:val="24"/>
              </w:rPr>
            </w:pPr>
            <w:r>
              <w:rPr>
                <w:rFonts w:hint="eastAsia" w:ascii="宋体" w:hAnsi="宋体" w:cs="宋体"/>
                <w:bCs/>
                <w:color w:val="auto"/>
                <w:kern w:val="36"/>
                <w:sz w:val="24"/>
                <w:szCs w:val="24"/>
              </w:rPr>
              <w:t>其他资格要求</w:t>
            </w:r>
          </w:p>
        </w:tc>
        <w:tc>
          <w:tcPr>
            <w:tcW w:w="6258" w:type="dxa"/>
            <w:tcBorders>
              <w:top w:val="single" w:color="auto" w:sz="4" w:space="0"/>
              <w:left w:val="single" w:color="auto" w:sz="4" w:space="0"/>
              <w:bottom w:val="single" w:color="auto" w:sz="4" w:space="0"/>
              <w:right w:val="single" w:color="auto" w:sz="4" w:space="0"/>
            </w:tcBorders>
            <w:vAlign w:val="center"/>
          </w:tcPr>
          <w:p>
            <w:pPr>
              <w:pStyle w:val="2"/>
              <w:spacing w:line="240" w:lineRule="auto"/>
              <w:jc w:val="left"/>
              <w:rPr>
                <w:rFonts w:ascii="宋体" w:hAnsi="宋体" w:cs="宋体"/>
                <w:bCs/>
                <w:color w:val="auto"/>
                <w:kern w:val="36"/>
                <w:sz w:val="24"/>
                <w:szCs w:val="24"/>
              </w:rPr>
            </w:pPr>
            <w:r>
              <w:rPr>
                <w:rFonts w:hint="eastAsia" w:ascii="宋体" w:hAnsi="宋体" w:cs="宋体"/>
                <w:bCs/>
                <w:color w:val="auto"/>
                <w:kern w:val="36"/>
                <w:sz w:val="24"/>
                <w:szCs w:val="24"/>
              </w:rPr>
              <w:t>无其他资质要求。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auto"/>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其他要求</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招标文件要求的其他无效投标情形；围标、串标和法律法规规定的其它无效投标条款。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57" w:type="dxa"/>
            <w:vMerge w:val="restart"/>
            <w:tcBorders>
              <w:left w:val="single" w:color="auto" w:sz="4" w:space="0"/>
              <w:right w:val="single" w:color="auto" w:sz="4" w:space="0"/>
            </w:tcBorders>
            <w:vAlign w:val="center"/>
          </w:tcPr>
          <w:p>
            <w:pPr>
              <w:rPr>
                <w:rFonts w:ascii="宋体" w:hAnsi="宋体"/>
                <w:color w:val="auto"/>
                <w:sz w:val="21"/>
                <w:szCs w:val="21"/>
              </w:rPr>
            </w:pPr>
            <w:r>
              <w:rPr>
                <w:rFonts w:hint="eastAsia" w:ascii="宋体" w:hAnsi="宋体"/>
                <w:color w:val="auto"/>
                <w:sz w:val="21"/>
                <w:szCs w:val="21"/>
              </w:rPr>
              <w:t>符合性检查</w:t>
            </w:r>
          </w:p>
          <w:p>
            <w:pPr>
              <w:rPr>
                <w:rFonts w:ascii="宋体" w:hAnsi="宋体"/>
                <w:color w:val="auto"/>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投标承诺书及法人授权委托书</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符合招标文件要求。（格式、填写要求、签署、盖章、委托人身份等）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pPr>
              <w:rPr>
                <w:rFonts w:ascii="宋体" w:hAnsi="宋体"/>
                <w:color w:val="auto"/>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开标一览表</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符合招标文件要求。（格式、填写要求、签署、盖章等）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pPr>
              <w:rPr>
                <w:rFonts w:ascii="宋体" w:hAnsi="宋体"/>
                <w:color w:val="auto"/>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响应文件规范性、符合性</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响应文件的编制、密封、装订、签署、盖章、涂改、删除、插字、公章使用等符合招标文件要求；响应文件的格式、文字、目录、页码等符合招标文件要求或对投标无实质性影响。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457" w:type="dxa"/>
            <w:vMerge w:val="continue"/>
            <w:tcBorders>
              <w:left w:val="single" w:color="auto" w:sz="4" w:space="0"/>
              <w:right w:val="single" w:color="auto" w:sz="4" w:space="0"/>
            </w:tcBorders>
            <w:vAlign w:val="center"/>
          </w:tcPr>
          <w:p>
            <w:pPr>
              <w:rPr>
                <w:rFonts w:ascii="宋体" w:hAnsi="宋体"/>
                <w:color w:val="auto"/>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投标有效期</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pPr>
              <w:rPr>
                <w:rFonts w:ascii="宋体" w:hAnsi="宋体"/>
                <w:color w:val="auto"/>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主要商务条款</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满足招标文件关于交付使用时间、质保期、付款方式要求。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pPr>
              <w:rPr>
                <w:rFonts w:ascii="宋体" w:hAnsi="宋体"/>
                <w:color w:val="auto"/>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附加条件</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响应文件中不含采购人不能接受的附加条件。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pPr>
              <w:rPr>
                <w:rFonts w:ascii="宋体" w:hAnsi="宋体"/>
                <w:color w:val="auto"/>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联合体投标</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 w:val="24"/>
                <w:szCs w:val="24"/>
              </w:rPr>
            </w:pPr>
            <w:r>
              <w:rPr>
                <w:rFonts w:hint="eastAsia" w:ascii="宋体" w:hAnsi="宋体"/>
                <w:color w:val="auto"/>
                <w:sz w:val="24"/>
                <w:szCs w:val="24"/>
              </w:rPr>
              <w:t>本项目不接受联合体投标。（如要求联合体投标，符合本招标文件对联合体投标的相关要求）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57" w:type="dxa"/>
            <w:vMerge w:val="continue"/>
            <w:tcBorders>
              <w:left w:val="single" w:color="auto" w:sz="4" w:space="0"/>
              <w:right w:val="single" w:color="auto" w:sz="4" w:space="0"/>
            </w:tcBorders>
            <w:vAlign w:val="center"/>
          </w:tcPr>
          <w:p>
            <w:pPr>
              <w:rPr>
                <w:rFonts w:ascii="宋体" w:hAnsi="宋体"/>
                <w:color w:val="auto"/>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投标报价</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 w:val="24"/>
                <w:szCs w:val="24"/>
              </w:rPr>
            </w:pPr>
            <w:r>
              <w:rPr>
                <w:rFonts w:hint="eastAsia" w:ascii="宋体" w:hAnsi="宋体"/>
                <w:color w:val="auto"/>
                <w:sz w:val="24"/>
                <w:szCs w:val="24"/>
              </w:rPr>
              <w:t>未超过采购预算、不缺项漏项。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jc w:val="center"/>
        </w:trPr>
        <w:tc>
          <w:tcPr>
            <w:tcW w:w="457" w:type="dxa"/>
            <w:tcBorders>
              <w:left w:val="single" w:color="auto" w:sz="4" w:space="0"/>
              <w:right w:val="single" w:color="auto" w:sz="4" w:space="0"/>
            </w:tcBorders>
            <w:vAlign w:val="center"/>
          </w:tcPr>
          <w:p>
            <w:pPr>
              <w:rPr>
                <w:rFonts w:ascii="宋体" w:hAnsi="宋体"/>
                <w:color w:val="auto"/>
                <w:sz w:val="21"/>
                <w:szCs w:val="21"/>
              </w:rPr>
            </w:pPr>
          </w:p>
        </w:tc>
        <w:tc>
          <w:tcPr>
            <w:tcW w:w="2913" w:type="dxa"/>
            <w:tcBorders>
              <w:top w:val="single" w:color="auto" w:sz="4" w:space="0"/>
              <w:left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特别说明</w:t>
            </w:r>
          </w:p>
        </w:tc>
        <w:tc>
          <w:tcPr>
            <w:tcW w:w="6258" w:type="dxa"/>
            <w:tcBorders>
              <w:top w:val="single" w:color="auto" w:sz="4" w:space="0"/>
              <w:left w:val="single" w:color="auto" w:sz="4" w:space="0"/>
              <w:right w:val="single" w:color="auto" w:sz="4" w:space="0"/>
            </w:tcBorders>
            <w:vAlign w:val="center"/>
          </w:tcPr>
          <w:p>
            <w:pPr>
              <w:rPr>
                <w:rFonts w:ascii="宋体" w:hAnsi="宋体"/>
                <w:color w:val="auto"/>
                <w:sz w:val="24"/>
                <w:szCs w:val="24"/>
              </w:rPr>
            </w:pPr>
            <w:r>
              <w:rPr>
                <w:rFonts w:hint="eastAsia" w:ascii="宋体" w:hAnsi="宋体" w:cs="宋体"/>
                <w:bCs/>
                <w:color w:val="auto"/>
                <w:kern w:val="36"/>
                <w:sz w:val="24"/>
                <w:szCs w:val="24"/>
              </w:rPr>
              <w:t>说明：1.供应商提供的《信用查询结果》、中国政府采购网查询截图以及</w:t>
            </w:r>
            <w:r>
              <w:rPr>
                <w:rFonts w:hint="eastAsia" w:ascii="宋体" w:hAnsi="宋体"/>
                <w:color w:val="auto"/>
                <w:sz w:val="24"/>
                <w:szCs w:val="24"/>
              </w:rPr>
              <w:t>“征信中心网”查询的信用报告</w:t>
            </w:r>
            <w:r>
              <w:rPr>
                <w:rFonts w:hint="eastAsia" w:ascii="宋体" w:hAnsi="宋体" w:cs="宋体"/>
                <w:bCs/>
                <w:color w:val="auto"/>
                <w:kern w:val="36"/>
                <w:sz w:val="24"/>
                <w:szCs w:val="24"/>
              </w:rPr>
              <w:t>中，如有失信记录的，已处理失信情况则需要提供已处理证明材料；2.以上要求提供的资料，供应商应在响应文件中提供，采购文件中要求提供原件的应提供原件，其他的提供复印件（加盖投标单位公章，如是自然人无公章的需本人签字确认），如有不提供、弄虚作假等行为的，评标委员会有权否决其投标资格。</w:t>
            </w:r>
          </w:p>
        </w:tc>
      </w:tr>
    </w:tbl>
    <w:p>
      <w:pPr>
        <w:spacing w:line="360" w:lineRule="auto"/>
        <w:rPr>
          <w:rFonts w:hint="eastAsia" w:ascii="宋体" w:hAnsi="宋体" w:cs="宋体"/>
          <w:b/>
          <w:color w:val="auto"/>
          <w:kern w:val="0"/>
          <w:sz w:val="24"/>
          <w:szCs w:val="24"/>
        </w:rPr>
      </w:pPr>
    </w:p>
    <w:p>
      <w:pPr>
        <w:spacing w:line="360" w:lineRule="auto"/>
        <w:rPr>
          <w:rFonts w:hint="eastAsia" w:ascii="宋体" w:hAnsi="宋体" w:cs="宋体"/>
          <w:b/>
          <w:color w:val="auto"/>
          <w:kern w:val="0"/>
          <w:sz w:val="24"/>
          <w:szCs w:val="24"/>
        </w:rPr>
      </w:pPr>
    </w:p>
    <w:p>
      <w:pPr>
        <w:spacing w:line="360" w:lineRule="auto"/>
        <w:rPr>
          <w:rFonts w:hint="eastAsia" w:ascii="宋体" w:hAnsi="宋体" w:cs="宋体"/>
          <w:b/>
          <w:color w:val="auto"/>
          <w:kern w:val="0"/>
          <w:sz w:val="24"/>
          <w:szCs w:val="24"/>
        </w:rPr>
      </w:pPr>
    </w:p>
    <w:p>
      <w:pPr>
        <w:spacing w:line="360" w:lineRule="auto"/>
        <w:rPr>
          <w:rFonts w:hint="eastAsia" w:ascii="宋体" w:hAnsi="宋体" w:cs="宋体"/>
          <w:b/>
          <w:color w:val="auto"/>
          <w:kern w:val="0"/>
          <w:sz w:val="24"/>
          <w:szCs w:val="24"/>
        </w:rPr>
      </w:pPr>
    </w:p>
    <w:p>
      <w:pPr>
        <w:spacing w:line="360" w:lineRule="auto"/>
        <w:rPr>
          <w:rFonts w:hint="eastAsia" w:ascii="宋体" w:hAnsi="宋体" w:cs="宋体"/>
          <w:b/>
          <w:color w:val="auto"/>
          <w:kern w:val="0"/>
          <w:sz w:val="24"/>
          <w:szCs w:val="24"/>
        </w:rPr>
      </w:pPr>
    </w:p>
    <w:p>
      <w:pPr>
        <w:spacing w:line="360" w:lineRule="auto"/>
        <w:rPr>
          <w:rFonts w:hint="eastAsia" w:ascii="宋体" w:hAnsi="宋体" w:cs="宋体"/>
          <w:b/>
          <w:color w:val="auto"/>
          <w:kern w:val="0"/>
          <w:sz w:val="24"/>
          <w:szCs w:val="24"/>
        </w:rPr>
      </w:pPr>
    </w:p>
    <w:p>
      <w:pPr>
        <w:spacing w:line="360" w:lineRule="auto"/>
        <w:rPr>
          <w:rFonts w:hint="eastAsia" w:ascii="宋体" w:hAnsi="宋体" w:cs="宋体"/>
          <w:b/>
          <w:color w:val="auto"/>
          <w:kern w:val="0"/>
          <w:sz w:val="24"/>
          <w:szCs w:val="24"/>
        </w:rPr>
      </w:pPr>
    </w:p>
    <w:p>
      <w:pPr>
        <w:spacing w:line="360" w:lineRule="auto"/>
        <w:rPr>
          <w:rFonts w:hint="eastAsia" w:ascii="宋体" w:hAnsi="宋体" w:cs="宋体"/>
          <w:b/>
          <w:color w:val="auto"/>
          <w:kern w:val="0"/>
          <w:sz w:val="24"/>
          <w:szCs w:val="24"/>
        </w:rPr>
      </w:pPr>
    </w:p>
    <w:p>
      <w:pPr>
        <w:spacing w:line="360" w:lineRule="auto"/>
        <w:rPr>
          <w:rFonts w:hint="eastAsia" w:ascii="宋体" w:hAnsi="宋体" w:cs="宋体"/>
          <w:b/>
          <w:color w:val="auto"/>
          <w:kern w:val="0"/>
          <w:sz w:val="24"/>
          <w:szCs w:val="24"/>
        </w:rPr>
      </w:pPr>
    </w:p>
    <w:p>
      <w:pPr>
        <w:spacing w:line="360" w:lineRule="auto"/>
        <w:rPr>
          <w:rFonts w:hint="eastAsia" w:ascii="宋体" w:hAnsi="宋体" w:cs="宋体"/>
          <w:b/>
          <w:color w:val="auto"/>
          <w:kern w:val="0"/>
          <w:sz w:val="24"/>
          <w:szCs w:val="24"/>
        </w:rPr>
      </w:pPr>
    </w:p>
    <w:p>
      <w:pPr>
        <w:spacing w:line="360" w:lineRule="auto"/>
        <w:rPr>
          <w:rFonts w:hint="eastAsia" w:ascii="宋体" w:hAnsi="宋体" w:cs="宋体"/>
          <w:b/>
          <w:color w:val="auto"/>
          <w:kern w:val="0"/>
          <w:sz w:val="24"/>
          <w:szCs w:val="24"/>
        </w:rPr>
      </w:pPr>
    </w:p>
    <w:p>
      <w:pPr>
        <w:spacing w:line="360" w:lineRule="auto"/>
        <w:rPr>
          <w:rFonts w:hint="eastAsia" w:ascii="宋体" w:hAnsi="宋体" w:cs="宋体"/>
          <w:b/>
          <w:color w:val="auto"/>
          <w:kern w:val="0"/>
          <w:sz w:val="24"/>
          <w:szCs w:val="24"/>
        </w:rPr>
      </w:pPr>
    </w:p>
    <w:p>
      <w:pPr>
        <w:spacing w:line="360" w:lineRule="auto"/>
        <w:rPr>
          <w:rFonts w:hint="eastAsia" w:ascii="宋体" w:hAnsi="宋体" w:cs="宋体"/>
          <w:b/>
          <w:color w:val="auto"/>
          <w:kern w:val="0"/>
          <w:sz w:val="24"/>
          <w:szCs w:val="24"/>
        </w:rPr>
      </w:pPr>
    </w:p>
    <w:p>
      <w:pPr>
        <w:spacing w:line="360" w:lineRule="auto"/>
        <w:rPr>
          <w:rFonts w:hint="eastAsia" w:ascii="宋体" w:hAnsi="宋体" w:cs="宋体"/>
          <w:b/>
          <w:color w:val="auto"/>
          <w:kern w:val="0"/>
          <w:sz w:val="24"/>
          <w:szCs w:val="24"/>
        </w:rPr>
      </w:pPr>
    </w:p>
    <w:p>
      <w:pPr>
        <w:spacing w:line="360" w:lineRule="auto"/>
        <w:rPr>
          <w:rFonts w:hint="eastAsia" w:ascii="宋体" w:hAnsi="宋体" w:cs="宋体"/>
          <w:b/>
          <w:color w:val="auto"/>
          <w:kern w:val="0"/>
          <w:sz w:val="24"/>
          <w:szCs w:val="24"/>
        </w:rPr>
      </w:pPr>
    </w:p>
    <w:p>
      <w:pPr>
        <w:spacing w:line="360" w:lineRule="auto"/>
        <w:rPr>
          <w:rFonts w:hint="eastAsia" w:ascii="宋体" w:hAnsi="宋体" w:cs="宋体"/>
          <w:b/>
          <w:color w:val="auto"/>
          <w:kern w:val="0"/>
          <w:sz w:val="24"/>
          <w:szCs w:val="24"/>
        </w:rPr>
      </w:pPr>
    </w:p>
    <w:p>
      <w:pPr>
        <w:spacing w:line="360" w:lineRule="auto"/>
        <w:rPr>
          <w:rFonts w:hint="eastAsia" w:ascii="宋体" w:hAnsi="宋体" w:cs="宋体"/>
          <w:b/>
          <w:color w:val="auto"/>
          <w:kern w:val="0"/>
          <w:sz w:val="24"/>
          <w:szCs w:val="24"/>
        </w:rPr>
      </w:pPr>
    </w:p>
    <w:p>
      <w:pPr>
        <w:spacing w:line="360" w:lineRule="auto"/>
        <w:rPr>
          <w:rFonts w:hint="eastAsia" w:ascii="宋体" w:hAnsi="宋体" w:cs="宋体"/>
          <w:b/>
          <w:color w:val="auto"/>
          <w:kern w:val="0"/>
          <w:sz w:val="24"/>
          <w:szCs w:val="24"/>
        </w:rPr>
      </w:pPr>
    </w:p>
    <w:p>
      <w:pPr>
        <w:spacing w:line="360" w:lineRule="auto"/>
        <w:rPr>
          <w:rFonts w:hint="eastAsia" w:ascii="宋体" w:hAnsi="宋体" w:cs="宋体"/>
          <w:b/>
          <w:color w:val="auto"/>
          <w:kern w:val="0"/>
          <w:sz w:val="24"/>
          <w:szCs w:val="24"/>
        </w:rPr>
      </w:pPr>
    </w:p>
    <w:p>
      <w:pPr>
        <w:spacing w:line="360" w:lineRule="auto"/>
        <w:rPr>
          <w:rFonts w:hint="eastAsia" w:ascii="宋体" w:hAnsi="宋体" w:cs="宋体"/>
          <w:b/>
          <w:color w:val="auto"/>
          <w:kern w:val="0"/>
          <w:sz w:val="24"/>
          <w:szCs w:val="24"/>
        </w:rPr>
      </w:pPr>
    </w:p>
    <w:p>
      <w:pPr>
        <w:spacing w:line="360" w:lineRule="auto"/>
        <w:rPr>
          <w:rFonts w:hint="eastAsia" w:ascii="宋体" w:hAnsi="宋体" w:cs="宋体"/>
          <w:b/>
          <w:color w:val="auto"/>
          <w:kern w:val="0"/>
          <w:sz w:val="24"/>
          <w:szCs w:val="24"/>
        </w:rPr>
      </w:pPr>
    </w:p>
    <w:p>
      <w:pPr>
        <w:spacing w:line="360" w:lineRule="auto"/>
        <w:rPr>
          <w:rFonts w:hint="eastAsia" w:ascii="宋体" w:hAnsi="宋体" w:cs="宋体"/>
          <w:b/>
          <w:color w:val="auto"/>
          <w:kern w:val="0"/>
          <w:sz w:val="24"/>
          <w:szCs w:val="24"/>
        </w:rPr>
      </w:pPr>
    </w:p>
    <w:p>
      <w:pPr>
        <w:spacing w:line="360" w:lineRule="auto"/>
        <w:rPr>
          <w:rFonts w:hint="eastAsia" w:ascii="宋体" w:hAnsi="宋体" w:cs="宋体"/>
          <w:b/>
          <w:color w:val="auto"/>
          <w:kern w:val="0"/>
          <w:sz w:val="24"/>
          <w:szCs w:val="24"/>
        </w:rPr>
      </w:pPr>
    </w:p>
    <w:p>
      <w:pPr>
        <w:spacing w:line="360" w:lineRule="auto"/>
        <w:rPr>
          <w:rFonts w:hint="eastAsia" w:ascii="宋体" w:hAnsi="宋体" w:cs="宋体"/>
          <w:b/>
          <w:color w:val="auto"/>
          <w:kern w:val="0"/>
          <w:sz w:val="24"/>
          <w:szCs w:val="24"/>
        </w:rPr>
      </w:pPr>
    </w:p>
    <w:p>
      <w:pPr>
        <w:spacing w:line="360" w:lineRule="auto"/>
        <w:rPr>
          <w:rFonts w:hint="eastAsia" w:ascii="宋体" w:hAnsi="宋体" w:cs="宋体"/>
          <w:b/>
          <w:color w:val="auto"/>
          <w:kern w:val="0"/>
          <w:sz w:val="24"/>
          <w:szCs w:val="24"/>
        </w:rPr>
      </w:pPr>
    </w:p>
    <w:p>
      <w:pPr>
        <w:spacing w:line="360" w:lineRule="auto"/>
        <w:rPr>
          <w:rFonts w:ascii="宋体" w:hAnsi="宋体" w:cs="宋体"/>
          <w:b/>
          <w:color w:val="auto"/>
          <w:kern w:val="0"/>
          <w:sz w:val="24"/>
          <w:szCs w:val="24"/>
        </w:rPr>
      </w:pPr>
      <w:r>
        <w:rPr>
          <w:rFonts w:hint="eastAsia" w:ascii="宋体" w:hAnsi="宋体" w:cs="宋体"/>
          <w:b/>
          <w:color w:val="auto"/>
          <w:kern w:val="0"/>
          <w:sz w:val="24"/>
          <w:szCs w:val="24"/>
        </w:rPr>
        <w:t>表二详细评审表：</w:t>
      </w:r>
    </w:p>
    <w:tbl>
      <w:tblPr>
        <w:tblStyle w:val="27"/>
        <w:tblW w:w="10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2475"/>
        <w:gridCol w:w="7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07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auto"/>
                <w:sz w:val="24"/>
                <w:szCs w:val="24"/>
              </w:rPr>
            </w:pPr>
            <w:r>
              <w:rPr>
                <w:rFonts w:hint="eastAsia" w:ascii="宋体" w:hAnsi="宋体"/>
                <w:color w:val="auto"/>
                <w:sz w:val="24"/>
                <w:szCs w:val="24"/>
              </w:rPr>
              <w:t>评审因素</w:t>
            </w:r>
          </w:p>
        </w:tc>
        <w:tc>
          <w:tcPr>
            <w:tcW w:w="707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auto"/>
                <w:sz w:val="24"/>
                <w:szCs w:val="24"/>
              </w:rPr>
            </w:pPr>
            <w:r>
              <w:rPr>
                <w:rFonts w:hint="eastAsia" w:ascii="宋体" w:hAnsi="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07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auto"/>
                <w:sz w:val="24"/>
                <w:szCs w:val="24"/>
              </w:rPr>
            </w:pPr>
            <w:r>
              <w:rPr>
                <w:rFonts w:hint="eastAsia" w:ascii="宋体" w:hAnsi="宋体"/>
                <w:color w:val="auto"/>
                <w:sz w:val="24"/>
                <w:szCs w:val="24"/>
              </w:rPr>
              <w:t>分值构成</w:t>
            </w:r>
          </w:p>
        </w:tc>
        <w:tc>
          <w:tcPr>
            <w:tcW w:w="707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auto"/>
                <w:sz w:val="24"/>
                <w:szCs w:val="24"/>
              </w:rPr>
            </w:pPr>
            <w:r>
              <w:rPr>
                <w:rFonts w:hint="eastAsia" w:ascii="宋体" w:hAnsi="宋体"/>
                <w:color w:val="auto"/>
                <w:sz w:val="24"/>
                <w:szCs w:val="24"/>
              </w:rPr>
              <w:t xml:space="preserve">1、报价得分 30分 </w:t>
            </w:r>
          </w:p>
          <w:p>
            <w:pPr>
              <w:spacing w:line="320" w:lineRule="exact"/>
              <w:rPr>
                <w:rFonts w:ascii="宋体" w:hAnsi="宋体"/>
                <w:color w:val="auto"/>
                <w:sz w:val="24"/>
                <w:szCs w:val="24"/>
              </w:rPr>
            </w:pPr>
            <w:r>
              <w:rPr>
                <w:rFonts w:hint="eastAsia" w:ascii="宋体" w:hAnsi="宋体"/>
                <w:color w:val="auto"/>
                <w:sz w:val="24"/>
                <w:szCs w:val="24"/>
              </w:rPr>
              <w:t>2、商务部分 20分</w:t>
            </w:r>
          </w:p>
          <w:p>
            <w:pPr>
              <w:spacing w:line="320" w:lineRule="exact"/>
              <w:rPr>
                <w:rFonts w:ascii="宋体" w:hAnsi="宋体"/>
                <w:color w:val="auto"/>
                <w:sz w:val="24"/>
                <w:szCs w:val="24"/>
              </w:rPr>
            </w:pPr>
            <w:r>
              <w:rPr>
                <w:rFonts w:hint="eastAsia" w:ascii="宋体" w:hAnsi="宋体"/>
                <w:color w:val="auto"/>
                <w:sz w:val="24"/>
                <w:szCs w:val="24"/>
              </w:rPr>
              <w:t>3、技术部分 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宋体" w:hAnsi="宋体" w:eastAsia="宋体"/>
                <w:color w:val="auto"/>
                <w:sz w:val="24"/>
                <w:szCs w:val="24"/>
                <w:lang w:val="en-US" w:eastAsia="zh-CN"/>
              </w:rPr>
            </w:pPr>
            <w:r>
              <w:rPr>
                <w:rFonts w:hint="eastAsia" w:ascii="宋体" w:hAnsi="宋体"/>
                <w:color w:val="auto"/>
                <w:sz w:val="24"/>
                <w:szCs w:val="24"/>
              </w:rPr>
              <w:t>投标报价</w:t>
            </w:r>
            <w:r>
              <w:rPr>
                <w:rFonts w:hint="eastAsia" w:ascii="宋体" w:hAnsi="宋体"/>
                <w:color w:val="auto"/>
                <w:sz w:val="24"/>
                <w:szCs w:val="24"/>
                <w:lang w:val="en-US" w:eastAsia="zh-CN"/>
              </w:rPr>
              <w:t>30分</w:t>
            </w:r>
          </w:p>
        </w:tc>
        <w:tc>
          <w:tcPr>
            <w:tcW w:w="247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auto"/>
                <w:sz w:val="24"/>
                <w:szCs w:val="24"/>
              </w:rPr>
            </w:pPr>
            <w:r>
              <w:rPr>
                <w:rFonts w:hint="eastAsia" w:ascii="宋体" w:hAnsi="宋体"/>
                <w:color w:val="auto"/>
                <w:sz w:val="24"/>
                <w:szCs w:val="24"/>
              </w:rPr>
              <w:t>评标基准价确定方法</w:t>
            </w:r>
          </w:p>
        </w:tc>
        <w:tc>
          <w:tcPr>
            <w:tcW w:w="707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auto"/>
                <w:sz w:val="24"/>
                <w:szCs w:val="24"/>
              </w:rPr>
            </w:pPr>
            <w:r>
              <w:rPr>
                <w:rFonts w:hint="eastAsia" w:ascii="宋体" w:hAnsi="宋体"/>
                <w:color w:val="auto"/>
                <w:sz w:val="24"/>
                <w:szCs w:val="24"/>
              </w:rPr>
              <w:t>满足招标文件要求通过初步评审的且投标报价最低的为评标基准价。符合小型、微型企业等规定进行价格调整的，以调整后的价格计算评标基准价。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 w:val="24"/>
                <w:szCs w:val="24"/>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auto"/>
                <w:sz w:val="24"/>
                <w:szCs w:val="24"/>
              </w:rPr>
            </w:pPr>
            <w:r>
              <w:rPr>
                <w:rFonts w:hint="eastAsia" w:ascii="宋体" w:hAnsi="宋体"/>
                <w:color w:val="auto"/>
                <w:sz w:val="24"/>
                <w:szCs w:val="24"/>
              </w:rPr>
              <w:t>投标报价得分（30分）</w:t>
            </w:r>
          </w:p>
        </w:tc>
        <w:tc>
          <w:tcPr>
            <w:tcW w:w="707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rFonts w:ascii="宋体" w:hAnsi="宋体"/>
                <w:color w:val="auto"/>
                <w:sz w:val="24"/>
                <w:szCs w:val="24"/>
              </w:rPr>
            </w:pPr>
            <w:r>
              <w:rPr>
                <w:rFonts w:hint="eastAsia" w:ascii="宋体" w:hAnsi="宋体"/>
                <w:color w:val="auto"/>
                <w:sz w:val="24"/>
                <w:szCs w:val="24"/>
              </w:rPr>
              <w:t>投标报价得分＝（评标基准价/投标报价）×（30）%×100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97" w:type="dxa"/>
            <w:vMerge w:val="restart"/>
            <w:tcBorders>
              <w:left w:val="single" w:color="auto" w:sz="4" w:space="0"/>
              <w:right w:val="single" w:color="auto" w:sz="4" w:space="0"/>
            </w:tcBorders>
            <w:vAlign w:val="center"/>
          </w:tcPr>
          <w:p>
            <w:pPr>
              <w:widowControl/>
              <w:rPr>
                <w:rFonts w:hint="eastAsia" w:ascii="宋体" w:hAnsi="宋体"/>
                <w:color w:val="auto"/>
                <w:sz w:val="24"/>
                <w:szCs w:val="24"/>
              </w:rPr>
            </w:pPr>
            <w:r>
              <w:rPr>
                <w:rFonts w:hint="eastAsia" w:ascii="宋体" w:hAnsi="宋体"/>
                <w:color w:val="auto"/>
                <w:sz w:val="24"/>
                <w:szCs w:val="24"/>
              </w:rPr>
              <w:t>商务部</w:t>
            </w:r>
          </w:p>
          <w:p>
            <w:pPr>
              <w:widowControl/>
              <w:rPr>
                <w:rFonts w:ascii="宋体" w:hAnsi="宋体"/>
                <w:color w:val="auto"/>
                <w:sz w:val="24"/>
                <w:szCs w:val="24"/>
              </w:rPr>
            </w:pPr>
            <w:r>
              <w:rPr>
                <w:rFonts w:hint="eastAsia" w:ascii="宋体" w:hAnsi="宋体"/>
                <w:color w:val="auto"/>
                <w:sz w:val="24"/>
                <w:szCs w:val="24"/>
                <w:lang w:val="en-US" w:eastAsia="zh-CN"/>
              </w:rPr>
              <w:t>20</w:t>
            </w:r>
            <w:r>
              <w:rPr>
                <w:rFonts w:hint="eastAsia" w:ascii="宋体" w:hAnsi="宋体"/>
                <w:color w:val="auto"/>
                <w:sz w:val="24"/>
                <w:szCs w:val="24"/>
              </w:rPr>
              <w:t>分</w:t>
            </w:r>
          </w:p>
        </w:tc>
        <w:tc>
          <w:tcPr>
            <w:tcW w:w="24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业绩（</w:t>
            </w: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分）</w:t>
            </w:r>
          </w:p>
        </w:tc>
        <w:tc>
          <w:tcPr>
            <w:tcW w:w="7070" w:type="dxa"/>
            <w:tcBorders>
              <w:top w:val="single" w:color="auto" w:sz="4" w:space="0"/>
              <w:left w:val="single" w:color="auto" w:sz="4" w:space="0"/>
              <w:bottom w:val="single" w:color="auto" w:sz="4" w:space="0"/>
              <w:right w:val="single" w:color="auto" w:sz="4" w:space="0"/>
            </w:tcBorders>
            <w:vAlign w:val="center"/>
          </w:tcPr>
          <w:p>
            <w:pPr>
              <w:widowControl/>
              <w:rPr>
                <w:color w:val="auto"/>
                <w:highlight w:val="none"/>
              </w:rPr>
            </w:pPr>
            <w:r>
              <w:rPr>
                <w:rFonts w:hint="eastAsia" w:ascii="宋体" w:hAnsi="宋体"/>
                <w:color w:val="auto"/>
                <w:sz w:val="24"/>
                <w:szCs w:val="24"/>
                <w:highlight w:val="none"/>
              </w:rPr>
              <w:t>投标人近三年（201</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至今）的类似业绩</w:t>
            </w:r>
            <w:r>
              <w:rPr>
                <w:rFonts w:hint="eastAsia" w:ascii="宋体" w:hAnsi="宋体"/>
                <w:color w:val="auto"/>
                <w:sz w:val="24"/>
                <w:szCs w:val="24"/>
                <w:highlight w:val="none"/>
                <w:lang w:eastAsia="zh-CN"/>
              </w:rPr>
              <w:t>，单项合同金额</w:t>
            </w:r>
            <w:r>
              <w:rPr>
                <w:rFonts w:hint="eastAsia" w:ascii="宋体" w:hAnsi="宋体"/>
                <w:color w:val="auto"/>
                <w:sz w:val="24"/>
                <w:szCs w:val="24"/>
                <w:highlight w:val="none"/>
                <w:lang w:val="en-US" w:eastAsia="zh-CN"/>
              </w:rPr>
              <w:t>200（含）万元以上</w:t>
            </w:r>
            <w:r>
              <w:rPr>
                <w:rFonts w:hint="eastAsia" w:ascii="宋体" w:hAnsi="宋体"/>
                <w:color w:val="auto"/>
                <w:sz w:val="24"/>
                <w:szCs w:val="24"/>
                <w:highlight w:val="none"/>
              </w:rPr>
              <w:t>（</w:t>
            </w:r>
            <w:r>
              <w:rPr>
                <w:rFonts w:hint="eastAsia" w:ascii="宋体" w:hAnsi="宋体"/>
                <w:color w:val="auto"/>
                <w:sz w:val="24"/>
                <w:szCs w:val="24"/>
                <w:highlight w:val="none"/>
                <w:lang w:eastAsia="zh-CN"/>
              </w:rPr>
              <w:t>殡葬类</w:t>
            </w:r>
            <w:r>
              <w:rPr>
                <w:rFonts w:hint="eastAsia" w:ascii="宋体" w:hAnsi="宋体"/>
                <w:color w:val="auto"/>
                <w:sz w:val="24"/>
                <w:szCs w:val="24"/>
                <w:highlight w:val="none"/>
              </w:rPr>
              <w:t>销售或服务</w:t>
            </w:r>
            <w:r>
              <w:rPr>
                <w:rFonts w:ascii="宋体" w:hAnsi="宋体"/>
                <w:color w:val="auto"/>
                <w:sz w:val="24"/>
                <w:szCs w:val="24"/>
                <w:highlight w:val="none"/>
              </w:rPr>
              <w:t>合同</w:t>
            </w:r>
            <w:r>
              <w:rPr>
                <w:rFonts w:hint="eastAsia" w:ascii="宋体" w:hAnsi="宋体"/>
                <w:color w:val="auto"/>
                <w:sz w:val="24"/>
                <w:szCs w:val="24"/>
                <w:highlight w:val="none"/>
              </w:rPr>
              <w:t>），每提供一份有效材料得</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分，最高得</w:t>
            </w: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7" w:type="dxa"/>
            <w:vMerge w:val="continue"/>
            <w:tcBorders>
              <w:left w:val="single" w:color="auto" w:sz="4" w:space="0"/>
              <w:right w:val="single" w:color="auto" w:sz="4" w:space="0"/>
            </w:tcBorders>
            <w:vAlign w:val="center"/>
          </w:tcPr>
          <w:p>
            <w:pPr>
              <w:widowControl/>
              <w:rPr>
                <w:rFonts w:ascii="宋体" w:hAnsi="宋体"/>
                <w:color w:val="auto"/>
                <w:sz w:val="24"/>
                <w:szCs w:val="24"/>
              </w:rPr>
            </w:pPr>
          </w:p>
        </w:tc>
        <w:tc>
          <w:tcPr>
            <w:tcW w:w="2475"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leftChars="0" w:right="0" w:rightChars="0"/>
              <w:jc w:val="center"/>
              <w:rPr>
                <w:rFonts w:ascii="宋体" w:hAnsi="宋体"/>
                <w:color w:val="auto"/>
                <w:sz w:val="32"/>
                <w:szCs w:val="32"/>
                <w:highlight w:val="none"/>
              </w:rPr>
            </w:pPr>
            <w:r>
              <w:rPr>
                <w:rFonts w:hint="eastAsia" w:asciiTheme="minorEastAsia" w:hAnsiTheme="minorEastAsia" w:eastAsiaTheme="minorEastAsia" w:cstheme="minorEastAsia"/>
                <w:color w:val="auto"/>
                <w:sz w:val="24"/>
                <w:szCs w:val="24"/>
                <w:highlight w:val="none"/>
              </w:rPr>
              <w:t>相关认证（</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分）</w:t>
            </w:r>
          </w:p>
        </w:tc>
        <w:tc>
          <w:tcPr>
            <w:tcW w:w="707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Times New Roman"/>
                <w:color w:val="auto"/>
                <w:sz w:val="24"/>
                <w:szCs w:val="24"/>
                <w:highlight w:val="none"/>
              </w:rPr>
            </w:pPr>
            <w:r>
              <w:rPr>
                <w:rFonts w:hint="eastAsia" w:asciiTheme="minorEastAsia" w:hAnsiTheme="minorEastAsia" w:eastAsiaTheme="minorEastAsia" w:cstheme="minorEastAsia"/>
                <w:color w:val="auto"/>
                <w:sz w:val="24"/>
                <w:szCs w:val="24"/>
                <w:highlight w:val="none"/>
              </w:rPr>
              <w:t>投标人具</w:t>
            </w:r>
            <w:r>
              <w:rPr>
                <w:rFonts w:hint="eastAsia" w:ascii="宋体" w:hAnsi="宋体" w:cs="Times New Roman"/>
                <w:color w:val="auto"/>
                <w:sz w:val="24"/>
                <w:szCs w:val="24"/>
                <w:highlight w:val="none"/>
              </w:rPr>
              <w:t>有且提供（在有效期内）：</w:t>
            </w:r>
          </w:p>
          <w:p>
            <w:pPr>
              <w:widowControl/>
              <w:numPr>
                <w:ilvl w:val="0"/>
                <w:numId w:val="5"/>
              </w:numPr>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ISO9001</w:t>
            </w:r>
            <w:r>
              <w:rPr>
                <w:rFonts w:hint="eastAsia" w:ascii="宋体" w:hAnsi="宋体" w:cs="Times New Roman"/>
                <w:color w:val="auto"/>
                <w:sz w:val="24"/>
                <w:szCs w:val="24"/>
                <w:highlight w:val="none"/>
                <w:lang w:val="en-US" w:eastAsia="zh-CN"/>
              </w:rPr>
              <w:t xml:space="preserve"> </w:t>
            </w:r>
            <w:r>
              <w:rPr>
                <w:rFonts w:hint="eastAsia" w:ascii="宋体" w:hAnsi="宋体" w:cs="Times New Roman"/>
                <w:color w:val="auto"/>
                <w:sz w:val="24"/>
                <w:szCs w:val="24"/>
                <w:highlight w:val="none"/>
              </w:rPr>
              <w:t>质量</w:t>
            </w:r>
            <w:r>
              <w:rPr>
                <w:rFonts w:hint="eastAsia" w:ascii="宋体" w:hAnsi="宋体" w:cs="Times New Roman"/>
                <w:color w:val="auto"/>
                <w:sz w:val="24"/>
                <w:szCs w:val="24"/>
                <w:highlight w:val="none"/>
                <w:lang w:eastAsia="zh-CN"/>
              </w:rPr>
              <w:t>管理</w:t>
            </w:r>
            <w:r>
              <w:rPr>
                <w:rFonts w:hint="eastAsia" w:ascii="宋体" w:hAnsi="宋体" w:cs="Times New Roman"/>
                <w:color w:val="auto"/>
                <w:sz w:val="24"/>
                <w:szCs w:val="24"/>
                <w:highlight w:val="none"/>
              </w:rPr>
              <w:t>体系认证证书；</w:t>
            </w:r>
          </w:p>
          <w:p>
            <w:pPr>
              <w:widowControl/>
              <w:numPr>
                <w:ilvl w:val="0"/>
                <w:numId w:val="5"/>
              </w:numPr>
              <w:rPr>
                <w:rFonts w:hint="eastAsia" w:ascii="宋体" w:hAnsi="宋体" w:cs="Times New Roman"/>
                <w:color w:val="auto"/>
                <w:sz w:val="24"/>
                <w:szCs w:val="24"/>
                <w:highlight w:val="none"/>
                <w:lang w:val="en-US" w:eastAsia="zh-CN"/>
              </w:rPr>
            </w:pPr>
            <w:r>
              <w:rPr>
                <w:rFonts w:hint="eastAsia" w:ascii="宋体" w:hAnsi="宋体" w:cs="Times New Roman"/>
                <w:color w:val="auto"/>
                <w:sz w:val="24"/>
                <w:szCs w:val="24"/>
                <w:highlight w:val="none"/>
              </w:rPr>
              <w:fldChar w:fldCharType="begin"/>
            </w:r>
            <w:r>
              <w:rPr>
                <w:rFonts w:hint="eastAsia" w:ascii="宋体" w:hAnsi="宋体" w:cs="Times New Roman"/>
                <w:color w:val="auto"/>
                <w:sz w:val="24"/>
                <w:szCs w:val="24"/>
                <w:highlight w:val="none"/>
              </w:rPr>
              <w:instrText xml:space="preserve"> HYPERLINK "http://www.bjlkb.net/about.php?id=12" \o "ISO14001环境管理体系" </w:instrText>
            </w:r>
            <w:r>
              <w:rPr>
                <w:rFonts w:hint="eastAsia" w:ascii="宋体" w:hAnsi="宋体" w:cs="Times New Roman"/>
                <w:color w:val="auto"/>
                <w:sz w:val="24"/>
                <w:szCs w:val="24"/>
                <w:highlight w:val="none"/>
              </w:rPr>
              <w:fldChar w:fldCharType="separate"/>
            </w:r>
            <w:r>
              <w:rPr>
                <w:rFonts w:hint="eastAsia" w:ascii="宋体" w:hAnsi="宋体" w:cs="Times New Roman"/>
                <w:color w:val="auto"/>
                <w:sz w:val="24"/>
                <w:szCs w:val="24"/>
                <w:highlight w:val="none"/>
              </w:rPr>
              <w:t>ISO14001环境管理体系</w:t>
            </w:r>
            <w:r>
              <w:rPr>
                <w:rFonts w:hint="eastAsia" w:ascii="宋体" w:hAnsi="宋体" w:cs="Times New Roman"/>
                <w:color w:val="auto"/>
                <w:sz w:val="24"/>
                <w:szCs w:val="24"/>
                <w:highlight w:val="none"/>
              </w:rPr>
              <w:fldChar w:fldCharType="end"/>
            </w:r>
            <w:r>
              <w:rPr>
                <w:rFonts w:hint="eastAsia" w:ascii="宋体" w:hAnsi="宋体" w:cs="Times New Roman"/>
                <w:color w:val="auto"/>
                <w:sz w:val="24"/>
                <w:szCs w:val="24"/>
                <w:highlight w:val="none"/>
              </w:rPr>
              <w:t>认证证书；</w:t>
            </w:r>
          </w:p>
          <w:p>
            <w:pPr>
              <w:widowControl/>
              <w:numPr>
                <w:ilvl w:val="0"/>
                <w:numId w:val="5"/>
              </w:numPr>
              <w:rPr>
                <w:rFonts w:hint="eastAsia" w:ascii="宋体" w:hAnsi="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fldChar w:fldCharType="begin"/>
            </w:r>
            <w:r>
              <w:rPr>
                <w:rFonts w:hint="eastAsia" w:ascii="宋体" w:hAnsi="宋体" w:cs="Times New Roman"/>
                <w:color w:val="auto"/>
                <w:sz w:val="24"/>
                <w:szCs w:val="24"/>
                <w:highlight w:val="none"/>
                <w:lang w:val="en-US" w:eastAsia="zh-CN"/>
              </w:rPr>
              <w:instrText xml:space="preserve"> HYPERLINK "http://www.bjlkb.net/about.php?id=49" \o "ISO18001职业健康安全管理体系认证" </w:instrText>
            </w:r>
            <w:r>
              <w:rPr>
                <w:rFonts w:hint="eastAsia" w:ascii="宋体" w:hAnsi="宋体" w:cs="Times New Roman"/>
                <w:color w:val="auto"/>
                <w:sz w:val="24"/>
                <w:szCs w:val="24"/>
                <w:highlight w:val="none"/>
                <w:lang w:val="en-US" w:eastAsia="zh-CN"/>
              </w:rPr>
              <w:fldChar w:fldCharType="separate"/>
            </w:r>
            <w:r>
              <w:rPr>
                <w:rFonts w:hint="eastAsia" w:ascii="宋体" w:hAnsi="宋体" w:cs="Times New Roman"/>
                <w:color w:val="auto"/>
                <w:sz w:val="24"/>
                <w:szCs w:val="24"/>
                <w:highlight w:val="none"/>
                <w:lang w:val="en-US" w:eastAsia="zh-CN"/>
              </w:rPr>
              <w:t>ISO18001职业健康安全管理体系认证</w:t>
            </w:r>
            <w:r>
              <w:rPr>
                <w:rFonts w:hint="eastAsia" w:ascii="宋体" w:hAnsi="宋体" w:cs="Times New Roman"/>
                <w:color w:val="auto"/>
                <w:sz w:val="24"/>
                <w:szCs w:val="24"/>
                <w:highlight w:val="none"/>
                <w:lang w:val="en-US" w:eastAsia="zh-CN"/>
              </w:rPr>
              <w:fldChar w:fldCharType="end"/>
            </w:r>
            <w:r>
              <w:rPr>
                <w:rFonts w:hint="eastAsia" w:ascii="宋体" w:hAnsi="宋体" w:cs="Times New Roman"/>
                <w:color w:val="auto"/>
                <w:sz w:val="24"/>
                <w:szCs w:val="24"/>
                <w:highlight w:val="none"/>
                <w:lang w:val="en-US" w:eastAsia="zh-CN"/>
              </w:rPr>
              <w:t>；</w:t>
            </w:r>
          </w:p>
          <w:p>
            <w:pPr>
              <w:keepNext w:val="0"/>
              <w:keepLines w:val="0"/>
              <w:widowControl/>
              <w:numPr>
                <w:ilvl w:val="0"/>
                <w:numId w:val="0"/>
              </w:numPr>
              <w:suppressLineNumbers w:val="0"/>
              <w:spacing w:before="0" w:beforeAutospacing="0" w:after="0" w:afterAutospacing="0" w:line="240" w:lineRule="auto"/>
              <w:ind w:right="0" w:right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每有一项</w:t>
            </w:r>
            <w:r>
              <w:rPr>
                <w:rFonts w:hint="eastAsia" w:asciiTheme="minorEastAsia" w:hAnsiTheme="minorEastAsia" w:eastAsiaTheme="minorEastAsia" w:cstheme="minorEastAsia"/>
                <w:color w:val="auto"/>
                <w:sz w:val="24"/>
                <w:szCs w:val="24"/>
                <w:highlight w:val="none"/>
                <w:lang w:eastAsia="zh-CN"/>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分，</w:t>
            </w:r>
            <w:r>
              <w:rPr>
                <w:rFonts w:hint="eastAsia" w:asciiTheme="minorEastAsia" w:hAnsiTheme="minorEastAsia" w:eastAsiaTheme="minorEastAsia" w:cstheme="minorEastAsia"/>
                <w:color w:val="auto"/>
                <w:sz w:val="24"/>
                <w:szCs w:val="24"/>
                <w:highlight w:val="none"/>
                <w:lang w:val="en-US" w:eastAsia="zh-CN"/>
              </w:rPr>
              <w:t>三项证书全部提供得8分。</w:t>
            </w:r>
            <w:r>
              <w:rPr>
                <w:rStyle w:val="87"/>
                <w:rFonts w:ascii="宋体" w:hAnsi="宋体"/>
                <w:color w:val="auto"/>
                <w:sz w:val="24"/>
                <w:szCs w:val="24"/>
              </w:rPr>
              <w:t>（</w:t>
            </w:r>
            <w:r>
              <w:rPr>
                <w:rStyle w:val="87"/>
                <w:rFonts w:hint="eastAsia" w:ascii="宋体" w:hAnsi="宋体"/>
                <w:color w:val="auto"/>
                <w:sz w:val="24"/>
                <w:szCs w:val="24"/>
              </w:rPr>
              <w:t>投标文件需附</w:t>
            </w:r>
            <w:r>
              <w:rPr>
                <w:rStyle w:val="87"/>
                <w:rFonts w:ascii="宋体" w:hAnsi="宋体"/>
                <w:color w:val="auto"/>
                <w:sz w:val="24"/>
                <w:szCs w:val="24"/>
              </w:rPr>
              <w:t>复印件</w:t>
            </w:r>
            <w:r>
              <w:rPr>
                <w:rStyle w:val="87"/>
                <w:rFonts w:hint="eastAsia" w:ascii="宋体" w:hAnsi="宋体"/>
                <w:color w:val="auto"/>
                <w:sz w:val="24"/>
                <w:szCs w:val="24"/>
                <w:lang w:eastAsia="zh-CN"/>
              </w:rPr>
              <w:t>。</w:t>
            </w:r>
            <w:r>
              <w:rPr>
                <w:rStyle w:val="87"/>
                <w:rFonts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597" w:type="dxa"/>
            <w:vMerge w:val="restart"/>
            <w:tcBorders>
              <w:top w:val="single" w:color="auto" w:sz="4" w:space="0"/>
              <w:left w:val="single" w:color="auto" w:sz="4" w:space="0"/>
              <w:right w:val="single" w:color="auto" w:sz="4" w:space="0"/>
            </w:tcBorders>
            <w:vAlign w:val="center"/>
          </w:tcPr>
          <w:p>
            <w:pPr>
              <w:widowControl/>
              <w:rPr>
                <w:rFonts w:hint="default" w:ascii="宋体" w:hAnsi="宋体" w:eastAsia="宋体"/>
                <w:color w:val="auto"/>
                <w:sz w:val="24"/>
                <w:szCs w:val="24"/>
                <w:lang w:val="en-US" w:eastAsia="zh-CN"/>
              </w:rPr>
            </w:pPr>
            <w:r>
              <w:rPr>
                <w:rFonts w:hint="eastAsia" w:ascii="宋体" w:hAnsi="宋体"/>
                <w:color w:val="auto"/>
                <w:sz w:val="24"/>
                <w:szCs w:val="24"/>
              </w:rPr>
              <w:t>技术部</w:t>
            </w:r>
            <w:r>
              <w:rPr>
                <w:rFonts w:hint="eastAsia" w:ascii="宋体" w:hAnsi="宋体"/>
                <w:color w:val="auto"/>
                <w:sz w:val="24"/>
                <w:szCs w:val="24"/>
                <w:lang w:val="en-US" w:eastAsia="zh-CN"/>
              </w:rPr>
              <w:t>50</w:t>
            </w:r>
            <w:r>
              <w:rPr>
                <w:rFonts w:hint="eastAsia" w:ascii="宋体" w:hAnsi="宋体"/>
                <w:color w:val="auto"/>
                <w:sz w:val="24"/>
                <w:szCs w:val="24"/>
              </w:rPr>
              <w:t>分</w:t>
            </w:r>
          </w:p>
        </w:tc>
        <w:tc>
          <w:tcPr>
            <w:tcW w:w="2475" w:type="dxa"/>
            <w:tcBorders>
              <w:top w:val="single" w:color="auto" w:sz="4" w:space="0"/>
              <w:left w:val="single" w:color="auto" w:sz="4" w:space="0"/>
              <w:right w:val="single" w:color="auto" w:sz="4" w:space="0"/>
            </w:tcBorders>
            <w:vAlign w:val="center"/>
          </w:tcPr>
          <w:p>
            <w:pPr>
              <w:spacing w:line="240" w:lineRule="auto"/>
              <w:jc w:val="center"/>
              <w:rPr>
                <w:rStyle w:val="87"/>
                <w:rFonts w:ascii="宋体" w:hAnsi="宋体"/>
                <w:sz w:val="24"/>
                <w:szCs w:val="24"/>
              </w:rPr>
            </w:pPr>
            <w:r>
              <w:rPr>
                <w:rStyle w:val="87"/>
                <w:rFonts w:ascii="宋体" w:hAnsi="宋体"/>
                <w:color w:val="000000"/>
                <w:sz w:val="24"/>
                <w:szCs w:val="24"/>
              </w:rPr>
              <w:t>所投产品技术</w:t>
            </w:r>
            <w:r>
              <w:rPr>
                <w:rStyle w:val="87"/>
                <w:rFonts w:ascii="宋体" w:hAnsi="宋体"/>
                <w:sz w:val="24"/>
                <w:szCs w:val="24"/>
              </w:rPr>
              <w:t>情况</w:t>
            </w:r>
          </w:p>
          <w:p>
            <w:pPr>
              <w:pStyle w:val="13"/>
              <w:jc w:val="center"/>
              <w:rPr>
                <w:rFonts w:ascii="宋体" w:hAnsi="宋体"/>
                <w:color w:val="auto"/>
                <w:sz w:val="24"/>
                <w:szCs w:val="24"/>
              </w:rPr>
            </w:pPr>
            <w:r>
              <w:rPr>
                <w:rStyle w:val="87"/>
                <w:rFonts w:hint="eastAsia" w:ascii="宋体" w:hAnsi="宋体"/>
                <w:sz w:val="24"/>
                <w:szCs w:val="24"/>
              </w:rPr>
              <w:t>（</w:t>
            </w:r>
            <w:r>
              <w:rPr>
                <w:rStyle w:val="87"/>
                <w:rFonts w:hint="eastAsia" w:ascii="宋体" w:hAnsi="宋体"/>
                <w:sz w:val="24"/>
                <w:szCs w:val="24"/>
                <w:lang w:val="en-US"/>
              </w:rPr>
              <w:t>20分</w:t>
            </w:r>
            <w:r>
              <w:rPr>
                <w:rStyle w:val="87"/>
                <w:rFonts w:hint="eastAsia" w:ascii="宋体" w:hAnsi="宋体"/>
                <w:sz w:val="24"/>
                <w:szCs w:val="24"/>
              </w:rPr>
              <w:t>）</w:t>
            </w:r>
          </w:p>
        </w:tc>
        <w:tc>
          <w:tcPr>
            <w:tcW w:w="7070" w:type="dxa"/>
            <w:tcBorders>
              <w:top w:val="single" w:color="auto" w:sz="4" w:space="0"/>
              <w:left w:val="single" w:color="auto" w:sz="4" w:space="0"/>
              <w:bottom w:val="single" w:color="auto" w:sz="4" w:space="0"/>
              <w:right w:val="single" w:color="auto" w:sz="4" w:space="0"/>
            </w:tcBorders>
            <w:vAlign w:val="center"/>
          </w:tcPr>
          <w:p>
            <w:pPr>
              <w:pStyle w:val="91"/>
              <w:spacing w:line="240" w:lineRule="auto"/>
              <w:ind w:left="0" w:leftChars="0" w:firstLine="0" w:firstLineChars="0"/>
              <w:jc w:val="left"/>
              <w:rPr>
                <w:rFonts w:ascii="宋体" w:hAnsi="宋体"/>
                <w:color w:val="auto"/>
                <w:sz w:val="24"/>
                <w:szCs w:val="24"/>
              </w:rPr>
            </w:pPr>
            <w:r>
              <w:rPr>
                <w:rStyle w:val="87"/>
                <w:rFonts w:ascii="宋体" w:hAnsi="宋体"/>
                <w:color w:val="000000"/>
                <w:sz w:val="24"/>
                <w:szCs w:val="24"/>
              </w:rPr>
              <w:t>所投产品技术</w:t>
            </w:r>
            <w:r>
              <w:rPr>
                <w:rStyle w:val="87"/>
                <w:rFonts w:ascii="宋体" w:hAnsi="宋体"/>
                <w:sz w:val="24"/>
                <w:szCs w:val="24"/>
              </w:rPr>
              <w:t>情况：满足采购人技术参数要求，部分指标低于采购人需求</w:t>
            </w:r>
            <w:r>
              <w:rPr>
                <w:rStyle w:val="87"/>
                <w:rFonts w:hint="eastAsia" w:ascii="宋体" w:hAnsi="宋体"/>
                <w:sz w:val="24"/>
                <w:szCs w:val="24"/>
              </w:rPr>
              <w:t>或</w:t>
            </w:r>
            <w:r>
              <w:rPr>
                <w:rStyle w:val="87"/>
                <w:rFonts w:ascii="宋体" w:hAnsi="宋体" w:cs="宋体"/>
                <w:bCs/>
                <w:sz w:val="24"/>
                <w:szCs w:val="24"/>
              </w:rPr>
              <w:t>出现负偏离</w:t>
            </w:r>
            <w:r>
              <w:rPr>
                <w:rStyle w:val="87"/>
                <w:rFonts w:hint="eastAsia" w:ascii="宋体" w:hAnsi="宋体" w:cs="宋体"/>
                <w:bCs/>
                <w:sz w:val="24"/>
                <w:szCs w:val="24"/>
              </w:rPr>
              <w:t>的，</w:t>
            </w:r>
            <w:r>
              <w:rPr>
                <w:rStyle w:val="87"/>
                <w:rFonts w:ascii="宋体" w:hAnsi="宋体" w:cs="宋体"/>
                <w:bCs/>
                <w:sz w:val="24"/>
                <w:szCs w:val="24"/>
              </w:rPr>
              <w:t>每项扣</w:t>
            </w:r>
            <w:r>
              <w:rPr>
                <w:rStyle w:val="87"/>
                <w:rFonts w:hint="eastAsia" w:ascii="宋体" w:hAnsi="宋体" w:cs="宋体"/>
                <w:bCs/>
                <w:sz w:val="24"/>
                <w:szCs w:val="24"/>
              </w:rPr>
              <w:t>2</w:t>
            </w:r>
            <w:r>
              <w:rPr>
                <w:rStyle w:val="87"/>
                <w:rFonts w:ascii="宋体" w:hAnsi="宋体" w:cs="宋体"/>
                <w:bCs/>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597" w:type="dxa"/>
            <w:vMerge w:val="continue"/>
            <w:tcBorders>
              <w:left w:val="single" w:color="auto" w:sz="4" w:space="0"/>
              <w:right w:val="single" w:color="auto" w:sz="4" w:space="0"/>
            </w:tcBorders>
            <w:vAlign w:val="center"/>
          </w:tcPr>
          <w:p>
            <w:pPr>
              <w:widowControl/>
              <w:rPr>
                <w:rFonts w:ascii="宋体" w:hAnsi="宋体"/>
                <w:color w:val="auto"/>
                <w:sz w:val="24"/>
                <w:szCs w:val="24"/>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olor w:val="auto"/>
                <w:sz w:val="24"/>
                <w:szCs w:val="24"/>
                <w:lang w:val="en-US" w:eastAsia="zh-CN"/>
              </w:rPr>
            </w:pPr>
            <w:r>
              <w:rPr>
                <w:rFonts w:hint="eastAsia" w:ascii="宋体" w:hAnsi="宋体"/>
                <w:sz w:val="24"/>
                <w:highlight w:val="none"/>
              </w:rPr>
              <w:t>售后</w:t>
            </w:r>
            <w:r>
              <w:rPr>
                <w:rFonts w:ascii="宋体" w:hAnsi="宋体"/>
                <w:sz w:val="24"/>
                <w:highlight w:val="none"/>
              </w:rPr>
              <w:t>服务</w:t>
            </w:r>
            <w:r>
              <w:rPr>
                <w:rFonts w:hint="eastAsia" w:ascii="宋体" w:hAnsi="宋体"/>
                <w:sz w:val="24"/>
                <w:highlight w:val="none"/>
                <w:lang w:eastAsia="zh-CN"/>
              </w:rPr>
              <w:t>（</w:t>
            </w:r>
            <w:r>
              <w:rPr>
                <w:rFonts w:hint="eastAsia" w:ascii="宋体" w:hAnsi="宋体"/>
                <w:sz w:val="24"/>
                <w:highlight w:val="none"/>
                <w:lang w:val="en-US" w:eastAsia="zh-CN"/>
              </w:rPr>
              <w:t>6分</w:t>
            </w:r>
            <w:r>
              <w:rPr>
                <w:rFonts w:hint="eastAsia" w:ascii="宋体" w:hAnsi="宋体"/>
                <w:sz w:val="24"/>
                <w:highlight w:val="none"/>
                <w:lang w:eastAsia="zh-CN"/>
              </w:rPr>
              <w:t>）</w:t>
            </w:r>
          </w:p>
        </w:tc>
        <w:tc>
          <w:tcPr>
            <w:tcW w:w="7070" w:type="dxa"/>
            <w:tcBorders>
              <w:top w:val="single" w:color="auto" w:sz="4" w:space="0"/>
              <w:left w:val="single" w:color="auto" w:sz="4" w:space="0"/>
              <w:bottom w:val="single" w:color="auto" w:sz="4" w:space="0"/>
              <w:right w:val="single" w:color="auto" w:sz="4" w:space="0"/>
            </w:tcBorders>
            <w:vAlign w:val="center"/>
          </w:tcPr>
          <w:p>
            <w:pPr>
              <w:pStyle w:val="91"/>
              <w:spacing w:line="240" w:lineRule="auto"/>
              <w:ind w:left="0" w:leftChars="0"/>
              <w:rPr>
                <w:rStyle w:val="87"/>
                <w:rFonts w:hint="eastAsia" w:ascii="宋体" w:hAnsi="宋体" w:eastAsia="宋体" w:cs="Times New Roman"/>
                <w:color w:val="auto"/>
                <w:sz w:val="24"/>
                <w:szCs w:val="24"/>
                <w:lang w:val="en-US" w:eastAsia="zh-CN"/>
              </w:rPr>
            </w:pPr>
            <w:r>
              <w:rPr>
                <w:rStyle w:val="87"/>
                <w:rFonts w:hint="default" w:ascii="宋体" w:hAnsi="宋体" w:cs="Times New Roman"/>
                <w:color w:val="auto"/>
                <w:sz w:val="24"/>
                <w:szCs w:val="24"/>
                <w:lang w:val="en-US" w:eastAsia="zh-CN"/>
              </w:rPr>
              <w:t>售后服务方案进行综合评价，包括：</w:t>
            </w:r>
            <w:r>
              <w:rPr>
                <w:rStyle w:val="87"/>
                <w:rFonts w:hint="eastAsia" w:ascii="宋体" w:hAnsi="宋体" w:cs="Times New Roman"/>
                <w:color w:val="auto"/>
                <w:sz w:val="24"/>
                <w:szCs w:val="24"/>
                <w:lang w:val="en-US" w:eastAsia="zh-CN"/>
              </w:rPr>
              <w:t>1.</w:t>
            </w:r>
            <w:r>
              <w:rPr>
                <w:rStyle w:val="87"/>
                <w:rFonts w:hint="default" w:ascii="宋体" w:hAnsi="宋体" w:cs="Times New Roman"/>
                <w:color w:val="auto"/>
                <w:sz w:val="24"/>
                <w:szCs w:val="24"/>
                <w:lang w:val="en-US" w:eastAsia="zh-CN"/>
              </w:rPr>
              <w:t>售后服务机构和人员</w:t>
            </w:r>
            <w:r>
              <w:rPr>
                <w:rStyle w:val="87"/>
                <w:rFonts w:hint="eastAsia" w:ascii="宋体" w:hAnsi="宋体" w:cs="Times New Roman"/>
                <w:color w:val="auto"/>
                <w:sz w:val="24"/>
                <w:szCs w:val="24"/>
                <w:lang w:val="en-US" w:eastAsia="zh-CN"/>
              </w:rPr>
              <w:t>、2.</w:t>
            </w:r>
            <w:r>
              <w:rPr>
                <w:rStyle w:val="87"/>
                <w:rFonts w:hint="default" w:ascii="宋体" w:hAnsi="宋体" w:cs="Times New Roman"/>
                <w:color w:val="auto"/>
                <w:sz w:val="24"/>
                <w:szCs w:val="24"/>
                <w:lang w:val="en-US" w:eastAsia="zh-CN"/>
              </w:rPr>
              <w:t>服务响应时间、</w:t>
            </w:r>
            <w:r>
              <w:rPr>
                <w:rStyle w:val="87"/>
                <w:rFonts w:hint="eastAsia" w:ascii="宋体" w:hAnsi="宋体" w:cs="Times New Roman"/>
                <w:color w:val="auto"/>
                <w:sz w:val="24"/>
                <w:szCs w:val="24"/>
                <w:lang w:val="en-US" w:eastAsia="zh-CN"/>
              </w:rPr>
              <w:t>3.</w:t>
            </w:r>
            <w:r>
              <w:rPr>
                <w:rStyle w:val="87"/>
                <w:rFonts w:hint="default" w:ascii="宋体" w:hAnsi="宋体" w:cs="Times New Roman"/>
                <w:color w:val="auto"/>
                <w:sz w:val="24"/>
                <w:szCs w:val="24"/>
                <w:lang w:val="en-US" w:eastAsia="zh-CN"/>
              </w:rPr>
              <w:t>服务体系</w:t>
            </w:r>
            <w:r>
              <w:rPr>
                <w:rStyle w:val="87"/>
                <w:rFonts w:hint="eastAsia" w:ascii="宋体" w:hAnsi="宋体" w:cs="Times New Roman"/>
                <w:color w:val="auto"/>
                <w:sz w:val="24"/>
                <w:szCs w:val="24"/>
                <w:lang w:val="en-US" w:eastAsia="zh-CN"/>
              </w:rPr>
              <w:t>、4.</w:t>
            </w:r>
            <w:r>
              <w:rPr>
                <w:rStyle w:val="87"/>
                <w:rFonts w:hint="default" w:ascii="宋体" w:hAnsi="宋体" w:cs="Times New Roman"/>
                <w:color w:val="auto"/>
                <w:sz w:val="24"/>
                <w:szCs w:val="24"/>
                <w:lang w:val="en-US" w:eastAsia="zh-CN"/>
              </w:rPr>
              <w:t>备品备件</w:t>
            </w:r>
            <w:r>
              <w:rPr>
                <w:rStyle w:val="87"/>
                <w:rFonts w:hint="eastAsia" w:ascii="宋体" w:hAnsi="宋体" w:cs="Times New Roman"/>
                <w:color w:val="auto"/>
                <w:sz w:val="24"/>
                <w:szCs w:val="24"/>
                <w:lang w:val="en-US" w:eastAsia="zh-CN"/>
              </w:rPr>
              <w:t>、5.运输、6</w:t>
            </w:r>
            <w:r>
              <w:rPr>
                <w:rStyle w:val="87"/>
                <w:rFonts w:hint="default" w:ascii="宋体" w:hAnsi="宋体" w:cs="Times New Roman"/>
                <w:color w:val="auto"/>
                <w:sz w:val="24"/>
                <w:szCs w:val="24"/>
                <w:lang w:val="en-US" w:eastAsia="zh-CN"/>
              </w:rPr>
              <w:t>安装调试</w:t>
            </w:r>
            <w:r>
              <w:rPr>
                <w:rStyle w:val="87"/>
                <w:rFonts w:hint="eastAsia" w:ascii="宋体" w:hAnsi="宋体" w:cs="Times New Roman"/>
                <w:color w:val="auto"/>
                <w:sz w:val="24"/>
                <w:szCs w:val="24"/>
                <w:lang w:val="en-US" w:eastAsia="zh-CN"/>
              </w:rPr>
              <w:t>,</w:t>
            </w:r>
            <w:r>
              <w:rPr>
                <w:rFonts w:hint="eastAsia" w:ascii="宋体" w:hAnsi="宋体" w:cs="宋体"/>
                <w:color w:val="000000"/>
                <w:sz w:val="24"/>
                <w:szCs w:val="24"/>
                <w:u w:val="none" w:color="auto"/>
                <w:lang w:val="en-US" w:eastAsia="zh-CN"/>
              </w:rPr>
              <w:t>每有一项且</w:t>
            </w:r>
            <w:r>
              <w:rPr>
                <w:rFonts w:hint="eastAsia" w:ascii="宋体" w:hAnsi="宋体" w:eastAsia="宋体" w:cs="宋体"/>
                <w:color w:val="000000"/>
                <w:sz w:val="24"/>
                <w:szCs w:val="24"/>
                <w:u w:val="none" w:color="auto"/>
                <w:lang w:val="en-US" w:eastAsia="zh-CN"/>
              </w:rPr>
              <w:t>内容完整明确、合理</w:t>
            </w:r>
            <w:r>
              <w:rPr>
                <w:rFonts w:hint="eastAsia" w:ascii="宋体" w:hAnsi="宋体" w:cs="宋体"/>
                <w:color w:val="000000"/>
                <w:sz w:val="24"/>
                <w:szCs w:val="24"/>
                <w:u w:val="none" w:color="auto"/>
                <w:lang w:val="en-US" w:eastAsia="zh-CN"/>
              </w:rPr>
              <w:t>的</w:t>
            </w:r>
            <w:r>
              <w:rPr>
                <w:rFonts w:hint="eastAsia" w:ascii="宋体" w:hAnsi="宋体" w:cs="宋体"/>
                <w:color w:val="000000"/>
                <w:sz w:val="24"/>
                <w:szCs w:val="24"/>
                <w:highlight w:val="none"/>
                <w:u w:val="none" w:color="auto"/>
                <w:lang w:val="en-US" w:eastAsia="zh-CN"/>
              </w:rPr>
              <w:t>得1</w:t>
            </w:r>
            <w:r>
              <w:rPr>
                <w:rFonts w:hint="eastAsia" w:ascii="宋体" w:hAnsi="宋体" w:eastAsia="宋体" w:cs="宋体"/>
                <w:color w:val="000000"/>
                <w:sz w:val="24"/>
                <w:szCs w:val="24"/>
                <w:highlight w:val="none"/>
                <w:u w:val="none" w:color="auto"/>
                <w:lang w:val="en-US" w:eastAsia="zh-CN"/>
              </w:rPr>
              <w:t>分，</w:t>
            </w:r>
            <w:r>
              <w:rPr>
                <w:rFonts w:hint="eastAsia" w:ascii="宋体" w:hAnsi="宋体" w:cs="宋体"/>
                <w:color w:val="000000"/>
                <w:sz w:val="24"/>
                <w:szCs w:val="24"/>
                <w:highlight w:val="none"/>
                <w:u w:val="none" w:color="auto"/>
                <w:lang w:val="en-US" w:eastAsia="zh-CN"/>
              </w:rPr>
              <w:t>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597" w:type="dxa"/>
            <w:vMerge w:val="continue"/>
            <w:tcBorders>
              <w:left w:val="single" w:color="auto" w:sz="4" w:space="0"/>
              <w:right w:val="single" w:color="auto" w:sz="4" w:space="0"/>
            </w:tcBorders>
            <w:vAlign w:val="center"/>
          </w:tcPr>
          <w:p>
            <w:pPr>
              <w:widowControl/>
              <w:rPr>
                <w:rFonts w:ascii="宋体" w:hAnsi="宋体"/>
                <w:color w:val="auto"/>
                <w:sz w:val="24"/>
                <w:szCs w:val="24"/>
              </w:rPr>
            </w:pPr>
          </w:p>
        </w:tc>
        <w:tc>
          <w:tcPr>
            <w:tcW w:w="2475" w:type="dxa"/>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Style w:val="87"/>
                <w:rFonts w:ascii="宋体" w:hAnsi="宋体"/>
                <w:sz w:val="24"/>
                <w:szCs w:val="24"/>
              </w:rPr>
            </w:pPr>
            <w:r>
              <w:rPr>
                <w:rStyle w:val="87"/>
                <w:rFonts w:ascii="宋体" w:hAnsi="宋体"/>
                <w:sz w:val="24"/>
                <w:szCs w:val="20"/>
                <w:highlight w:val="none"/>
              </w:rPr>
              <w:t>检测和认证</w:t>
            </w:r>
            <w:r>
              <w:rPr>
                <w:rStyle w:val="87"/>
                <w:rFonts w:hint="eastAsia" w:ascii="宋体" w:hAnsi="宋体"/>
                <w:sz w:val="24"/>
                <w:szCs w:val="20"/>
                <w:highlight w:val="none"/>
              </w:rPr>
              <w:t>（</w:t>
            </w:r>
            <w:r>
              <w:rPr>
                <w:rStyle w:val="87"/>
                <w:rFonts w:hint="eastAsia" w:ascii="宋体" w:hAnsi="宋体"/>
                <w:sz w:val="24"/>
                <w:szCs w:val="20"/>
                <w:highlight w:val="none"/>
                <w:lang w:val="en-US"/>
              </w:rPr>
              <w:t>8分</w:t>
            </w:r>
            <w:r>
              <w:rPr>
                <w:rStyle w:val="87"/>
                <w:rFonts w:hint="eastAsia" w:ascii="宋体" w:hAnsi="宋体"/>
                <w:sz w:val="24"/>
                <w:szCs w:val="20"/>
                <w:highlight w:val="none"/>
              </w:rPr>
              <w:t>）</w:t>
            </w:r>
          </w:p>
        </w:tc>
        <w:tc>
          <w:tcPr>
            <w:tcW w:w="70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numPr>
                <w:ilvl w:val="0"/>
                <w:numId w:val="6"/>
              </w:numPr>
              <w:suppressLineNumbers w:val="0"/>
              <w:spacing w:before="0" w:beforeAutospacing="0" w:after="0" w:afterAutospacing="0" w:line="320" w:lineRule="exact"/>
              <w:ind w:left="0" w:leftChars="0" w:right="0" w:rightChars="0" w:firstLine="0" w:firstLineChars="0"/>
              <w:jc w:val="both"/>
              <w:rPr>
                <w:rStyle w:val="87"/>
                <w:rFonts w:hint="eastAsia" w:ascii="宋体" w:hAnsi="宋体"/>
                <w:color w:val="auto"/>
                <w:sz w:val="24"/>
                <w:szCs w:val="24"/>
              </w:rPr>
            </w:pPr>
            <w:r>
              <w:rPr>
                <w:rStyle w:val="87"/>
                <w:rFonts w:hint="eastAsia" w:ascii="宋体" w:hAnsi="宋体"/>
                <w:color w:val="auto"/>
                <w:sz w:val="24"/>
                <w:szCs w:val="24"/>
              </w:rPr>
              <w:t>提供二噁英控制检测合格证书；</w:t>
            </w:r>
          </w:p>
          <w:p>
            <w:pPr>
              <w:keepNext w:val="0"/>
              <w:keepLines w:val="0"/>
              <w:widowControl w:val="0"/>
              <w:numPr>
                <w:ilvl w:val="0"/>
                <w:numId w:val="6"/>
              </w:numPr>
              <w:suppressLineNumbers w:val="0"/>
              <w:spacing w:before="0" w:beforeAutospacing="0" w:after="0" w:afterAutospacing="0" w:line="320" w:lineRule="exact"/>
              <w:ind w:left="0" w:leftChars="0" w:right="0" w:rightChars="0" w:firstLine="0" w:firstLineChars="0"/>
              <w:jc w:val="both"/>
              <w:rPr>
                <w:rStyle w:val="87"/>
                <w:rFonts w:ascii="宋体" w:hAnsi="宋体"/>
                <w:color w:val="auto"/>
                <w:sz w:val="24"/>
                <w:szCs w:val="24"/>
              </w:rPr>
            </w:pPr>
            <w:r>
              <w:rPr>
                <w:rStyle w:val="87"/>
                <w:rFonts w:hint="eastAsia" w:ascii="宋体" w:hAnsi="宋体"/>
                <w:color w:val="auto"/>
                <w:sz w:val="24"/>
                <w:szCs w:val="24"/>
              </w:rPr>
              <w:t>提供由国家环境分析测试中心检测的尾气净化设备的检测报告（按国家GB13801-2015新标准）；</w:t>
            </w:r>
          </w:p>
          <w:p>
            <w:pPr>
              <w:keepNext w:val="0"/>
              <w:keepLines w:val="0"/>
              <w:widowControl w:val="0"/>
              <w:numPr>
                <w:ilvl w:val="0"/>
                <w:numId w:val="6"/>
              </w:numPr>
              <w:suppressLineNumbers w:val="0"/>
              <w:spacing w:before="0" w:beforeAutospacing="0" w:after="0" w:afterAutospacing="0" w:line="320" w:lineRule="exact"/>
              <w:ind w:left="0" w:leftChars="0" w:right="0" w:rightChars="0"/>
              <w:jc w:val="both"/>
              <w:rPr>
                <w:rStyle w:val="87"/>
                <w:rFonts w:ascii="宋体" w:hAnsi="宋体"/>
                <w:color w:val="auto"/>
                <w:sz w:val="24"/>
                <w:szCs w:val="24"/>
              </w:rPr>
            </w:pPr>
            <w:r>
              <w:rPr>
                <w:rStyle w:val="87"/>
                <w:rFonts w:ascii="宋体" w:hAnsi="宋体"/>
                <w:color w:val="auto"/>
                <w:sz w:val="24"/>
                <w:szCs w:val="24"/>
              </w:rPr>
              <w:t>提供由国家环境分析测试中心出具的火化机检测报告（按国家GB13801-2015新标准）；</w:t>
            </w:r>
          </w:p>
          <w:p>
            <w:pPr>
              <w:keepNext w:val="0"/>
              <w:keepLines w:val="0"/>
              <w:widowControl w:val="0"/>
              <w:numPr>
                <w:ilvl w:val="0"/>
                <w:numId w:val="6"/>
              </w:numPr>
              <w:suppressLineNumbers w:val="0"/>
              <w:spacing w:before="0" w:beforeAutospacing="0" w:after="0" w:afterAutospacing="0" w:line="320" w:lineRule="exact"/>
              <w:ind w:left="0" w:leftChars="0" w:right="0" w:rightChars="0" w:firstLine="0" w:firstLineChars="0"/>
              <w:jc w:val="both"/>
              <w:rPr>
                <w:rStyle w:val="87"/>
                <w:rFonts w:ascii="宋体" w:hAnsi="宋体"/>
                <w:color w:val="auto"/>
                <w:sz w:val="24"/>
                <w:szCs w:val="24"/>
              </w:rPr>
            </w:pPr>
            <w:r>
              <w:rPr>
                <w:rStyle w:val="87"/>
                <w:rFonts w:ascii="宋体" w:hAnsi="宋体"/>
                <w:color w:val="auto"/>
                <w:sz w:val="24"/>
                <w:szCs w:val="24"/>
              </w:rPr>
              <w:t>提供权威火化机尾气电控柜的检测报告；</w:t>
            </w:r>
          </w:p>
          <w:p>
            <w:pPr>
              <w:keepNext w:val="0"/>
              <w:keepLines w:val="0"/>
              <w:widowControl w:val="0"/>
              <w:numPr>
                <w:ilvl w:val="0"/>
                <w:numId w:val="6"/>
              </w:numPr>
              <w:suppressLineNumbers w:val="0"/>
              <w:spacing w:before="0" w:beforeAutospacing="0" w:after="0" w:afterAutospacing="0" w:line="320" w:lineRule="exact"/>
              <w:ind w:left="0" w:leftChars="0" w:right="0" w:rightChars="0" w:firstLine="0" w:firstLineChars="0"/>
              <w:jc w:val="both"/>
              <w:rPr>
                <w:rStyle w:val="87"/>
                <w:rFonts w:ascii="宋体" w:hAnsi="宋体"/>
                <w:color w:val="auto"/>
                <w:sz w:val="24"/>
                <w:szCs w:val="24"/>
              </w:rPr>
            </w:pPr>
            <w:r>
              <w:rPr>
                <w:rStyle w:val="87"/>
                <w:rFonts w:ascii="宋体" w:hAnsi="宋体"/>
                <w:color w:val="auto"/>
                <w:sz w:val="24"/>
                <w:szCs w:val="24"/>
              </w:rPr>
              <w:t>提供瞻仰台检测报告；</w:t>
            </w:r>
          </w:p>
          <w:p>
            <w:pPr>
              <w:keepNext w:val="0"/>
              <w:keepLines w:val="0"/>
              <w:widowControl w:val="0"/>
              <w:numPr>
                <w:ilvl w:val="0"/>
                <w:numId w:val="6"/>
              </w:numPr>
              <w:suppressLineNumbers w:val="0"/>
              <w:spacing w:before="0" w:beforeAutospacing="0" w:after="0" w:afterAutospacing="0" w:line="320" w:lineRule="exact"/>
              <w:ind w:left="0" w:leftChars="0" w:right="0" w:rightChars="0" w:firstLine="0" w:firstLineChars="0"/>
              <w:jc w:val="both"/>
              <w:rPr>
                <w:rStyle w:val="87"/>
                <w:rFonts w:ascii="宋体" w:hAnsi="宋体"/>
                <w:color w:val="auto"/>
                <w:sz w:val="24"/>
                <w:szCs w:val="24"/>
              </w:rPr>
            </w:pPr>
            <w:r>
              <w:rPr>
                <w:rStyle w:val="87"/>
                <w:rFonts w:ascii="宋体" w:hAnsi="宋体"/>
                <w:color w:val="auto"/>
                <w:sz w:val="24"/>
                <w:szCs w:val="24"/>
              </w:rPr>
              <w:t>提供水晶棺检测报告；</w:t>
            </w:r>
          </w:p>
          <w:p>
            <w:pPr>
              <w:keepNext w:val="0"/>
              <w:keepLines w:val="0"/>
              <w:widowControl w:val="0"/>
              <w:numPr>
                <w:ilvl w:val="0"/>
                <w:numId w:val="6"/>
              </w:numPr>
              <w:suppressLineNumbers w:val="0"/>
              <w:spacing w:before="0" w:beforeAutospacing="0" w:after="0" w:afterAutospacing="0" w:line="320" w:lineRule="exact"/>
              <w:ind w:left="0" w:leftChars="0" w:right="0" w:rightChars="0" w:firstLine="0" w:firstLineChars="0"/>
              <w:jc w:val="both"/>
              <w:rPr>
                <w:rStyle w:val="87"/>
                <w:rFonts w:ascii="宋体" w:hAnsi="宋体"/>
                <w:color w:val="auto"/>
                <w:sz w:val="24"/>
                <w:szCs w:val="24"/>
              </w:rPr>
            </w:pPr>
            <w:r>
              <w:rPr>
                <w:rStyle w:val="87"/>
                <w:rFonts w:ascii="宋体" w:hAnsi="宋体"/>
                <w:color w:val="auto"/>
                <w:sz w:val="24"/>
                <w:szCs w:val="24"/>
              </w:rPr>
              <w:t>提供太平柜检测报告；</w:t>
            </w:r>
          </w:p>
          <w:p>
            <w:pPr>
              <w:keepNext w:val="0"/>
              <w:keepLines w:val="0"/>
              <w:widowControl w:val="0"/>
              <w:numPr>
                <w:ilvl w:val="0"/>
                <w:numId w:val="6"/>
              </w:numPr>
              <w:suppressLineNumbers w:val="0"/>
              <w:spacing w:before="0" w:beforeAutospacing="0" w:after="0" w:afterAutospacing="0" w:line="320" w:lineRule="exact"/>
              <w:ind w:left="0" w:leftChars="0" w:right="0" w:rightChars="0" w:firstLine="0" w:firstLineChars="0"/>
              <w:jc w:val="both"/>
              <w:rPr>
                <w:rStyle w:val="87"/>
                <w:rFonts w:ascii="宋体" w:hAnsi="宋体"/>
                <w:color w:val="auto"/>
                <w:sz w:val="24"/>
                <w:szCs w:val="24"/>
              </w:rPr>
            </w:pPr>
            <w:r>
              <w:rPr>
                <w:rStyle w:val="87"/>
                <w:rFonts w:ascii="宋体" w:hAnsi="宋体"/>
                <w:color w:val="auto"/>
                <w:sz w:val="24"/>
                <w:szCs w:val="24"/>
              </w:rPr>
              <w:t>提供骨灰存放架检测报告；</w:t>
            </w:r>
          </w:p>
          <w:p>
            <w:pPr>
              <w:keepNext w:val="0"/>
              <w:keepLines w:val="0"/>
              <w:widowControl w:val="0"/>
              <w:numPr>
                <w:ilvl w:val="0"/>
                <w:numId w:val="0"/>
              </w:numPr>
              <w:suppressLineNumbers w:val="0"/>
              <w:spacing w:before="0" w:beforeAutospacing="0" w:after="0" w:afterAutospacing="0" w:line="320" w:lineRule="exact"/>
              <w:ind w:leftChars="0" w:right="0" w:rightChars="0"/>
              <w:jc w:val="both"/>
              <w:rPr>
                <w:rStyle w:val="87"/>
                <w:rFonts w:ascii="宋体" w:hAnsi="宋体"/>
                <w:color w:val="auto"/>
                <w:sz w:val="24"/>
                <w:szCs w:val="24"/>
              </w:rPr>
            </w:pPr>
            <w:r>
              <w:rPr>
                <w:rStyle w:val="87"/>
                <w:rFonts w:hint="eastAsia" w:ascii="宋体" w:hAnsi="宋体"/>
                <w:color w:val="auto"/>
                <w:sz w:val="24"/>
                <w:szCs w:val="24"/>
                <w:lang w:eastAsia="zh-CN"/>
              </w:rPr>
              <w:t>合格的检测报告</w:t>
            </w:r>
            <w:r>
              <w:rPr>
                <w:rStyle w:val="87"/>
                <w:rFonts w:hint="eastAsia" w:ascii="宋体" w:hAnsi="宋体"/>
                <w:color w:val="auto"/>
                <w:sz w:val="24"/>
                <w:szCs w:val="24"/>
              </w:rPr>
              <w:t>每提供一份得</w:t>
            </w:r>
            <w:r>
              <w:rPr>
                <w:rStyle w:val="87"/>
                <w:rFonts w:hint="eastAsia" w:ascii="宋体" w:hAnsi="宋体"/>
                <w:color w:val="auto"/>
                <w:sz w:val="24"/>
                <w:szCs w:val="24"/>
                <w:lang w:val="en-US"/>
              </w:rPr>
              <w:t>1分，</w:t>
            </w:r>
            <w:r>
              <w:rPr>
                <w:rStyle w:val="87"/>
                <w:rFonts w:ascii="宋体" w:hAnsi="宋体"/>
                <w:color w:val="auto"/>
                <w:sz w:val="24"/>
                <w:szCs w:val="24"/>
              </w:rPr>
              <w:t>满分</w:t>
            </w:r>
            <w:r>
              <w:rPr>
                <w:rStyle w:val="87"/>
                <w:rFonts w:hint="eastAsia" w:ascii="宋体" w:hAnsi="宋体"/>
                <w:color w:val="auto"/>
                <w:sz w:val="24"/>
                <w:szCs w:val="24"/>
                <w:lang w:val="en-US"/>
              </w:rPr>
              <w:t>8</w:t>
            </w:r>
            <w:r>
              <w:rPr>
                <w:rStyle w:val="87"/>
                <w:rFonts w:ascii="宋体" w:hAnsi="宋体"/>
                <w:color w:val="auto"/>
                <w:sz w:val="24"/>
                <w:szCs w:val="24"/>
              </w:rPr>
              <w:t>分。（</w:t>
            </w:r>
            <w:r>
              <w:rPr>
                <w:rStyle w:val="87"/>
                <w:rFonts w:hint="eastAsia" w:ascii="宋体" w:hAnsi="宋体"/>
                <w:color w:val="auto"/>
                <w:sz w:val="24"/>
                <w:szCs w:val="24"/>
              </w:rPr>
              <w:t>投标文件需附</w:t>
            </w:r>
            <w:r>
              <w:rPr>
                <w:rStyle w:val="87"/>
                <w:rFonts w:ascii="宋体" w:hAnsi="宋体"/>
                <w:color w:val="auto"/>
                <w:sz w:val="24"/>
                <w:szCs w:val="24"/>
              </w:rPr>
              <w:t>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7" w:type="dxa"/>
            <w:vMerge w:val="continue"/>
            <w:tcBorders>
              <w:left w:val="single" w:color="auto" w:sz="4" w:space="0"/>
              <w:right w:val="single" w:color="auto" w:sz="4" w:space="0"/>
            </w:tcBorders>
            <w:vAlign w:val="center"/>
          </w:tcPr>
          <w:p>
            <w:pPr>
              <w:widowControl/>
              <w:rPr>
                <w:rFonts w:ascii="宋体" w:hAnsi="宋体"/>
                <w:color w:val="auto"/>
                <w:sz w:val="24"/>
                <w:szCs w:val="24"/>
              </w:rPr>
            </w:pPr>
          </w:p>
        </w:tc>
        <w:tc>
          <w:tcPr>
            <w:tcW w:w="24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lang w:val="en-US" w:eastAsia="zh-CN"/>
              </w:rPr>
              <w:t>现场演示（10）</w:t>
            </w:r>
          </w:p>
        </w:tc>
        <w:tc>
          <w:tcPr>
            <w:tcW w:w="7070" w:type="dxa"/>
            <w:tcBorders>
              <w:top w:val="single" w:color="auto" w:sz="4" w:space="0"/>
              <w:left w:val="single" w:color="auto" w:sz="4" w:space="0"/>
              <w:bottom w:val="single" w:color="auto" w:sz="4" w:space="0"/>
              <w:right w:val="single" w:color="auto" w:sz="4" w:space="0"/>
            </w:tcBorders>
            <w:vAlign w:val="center"/>
          </w:tcPr>
          <w:p>
            <w:pPr>
              <w:widowControl/>
              <w:rPr>
                <w:rFonts w:hint="default"/>
                <w:lang w:val="en-US" w:eastAsia="zh-CN"/>
              </w:rPr>
            </w:pPr>
            <w:r>
              <w:rPr>
                <w:rFonts w:hint="eastAsia" w:asciiTheme="minorEastAsia" w:hAnsiTheme="minorEastAsia" w:eastAsiaTheme="minorEastAsia" w:cstheme="minorEastAsia"/>
                <w:color w:val="auto"/>
                <w:kern w:val="2"/>
                <w:sz w:val="24"/>
                <w:szCs w:val="24"/>
                <w:lang w:val="en-US" w:eastAsia="zh-CN" w:bidi="ar-SA"/>
              </w:rPr>
              <w:t>对投标人提供提供的高档捡灰火化机摆臂式操作触摸液晶面板、大型豪华瞻仰台智能发光中华柱演示进行评分，根据可靠性、操作性、智能性方面，投标人自主编程进行操作演示评审和比较：基础分为4分，每有一项且演示内容完整明确、合理的得2分，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597" w:type="dxa"/>
            <w:vMerge w:val="continue"/>
            <w:tcBorders>
              <w:left w:val="single" w:color="auto" w:sz="4" w:space="0"/>
              <w:right w:val="single" w:color="auto" w:sz="4" w:space="0"/>
            </w:tcBorders>
            <w:vAlign w:val="center"/>
          </w:tcPr>
          <w:p>
            <w:pPr>
              <w:widowControl/>
              <w:rPr>
                <w:rFonts w:ascii="宋体" w:hAnsi="宋体"/>
                <w:color w:val="auto"/>
                <w:sz w:val="24"/>
                <w:szCs w:val="24"/>
              </w:rPr>
            </w:pPr>
          </w:p>
        </w:tc>
        <w:tc>
          <w:tcPr>
            <w:tcW w:w="24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r>
              <w:rPr>
                <w:rFonts w:hint="eastAsia" w:ascii="宋体" w:hAnsi="宋体"/>
                <w:color w:val="000000"/>
                <w:sz w:val="24"/>
                <w:szCs w:val="24"/>
              </w:rPr>
              <w:t>质保期（</w:t>
            </w:r>
            <w:r>
              <w:rPr>
                <w:rFonts w:hint="eastAsia" w:ascii="宋体" w:hAnsi="宋体"/>
                <w:color w:val="000000"/>
                <w:sz w:val="24"/>
                <w:szCs w:val="24"/>
                <w:lang w:val="en-US" w:eastAsia="zh-CN"/>
              </w:rPr>
              <w:t>6</w:t>
            </w:r>
            <w:r>
              <w:rPr>
                <w:rFonts w:hint="eastAsia" w:ascii="宋体" w:hAnsi="宋体"/>
                <w:color w:val="000000"/>
                <w:sz w:val="24"/>
                <w:szCs w:val="24"/>
              </w:rPr>
              <w:t>分）</w:t>
            </w:r>
          </w:p>
        </w:tc>
        <w:tc>
          <w:tcPr>
            <w:tcW w:w="707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olor w:val="auto"/>
                <w:sz w:val="24"/>
                <w:szCs w:val="24"/>
                <w:lang w:val="en-US"/>
              </w:rPr>
            </w:pPr>
            <w:r>
              <w:rPr>
                <w:rFonts w:hint="eastAsia" w:ascii="宋体" w:hAnsi="宋体"/>
                <w:color w:val="000000"/>
                <w:sz w:val="24"/>
                <w:szCs w:val="24"/>
                <w:lang w:val="en-US" w:eastAsia="zh-CN"/>
              </w:rPr>
              <w:t>投标人所投产品</w:t>
            </w:r>
            <w:r>
              <w:rPr>
                <w:rFonts w:hint="eastAsia" w:ascii="宋体" w:hAnsi="宋体"/>
                <w:color w:val="000000"/>
                <w:sz w:val="24"/>
                <w:szCs w:val="24"/>
              </w:rPr>
              <w:t>质保期满足</w:t>
            </w:r>
            <w:r>
              <w:rPr>
                <w:rFonts w:hint="eastAsia" w:ascii="宋体" w:hAnsi="宋体"/>
                <w:color w:val="000000"/>
                <w:sz w:val="24"/>
                <w:szCs w:val="24"/>
                <w:lang w:val="en-US" w:eastAsia="zh-CN"/>
              </w:rPr>
              <w:t>招标</w:t>
            </w:r>
            <w:r>
              <w:rPr>
                <w:rFonts w:hint="eastAsia" w:ascii="宋体" w:hAnsi="宋体"/>
                <w:color w:val="000000"/>
                <w:sz w:val="24"/>
                <w:szCs w:val="24"/>
              </w:rPr>
              <w:t>文件得</w:t>
            </w:r>
            <w:r>
              <w:rPr>
                <w:rFonts w:hint="eastAsia" w:ascii="宋体" w:hAnsi="宋体"/>
                <w:color w:val="000000"/>
                <w:sz w:val="24"/>
                <w:szCs w:val="24"/>
                <w:lang w:val="en-US" w:eastAsia="zh-CN"/>
              </w:rPr>
              <w:t>3</w:t>
            </w:r>
            <w:r>
              <w:rPr>
                <w:rFonts w:hint="eastAsia" w:ascii="宋体" w:hAnsi="宋体"/>
                <w:color w:val="000000"/>
                <w:sz w:val="24"/>
                <w:szCs w:val="24"/>
              </w:rPr>
              <w:t>分，质保期每超出一年加1分，满分</w:t>
            </w:r>
            <w:r>
              <w:rPr>
                <w:rFonts w:hint="eastAsia" w:ascii="宋体" w:hAnsi="宋体"/>
                <w:color w:val="000000"/>
                <w:sz w:val="24"/>
                <w:szCs w:val="24"/>
                <w:lang w:val="en-US" w:eastAsia="zh-CN"/>
              </w:rPr>
              <w:t>6</w:t>
            </w:r>
            <w:r>
              <w:rPr>
                <w:rFonts w:hint="eastAsia" w:ascii="宋体" w:hAnsi="宋体"/>
                <w:color w:val="000000"/>
                <w:sz w:val="24"/>
                <w:szCs w:val="24"/>
              </w:rPr>
              <w:t>分。</w:t>
            </w:r>
          </w:p>
        </w:tc>
      </w:tr>
    </w:tbl>
    <w:p>
      <w:pPr>
        <w:spacing w:line="360" w:lineRule="auto"/>
        <w:rPr>
          <w:rFonts w:ascii="宋体" w:hAnsi="宋体" w:cs="宋体"/>
          <w:b/>
          <w:color w:val="auto"/>
          <w:kern w:val="0"/>
          <w:sz w:val="24"/>
          <w:szCs w:val="24"/>
        </w:rPr>
      </w:pPr>
    </w:p>
    <w:p>
      <w:pPr>
        <w:spacing w:line="360" w:lineRule="auto"/>
        <w:rPr>
          <w:rFonts w:ascii="宋体" w:hAnsi="宋体"/>
          <w:color w:val="auto"/>
          <w:sz w:val="24"/>
          <w:szCs w:val="24"/>
        </w:rPr>
      </w:pPr>
      <w:r>
        <w:rPr>
          <w:rFonts w:ascii="宋体" w:hAnsi="宋体"/>
          <w:color w:val="auto"/>
          <w:sz w:val="24"/>
          <w:szCs w:val="24"/>
        </w:rPr>
        <w:br w:type="page"/>
      </w:r>
    </w:p>
    <w:p>
      <w:pPr>
        <w:pStyle w:val="3"/>
        <w:keepNext w:val="0"/>
        <w:keepLines w:val="0"/>
        <w:spacing w:line="360" w:lineRule="auto"/>
        <w:rPr>
          <w:rFonts w:ascii="宋体" w:hAnsi="宋体"/>
          <w:color w:val="auto"/>
          <w:sz w:val="24"/>
          <w:szCs w:val="24"/>
        </w:rPr>
      </w:pPr>
      <w:bookmarkStart w:id="29" w:name="_Toc29111_WPSOffice_Level1"/>
      <w:bookmarkStart w:id="30" w:name="_Toc497408663"/>
      <w:r>
        <w:rPr>
          <w:rFonts w:hint="eastAsia" w:ascii="宋体" w:hAnsi="宋体"/>
          <w:color w:val="auto"/>
          <w:sz w:val="24"/>
          <w:szCs w:val="24"/>
        </w:rPr>
        <w:t>第七章 投标文件格式与要求</w:t>
      </w:r>
      <w:bookmarkEnd w:id="29"/>
      <w:bookmarkEnd w:id="30"/>
    </w:p>
    <w:p>
      <w:pPr>
        <w:rPr>
          <w:color w:val="auto"/>
          <w:sz w:val="24"/>
          <w:szCs w:val="24"/>
          <w:lang w:val="zh-CN"/>
        </w:rPr>
      </w:pPr>
    </w:p>
    <w:p>
      <w:pPr>
        <w:widowControl/>
        <w:jc w:val="left"/>
        <w:rPr>
          <w:color w:val="auto"/>
        </w:rPr>
      </w:pPr>
      <w:r>
        <w:rPr>
          <w:rFonts w:ascii="宋体" w:hAnsi="宋体" w:cs="宋体"/>
          <w:color w:val="auto"/>
          <w:kern w:val="0"/>
          <w:sz w:val="24"/>
          <w:szCs w:val="24"/>
        </w:rPr>
        <w:t>供应商提供响应文件应当按照以下格式及要求进行编制，具体要求见所附各格式及说明。</w:t>
      </w:r>
    </w:p>
    <w:p>
      <w:pPr>
        <w:spacing w:line="360" w:lineRule="auto"/>
        <w:rPr>
          <w:rFonts w:ascii="宋体" w:hAnsi="宋体"/>
          <w:b/>
          <w:bCs/>
          <w:color w:val="auto"/>
          <w:kern w:val="0"/>
          <w:sz w:val="24"/>
          <w:szCs w:val="24"/>
          <w:lang w:val="zh-CN"/>
        </w:rPr>
      </w:pPr>
      <w:r>
        <w:rPr>
          <w:rFonts w:ascii="宋体" w:hAnsi="宋体"/>
          <w:b/>
          <w:bCs/>
          <w:color w:val="auto"/>
          <w:kern w:val="0"/>
          <w:sz w:val="24"/>
          <w:szCs w:val="24"/>
          <w:lang w:val="zh-CN"/>
        </w:rPr>
        <w:br w:type="page"/>
      </w:r>
    </w:p>
    <w:p>
      <w:pPr>
        <w:spacing w:line="360" w:lineRule="auto"/>
        <w:jc w:val="left"/>
        <w:rPr>
          <w:rFonts w:ascii="宋体" w:hAnsi="宋体"/>
          <w:bCs/>
          <w:color w:val="auto"/>
          <w:kern w:val="0"/>
          <w:sz w:val="24"/>
          <w:szCs w:val="24"/>
          <w:lang w:val="zh-CN"/>
        </w:rPr>
      </w:pPr>
      <w:r>
        <w:rPr>
          <w:rFonts w:hint="eastAsia" w:ascii="宋体" w:hAnsi="宋体"/>
          <w:b/>
          <w:bCs/>
          <w:color w:val="auto"/>
          <w:kern w:val="0"/>
          <w:sz w:val="24"/>
          <w:szCs w:val="24"/>
          <w:lang w:val="zh-CN"/>
        </w:rPr>
        <w:t>格式一</w:t>
      </w:r>
      <w:r>
        <w:rPr>
          <w:rFonts w:hint="eastAsia" w:ascii="宋体" w:hAnsi="宋体"/>
          <w:bCs/>
          <w:color w:val="auto"/>
          <w:kern w:val="0"/>
          <w:sz w:val="24"/>
          <w:szCs w:val="24"/>
          <w:lang w:val="zh-CN"/>
        </w:rPr>
        <w:t>：</w:t>
      </w:r>
    </w:p>
    <w:p>
      <w:pPr>
        <w:spacing w:line="360" w:lineRule="auto"/>
        <w:ind w:firstLine="726" w:firstLineChars="201"/>
        <w:jc w:val="center"/>
        <w:rPr>
          <w:rFonts w:ascii="宋体" w:hAnsi="宋体" w:cs="宋体"/>
          <w:b/>
          <w:bCs/>
          <w:color w:val="auto"/>
          <w:sz w:val="36"/>
          <w:szCs w:val="36"/>
        </w:rPr>
      </w:pPr>
    </w:p>
    <w:p>
      <w:pPr>
        <w:spacing w:line="360" w:lineRule="auto"/>
        <w:ind w:firstLine="726" w:firstLineChars="201"/>
        <w:jc w:val="center"/>
        <w:rPr>
          <w:rFonts w:ascii="宋体" w:hAnsi="宋体" w:cs="宋体"/>
          <w:b/>
          <w:bCs/>
          <w:color w:val="auto"/>
          <w:sz w:val="36"/>
          <w:szCs w:val="36"/>
        </w:rPr>
      </w:pPr>
    </w:p>
    <w:p>
      <w:pPr>
        <w:spacing w:line="360" w:lineRule="auto"/>
        <w:ind w:firstLine="726" w:firstLineChars="201"/>
        <w:jc w:val="center"/>
        <w:rPr>
          <w:rFonts w:asciiTheme="minorEastAsia" w:hAnsiTheme="minorEastAsia" w:eastAsiaTheme="minorEastAsia"/>
          <w:b/>
          <w:bCs/>
          <w:color w:val="auto"/>
          <w:sz w:val="36"/>
          <w:szCs w:val="36"/>
        </w:rPr>
      </w:pPr>
      <w:bookmarkStart w:id="31" w:name="_Toc12051_WPSOffice_Level1"/>
      <w:r>
        <w:rPr>
          <w:rFonts w:hint="eastAsia" w:cs="宋体" w:asciiTheme="minorEastAsia" w:hAnsiTheme="minorEastAsia" w:eastAsiaTheme="minorEastAsia"/>
          <w:b/>
          <w:bCs/>
          <w:color w:val="auto"/>
          <w:sz w:val="36"/>
          <w:szCs w:val="36"/>
        </w:rPr>
        <w:t>投标文件封面</w:t>
      </w:r>
      <w:bookmarkEnd w:id="31"/>
    </w:p>
    <w:p>
      <w:pPr>
        <w:spacing w:line="360" w:lineRule="auto"/>
        <w:ind w:firstLine="1049" w:firstLineChars="201"/>
        <w:jc w:val="center"/>
        <w:rPr>
          <w:rFonts w:asciiTheme="minorEastAsia" w:hAnsiTheme="minorEastAsia" w:eastAsiaTheme="minorEastAsia"/>
          <w:b/>
          <w:bCs/>
          <w:color w:val="auto"/>
          <w:sz w:val="52"/>
          <w:szCs w:val="52"/>
        </w:rPr>
      </w:pPr>
    </w:p>
    <w:p>
      <w:pPr>
        <w:spacing w:line="360" w:lineRule="auto"/>
        <w:ind w:firstLine="1049" w:firstLineChars="201"/>
        <w:jc w:val="center"/>
        <w:rPr>
          <w:rFonts w:asciiTheme="minorEastAsia" w:hAnsiTheme="minorEastAsia" w:eastAsiaTheme="minorEastAsia"/>
          <w:b/>
          <w:bCs/>
          <w:color w:val="auto"/>
          <w:kern w:val="0"/>
          <w:sz w:val="52"/>
          <w:szCs w:val="52"/>
        </w:rPr>
      </w:pPr>
      <w:bookmarkStart w:id="32" w:name="_Toc26457_WPSOffice_Level1"/>
      <w:r>
        <w:rPr>
          <w:rFonts w:hint="eastAsia" w:cs="宋体" w:asciiTheme="minorEastAsia" w:hAnsiTheme="minorEastAsia" w:eastAsiaTheme="minorEastAsia"/>
          <w:b/>
          <w:bCs/>
          <w:color w:val="auto"/>
          <w:kern w:val="0"/>
          <w:sz w:val="52"/>
          <w:szCs w:val="52"/>
        </w:rPr>
        <w:t>（项目名称）</w:t>
      </w:r>
      <w:bookmarkEnd w:id="32"/>
    </w:p>
    <w:p>
      <w:pPr>
        <w:spacing w:line="360" w:lineRule="auto"/>
        <w:ind w:firstLine="1049" w:firstLineChars="201"/>
        <w:jc w:val="center"/>
        <w:rPr>
          <w:rFonts w:asciiTheme="minorEastAsia" w:hAnsiTheme="minorEastAsia" w:eastAsiaTheme="minorEastAsia"/>
          <w:b/>
          <w:bCs/>
          <w:color w:val="auto"/>
          <w:kern w:val="0"/>
          <w:sz w:val="52"/>
          <w:szCs w:val="52"/>
        </w:rPr>
      </w:pPr>
      <w:bookmarkStart w:id="33" w:name="_Toc3817_WPSOffice_Level1"/>
      <w:r>
        <w:rPr>
          <w:rFonts w:hint="eastAsia" w:cs="宋体" w:asciiTheme="minorEastAsia" w:hAnsiTheme="minorEastAsia" w:eastAsiaTheme="minorEastAsia"/>
          <w:b/>
          <w:bCs/>
          <w:color w:val="auto"/>
          <w:kern w:val="0"/>
          <w:sz w:val="52"/>
          <w:szCs w:val="52"/>
        </w:rPr>
        <w:t>投标文件</w:t>
      </w:r>
      <w:bookmarkEnd w:id="33"/>
    </w:p>
    <w:p>
      <w:pPr>
        <w:spacing w:line="360" w:lineRule="auto"/>
        <w:ind w:firstLine="723" w:firstLineChars="201"/>
        <w:jc w:val="center"/>
        <w:rPr>
          <w:rFonts w:asciiTheme="minorEastAsia" w:hAnsiTheme="minorEastAsia" w:eastAsiaTheme="minorEastAsia"/>
          <w:b/>
          <w:bCs/>
          <w:color w:val="auto"/>
          <w:kern w:val="0"/>
          <w:sz w:val="36"/>
          <w:szCs w:val="36"/>
        </w:rPr>
      </w:pPr>
      <w:bookmarkStart w:id="34" w:name="_Toc704_WPSOffice_Level1"/>
      <w:r>
        <w:rPr>
          <w:rFonts w:hint="eastAsia" w:cs="楷体_GB2312" w:asciiTheme="minorEastAsia" w:hAnsiTheme="minorEastAsia" w:eastAsiaTheme="minorEastAsia"/>
          <w:color w:val="auto"/>
          <w:sz w:val="36"/>
          <w:szCs w:val="36"/>
        </w:rPr>
        <w:t>（正本</w:t>
      </w:r>
      <w:r>
        <w:rPr>
          <w:rFonts w:cs="楷体_GB2312" w:asciiTheme="minorEastAsia" w:hAnsiTheme="minorEastAsia" w:eastAsiaTheme="minorEastAsia"/>
          <w:color w:val="auto"/>
          <w:sz w:val="36"/>
          <w:szCs w:val="36"/>
        </w:rPr>
        <w:t>/</w:t>
      </w:r>
      <w:r>
        <w:rPr>
          <w:rFonts w:hint="eastAsia" w:cs="楷体_GB2312" w:asciiTheme="minorEastAsia" w:hAnsiTheme="minorEastAsia" w:eastAsiaTheme="minorEastAsia"/>
          <w:color w:val="auto"/>
          <w:sz w:val="36"/>
          <w:szCs w:val="36"/>
        </w:rPr>
        <w:t>副本）</w:t>
      </w:r>
      <w:bookmarkEnd w:id="34"/>
    </w:p>
    <w:p>
      <w:pPr>
        <w:spacing w:line="360" w:lineRule="auto"/>
        <w:ind w:firstLine="723" w:firstLineChars="201"/>
        <w:rPr>
          <w:rFonts w:asciiTheme="minorEastAsia" w:hAnsiTheme="minorEastAsia" w:eastAsiaTheme="minorEastAsia"/>
          <w:color w:val="auto"/>
          <w:sz w:val="36"/>
          <w:szCs w:val="36"/>
        </w:rPr>
      </w:pPr>
      <w:r>
        <w:rPr>
          <w:rFonts w:hint="eastAsia" w:cs="楷体_GB2312" w:asciiTheme="minorEastAsia" w:hAnsiTheme="minorEastAsia" w:eastAsiaTheme="minorEastAsia"/>
          <w:color w:val="auto"/>
          <w:sz w:val="36"/>
          <w:szCs w:val="36"/>
        </w:rPr>
        <w:t>项目编号：</w:t>
      </w:r>
    </w:p>
    <w:p>
      <w:pPr>
        <w:spacing w:line="360" w:lineRule="auto"/>
        <w:ind w:firstLine="723" w:firstLineChars="201"/>
        <w:rPr>
          <w:rFonts w:asciiTheme="minorEastAsia" w:hAnsiTheme="minorEastAsia" w:eastAsiaTheme="minorEastAsia"/>
          <w:b/>
          <w:bCs/>
          <w:color w:val="auto"/>
          <w:kern w:val="0"/>
          <w:sz w:val="36"/>
          <w:szCs w:val="36"/>
        </w:rPr>
      </w:pPr>
      <w:r>
        <w:rPr>
          <w:rFonts w:hint="eastAsia" w:cs="楷体_GB2312" w:asciiTheme="minorEastAsia" w:hAnsiTheme="minorEastAsia" w:eastAsiaTheme="minorEastAsia"/>
          <w:color w:val="auto"/>
          <w:sz w:val="36"/>
          <w:szCs w:val="36"/>
        </w:rPr>
        <w:t>包    号：第   包</w:t>
      </w:r>
      <w:r>
        <w:rPr>
          <w:rFonts w:hint="eastAsia" w:cs="方正楷体简体" w:asciiTheme="minorEastAsia" w:hAnsiTheme="minorEastAsia" w:eastAsiaTheme="minorEastAsia"/>
          <w:color w:val="auto"/>
          <w:szCs w:val="28"/>
        </w:rPr>
        <w:t>（</w:t>
      </w:r>
      <w:r>
        <w:rPr>
          <w:rFonts w:hint="eastAsia" w:cs="宋体" w:asciiTheme="minorEastAsia" w:hAnsiTheme="minorEastAsia" w:eastAsiaTheme="minorEastAsia"/>
          <w:color w:val="auto"/>
          <w:kern w:val="0"/>
          <w:szCs w:val="28"/>
        </w:rPr>
        <w:t>若项目分包时使用）</w:t>
      </w:r>
    </w:p>
    <w:p>
      <w:pPr>
        <w:spacing w:line="360" w:lineRule="auto"/>
        <w:rPr>
          <w:rFonts w:asciiTheme="minorEastAsia" w:hAnsiTheme="minorEastAsia" w:eastAsiaTheme="minorEastAsia"/>
          <w:color w:val="auto"/>
          <w:kern w:val="0"/>
          <w:szCs w:val="28"/>
        </w:rPr>
      </w:pPr>
    </w:p>
    <w:p>
      <w:pPr>
        <w:spacing w:line="360" w:lineRule="auto"/>
        <w:rPr>
          <w:rFonts w:asciiTheme="minorEastAsia" w:hAnsiTheme="minorEastAsia" w:eastAsiaTheme="minorEastAsia"/>
          <w:color w:val="auto"/>
          <w:kern w:val="0"/>
          <w:szCs w:val="28"/>
        </w:rPr>
      </w:pPr>
    </w:p>
    <w:p>
      <w:pPr>
        <w:spacing w:line="360" w:lineRule="auto"/>
        <w:ind w:firstLine="723" w:firstLineChars="201"/>
        <w:jc w:val="center"/>
        <w:rPr>
          <w:rFonts w:asciiTheme="minorEastAsia" w:hAnsiTheme="minorEastAsia" w:eastAsiaTheme="minorEastAsia"/>
          <w:color w:val="auto"/>
          <w:sz w:val="36"/>
          <w:szCs w:val="36"/>
        </w:rPr>
      </w:pPr>
      <w:bookmarkStart w:id="35" w:name="_Toc5270_WPSOffice_Level1"/>
      <w:r>
        <w:rPr>
          <w:rFonts w:hint="eastAsia" w:cs="楷体_GB2312" w:asciiTheme="minorEastAsia" w:hAnsiTheme="minorEastAsia" w:eastAsiaTheme="minorEastAsia"/>
          <w:color w:val="auto"/>
          <w:sz w:val="36"/>
          <w:szCs w:val="36"/>
        </w:rPr>
        <w:t>（投标人名称）</w:t>
      </w:r>
      <w:bookmarkEnd w:id="35"/>
    </w:p>
    <w:p>
      <w:pPr>
        <w:spacing w:line="360" w:lineRule="auto"/>
        <w:ind w:firstLine="723" w:firstLineChars="201"/>
        <w:jc w:val="center"/>
        <w:rPr>
          <w:rFonts w:asciiTheme="minorEastAsia" w:hAnsiTheme="minorEastAsia" w:eastAsiaTheme="minorEastAsia"/>
          <w:color w:val="auto"/>
          <w:sz w:val="36"/>
          <w:szCs w:val="36"/>
        </w:rPr>
      </w:pPr>
    </w:p>
    <w:p>
      <w:pPr>
        <w:spacing w:line="360" w:lineRule="auto"/>
        <w:ind w:firstLine="723" w:firstLineChars="201"/>
        <w:jc w:val="center"/>
        <w:rPr>
          <w:rFonts w:asciiTheme="minorEastAsia" w:hAnsiTheme="minorEastAsia" w:eastAsiaTheme="minorEastAsia"/>
          <w:color w:val="auto"/>
          <w:sz w:val="36"/>
          <w:szCs w:val="36"/>
        </w:rPr>
      </w:pPr>
    </w:p>
    <w:p>
      <w:pPr>
        <w:spacing w:line="360" w:lineRule="auto"/>
        <w:ind w:firstLine="723" w:firstLineChars="201"/>
        <w:jc w:val="center"/>
        <w:rPr>
          <w:rFonts w:asciiTheme="minorEastAsia" w:hAnsiTheme="minorEastAsia" w:eastAsiaTheme="minorEastAsia"/>
          <w:color w:val="auto"/>
          <w:sz w:val="36"/>
          <w:szCs w:val="36"/>
        </w:rPr>
      </w:pPr>
      <w:bookmarkStart w:id="36" w:name="_Toc20528_WPSOffice_Level1"/>
      <w:r>
        <w:rPr>
          <w:rFonts w:hint="eastAsia" w:cs="楷体_GB2312" w:asciiTheme="minorEastAsia" w:hAnsiTheme="minorEastAsia" w:eastAsiaTheme="minorEastAsia"/>
          <w:color w:val="auto"/>
          <w:sz w:val="36"/>
          <w:szCs w:val="36"/>
        </w:rPr>
        <w:t>年月日</w:t>
      </w:r>
      <w:bookmarkEnd w:id="36"/>
    </w:p>
    <w:p>
      <w:pPr>
        <w:spacing w:line="360" w:lineRule="auto"/>
        <w:rPr>
          <w:rFonts w:ascii="宋体" w:hAnsi="宋体"/>
          <w:b/>
          <w:color w:val="auto"/>
          <w:sz w:val="24"/>
          <w:szCs w:val="24"/>
        </w:rPr>
      </w:pPr>
      <w:r>
        <w:rPr>
          <w:rFonts w:ascii="宋体" w:hAnsi="宋体"/>
          <w:b/>
          <w:color w:val="auto"/>
          <w:sz w:val="24"/>
          <w:szCs w:val="24"/>
        </w:rPr>
        <w:br w:type="page"/>
      </w:r>
    </w:p>
    <w:p>
      <w:pPr>
        <w:spacing w:line="360" w:lineRule="auto"/>
        <w:jc w:val="left"/>
        <w:rPr>
          <w:rFonts w:ascii="宋体" w:hAnsi="宋体"/>
          <w:b/>
          <w:color w:val="auto"/>
          <w:sz w:val="24"/>
          <w:szCs w:val="24"/>
        </w:rPr>
      </w:pPr>
      <w:r>
        <w:rPr>
          <w:rFonts w:hint="eastAsia" w:ascii="宋体" w:hAnsi="宋体"/>
          <w:b/>
          <w:color w:val="auto"/>
          <w:sz w:val="24"/>
          <w:szCs w:val="24"/>
        </w:rPr>
        <w:t xml:space="preserve">格式二：                 </w:t>
      </w:r>
    </w:p>
    <w:p>
      <w:pPr>
        <w:spacing w:line="360" w:lineRule="auto"/>
        <w:jc w:val="center"/>
        <w:rPr>
          <w:rFonts w:ascii="宋体" w:hAnsi="宋体"/>
          <w:color w:val="auto"/>
          <w:sz w:val="24"/>
          <w:szCs w:val="24"/>
        </w:rPr>
      </w:pPr>
      <w:bookmarkStart w:id="37" w:name="_Toc24195_WPSOffice_Level1"/>
      <w:r>
        <w:rPr>
          <w:rFonts w:hint="eastAsia" w:ascii="宋体" w:hAnsi="宋体"/>
          <w:color w:val="auto"/>
          <w:sz w:val="24"/>
          <w:szCs w:val="24"/>
        </w:rPr>
        <w:t>投标文件目录</w:t>
      </w:r>
      <w:bookmarkEnd w:id="37"/>
    </w:p>
    <w:p>
      <w:pPr>
        <w:spacing w:line="360" w:lineRule="auto"/>
        <w:rPr>
          <w:rFonts w:ascii="宋体" w:hAnsi="宋体"/>
          <w:color w:val="auto"/>
          <w:sz w:val="24"/>
          <w:szCs w:val="24"/>
        </w:rPr>
      </w:pPr>
      <w:bookmarkStart w:id="38" w:name="_Toc29400_WPSOffice_Level1"/>
      <w:r>
        <w:rPr>
          <w:rFonts w:hint="eastAsia" w:ascii="宋体" w:hAnsi="宋体"/>
          <w:color w:val="auto"/>
          <w:sz w:val="24"/>
          <w:szCs w:val="24"/>
        </w:rPr>
        <w:t>一. 投标承诺书………………………………………………………</w:t>
      </w:r>
      <w:r>
        <w:rPr>
          <w:rFonts w:ascii="宋体" w:hAnsi="宋体"/>
          <w:color w:val="auto"/>
          <w:sz w:val="24"/>
          <w:szCs w:val="24"/>
        </w:rPr>
        <w:t>…………</w:t>
      </w:r>
      <w:r>
        <w:rPr>
          <w:rFonts w:hint="eastAsia" w:ascii="宋体" w:hAnsi="宋体"/>
          <w:color w:val="auto"/>
          <w:sz w:val="24"/>
          <w:szCs w:val="24"/>
        </w:rPr>
        <w:t xml:space="preserve">  （ ）</w:t>
      </w:r>
      <w:bookmarkEnd w:id="38"/>
    </w:p>
    <w:p>
      <w:pPr>
        <w:spacing w:line="360" w:lineRule="auto"/>
        <w:rPr>
          <w:rFonts w:ascii="宋体" w:hAnsi="宋体"/>
          <w:color w:val="auto"/>
          <w:sz w:val="24"/>
          <w:szCs w:val="24"/>
        </w:rPr>
      </w:pPr>
      <w:bookmarkStart w:id="39" w:name="_Toc12256_WPSOffice_Level1"/>
      <w:r>
        <w:rPr>
          <w:rFonts w:hint="eastAsia" w:ascii="宋体" w:hAnsi="宋体"/>
          <w:color w:val="auto"/>
          <w:sz w:val="24"/>
          <w:szCs w:val="24"/>
        </w:rPr>
        <w:t>二. 开标一览表……………………………………………………</w:t>
      </w:r>
      <w:r>
        <w:rPr>
          <w:rFonts w:ascii="宋体" w:hAnsi="宋体"/>
          <w:color w:val="auto"/>
          <w:sz w:val="24"/>
          <w:szCs w:val="24"/>
        </w:rPr>
        <w:t>…………</w:t>
      </w:r>
      <w:r>
        <w:rPr>
          <w:rFonts w:hint="eastAsia" w:ascii="宋体" w:hAnsi="宋体"/>
          <w:color w:val="auto"/>
          <w:sz w:val="24"/>
          <w:szCs w:val="24"/>
        </w:rPr>
        <w:t>…  （ ）</w:t>
      </w:r>
      <w:bookmarkEnd w:id="39"/>
    </w:p>
    <w:p>
      <w:pPr>
        <w:spacing w:line="360" w:lineRule="auto"/>
        <w:rPr>
          <w:rFonts w:ascii="宋体" w:hAnsi="宋体"/>
          <w:color w:val="auto"/>
          <w:sz w:val="24"/>
          <w:szCs w:val="24"/>
        </w:rPr>
      </w:pPr>
      <w:bookmarkStart w:id="40" w:name="_Toc8927_WPSOffice_Level1"/>
      <w:r>
        <w:rPr>
          <w:rFonts w:hint="eastAsia" w:ascii="宋体" w:hAnsi="宋体"/>
          <w:color w:val="auto"/>
          <w:sz w:val="24"/>
          <w:szCs w:val="24"/>
        </w:rPr>
        <w:t>三. 法定代表人身份证明……………………………………………………</w:t>
      </w:r>
      <w:r>
        <w:rPr>
          <w:rFonts w:ascii="宋体" w:hAnsi="宋体"/>
          <w:color w:val="auto"/>
          <w:sz w:val="24"/>
          <w:szCs w:val="24"/>
        </w:rPr>
        <w:t>…</w:t>
      </w:r>
      <w:r>
        <w:rPr>
          <w:rFonts w:hint="eastAsia" w:ascii="宋体" w:hAnsi="宋体"/>
          <w:color w:val="auto"/>
          <w:sz w:val="24"/>
          <w:szCs w:val="24"/>
        </w:rPr>
        <w:t xml:space="preserve">  （ ）</w:t>
      </w:r>
      <w:bookmarkEnd w:id="40"/>
    </w:p>
    <w:p>
      <w:pPr>
        <w:spacing w:line="360" w:lineRule="auto"/>
        <w:rPr>
          <w:rFonts w:asciiTheme="minorEastAsia" w:hAnsiTheme="minorEastAsia" w:eastAsiaTheme="minorEastAsia"/>
          <w:color w:val="auto"/>
          <w:sz w:val="24"/>
          <w:szCs w:val="24"/>
        </w:rPr>
      </w:pPr>
      <w:bookmarkStart w:id="41" w:name="_Toc17165_WPSOffice_Level1"/>
      <w:r>
        <w:rPr>
          <w:rFonts w:hint="eastAsia" w:ascii="宋体" w:hAnsi="宋体"/>
          <w:color w:val="auto"/>
          <w:sz w:val="24"/>
          <w:szCs w:val="24"/>
        </w:rPr>
        <w:t>四.</w:t>
      </w:r>
      <w:r>
        <w:rPr>
          <w:rFonts w:asciiTheme="minorEastAsia" w:hAnsiTheme="minorEastAsia" w:eastAsiaTheme="minorEastAsia"/>
          <w:color w:val="auto"/>
          <w:sz w:val="24"/>
          <w:szCs w:val="24"/>
        </w:rPr>
        <w:t>授权委托人身份证明</w:t>
      </w:r>
      <w:r>
        <w:rPr>
          <w:rFonts w:hint="eastAsia" w:ascii="宋体" w:hAnsi="宋体"/>
          <w:color w:val="auto"/>
          <w:sz w:val="24"/>
          <w:szCs w:val="24"/>
        </w:rPr>
        <w:t>……………………………………………………</w:t>
      </w:r>
      <w:r>
        <w:rPr>
          <w:rFonts w:ascii="宋体" w:hAnsi="宋体"/>
          <w:color w:val="auto"/>
          <w:sz w:val="24"/>
          <w:szCs w:val="24"/>
        </w:rPr>
        <w:t>…</w:t>
      </w:r>
      <w:r>
        <w:rPr>
          <w:rFonts w:hint="eastAsia" w:ascii="宋体" w:hAnsi="宋体"/>
          <w:color w:val="auto"/>
          <w:sz w:val="24"/>
          <w:szCs w:val="24"/>
        </w:rPr>
        <w:t xml:space="preserve">   （ ）</w:t>
      </w:r>
      <w:bookmarkEnd w:id="41"/>
    </w:p>
    <w:p>
      <w:pPr>
        <w:spacing w:line="360" w:lineRule="auto"/>
        <w:rPr>
          <w:rFonts w:asciiTheme="minorEastAsia" w:hAnsiTheme="minorEastAsia" w:eastAsiaTheme="minorEastAsia"/>
          <w:color w:val="auto"/>
          <w:sz w:val="24"/>
          <w:szCs w:val="24"/>
        </w:rPr>
      </w:pPr>
      <w:bookmarkStart w:id="42" w:name="_Toc20660_WPSOffice_Level1"/>
      <w:r>
        <w:rPr>
          <w:rFonts w:hint="eastAsia" w:ascii="宋体" w:hAnsi="宋体"/>
          <w:color w:val="auto"/>
          <w:sz w:val="24"/>
          <w:szCs w:val="24"/>
        </w:rPr>
        <w:t>五.</w:t>
      </w:r>
      <w:r>
        <w:rPr>
          <w:rFonts w:asciiTheme="minorEastAsia" w:hAnsiTheme="minorEastAsia" w:eastAsiaTheme="minorEastAsia"/>
          <w:color w:val="auto"/>
          <w:sz w:val="24"/>
          <w:szCs w:val="24"/>
        </w:rPr>
        <w:t>授权委托书</w:t>
      </w:r>
      <w:r>
        <w:rPr>
          <w:rFonts w:hint="eastAsia" w:ascii="宋体" w:hAnsi="宋体"/>
          <w:color w:val="auto"/>
          <w:sz w:val="24"/>
          <w:szCs w:val="24"/>
        </w:rPr>
        <w:t>……………………………………………………</w:t>
      </w:r>
      <w:r>
        <w:rPr>
          <w:rFonts w:ascii="宋体" w:hAnsi="宋体"/>
          <w:color w:val="auto"/>
          <w:sz w:val="24"/>
          <w:szCs w:val="24"/>
        </w:rPr>
        <w:t>…………</w:t>
      </w:r>
      <w:r>
        <w:rPr>
          <w:rFonts w:hint="eastAsia" w:ascii="宋体" w:hAnsi="宋体"/>
          <w:color w:val="auto"/>
          <w:sz w:val="24"/>
          <w:szCs w:val="24"/>
        </w:rPr>
        <w:t>…   （ ）</w:t>
      </w:r>
      <w:bookmarkEnd w:id="42"/>
    </w:p>
    <w:p>
      <w:pPr>
        <w:spacing w:line="360" w:lineRule="auto"/>
        <w:rPr>
          <w:rFonts w:asciiTheme="minorEastAsia" w:hAnsiTheme="minorEastAsia" w:eastAsiaTheme="minorEastAsia"/>
          <w:bCs/>
          <w:color w:val="auto"/>
          <w:sz w:val="24"/>
          <w:szCs w:val="24"/>
        </w:rPr>
      </w:pPr>
      <w:bookmarkStart w:id="43" w:name="_Toc4125_WPSOffice_Level1"/>
      <w:r>
        <w:rPr>
          <w:rFonts w:hint="eastAsia" w:ascii="宋体" w:hAnsi="宋体"/>
          <w:color w:val="auto"/>
          <w:sz w:val="24"/>
          <w:szCs w:val="24"/>
        </w:rPr>
        <w:t>六.</w:t>
      </w:r>
      <w:r>
        <w:rPr>
          <w:rFonts w:asciiTheme="minorEastAsia" w:hAnsiTheme="minorEastAsia" w:eastAsiaTheme="minorEastAsia"/>
          <w:bCs/>
          <w:color w:val="auto"/>
          <w:sz w:val="24"/>
          <w:szCs w:val="24"/>
        </w:rPr>
        <w:t>投标保证金</w:t>
      </w:r>
      <w:r>
        <w:rPr>
          <w:rFonts w:hint="eastAsia" w:ascii="宋体" w:hAnsi="宋体"/>
          <w:color w:val="auto"/>
          <w:sz w:val="24"/>
          <w:szCs w:val="24"/>
        </w:rPr>
        <w:t>……………………………………………………</w:t>
      </w:r>
      <w:r>
        <w:rPr>
          <w:rFonts w:ascii="宋体" w:hAnsi="宋体"/>
          <w:color w:val="auto"/>
          <w:sz w:val="24"/>
          <w:szCs w:val="24"/>
        </w:rPr>
        <w:t>…………</w:t>
      </w:r>
      <w:r>
        <w:rPr>
          <w:rFonts w:hint="eastAsia" w:ascii="宋体" w:hAnsi="宋体"/>
          <w:color w:val="auto"/>
          <w:sz w:val="24"/>
          <w:szCs w:val="24"/>
        </w:rPr>
        <w:t>…   （ ）</w:t>
      </w:r>
      <w:bookmarkEnd w:id="43"/>
    </w:p>
    <w:p>
      <w:pPr>
        <w:spacing w:line="360" w:lineRule="auto"/>
        <w:rPr>
          <w:rFonts w:ascii="宋体" w:hAnsi="宋体"/>
          <w:color w:val="auto"/>
          <w:sz w:val="24"/>
          <w:szCs w:val="24"/>
        </w:rPr>
      </w:pPr>
      <w:bookmarkStart w:id="44" w:name="_Toc16370_WPSOffice_Level1"/>
      <w:r>
        <w:rPr>
          <w:rFonts w:hint="eastAsia" w:ascii="宋体" w:hAnsi="宋体"/>
          <w:color w:val="auto"/>
          <w:sz w:val="24"/>
          <w:szCs w:val="24"/>
        </w:rPr>
        <w:t>七.</w:t>
      </w:r>
      <w:r>
        <w:rPr>
          <w:rFonts w:asciiTheme="minorEastAsia" w:hAnsiTheme="minorEastAsia" w:eastAsiaTheme="minorEastAsia"/>
          <w:bCs/>
          <w:color w:val="auto"/>
          <w:sz w:val="24"/>
          <w:szCs w:val="24"/>
        </w:rPr>
        <w:t>联合体协议书</w:t>
      </w:r>
      <w:r>
        <w:rPr>
          <w:rFonts w:hint="eastAsia" w:ascii="宋体" w:hAnsi="宋体"/>
          <w:color w:val="auto"/>
          <w:sz w:val="24"/>
          <w:szCs w:val="24"/>
        </w:rPr>
        <w:t>……………………………………………………</w:t>
      </w:r>
      <w:r>
        <w:rPr>
          <w:rFonts w:ascii="宋体" w:hAnsi="宋体"/>
          <w:color w:val="auto"/>
          <w:sz w:val="24"/>
          <w:szCs w:val="24"/>
        </w:rPr>
        <w:t>…………</w:t>
      </w:r>
      <w:r>
        <w:rPr>
          <w:rFonts w:hint="eastAsia" w:ascii="宋体" w:hAnsi="宋体"/>
          <w:color w:val="auto"/>
          <w:sz w:val="24"/>
          <w:szCs w:val="24"/>
        </w:rPr>
        <w:t xml:space="preserve">   （ ）</w:t>
      </w:r>
      <w:bookmarkEnd w:id="44"/>
    </w:p>
    <w:p>
      <w:pPr>
        <w:spacing w:line="360" w:lineRule="auto"/>
        <w:rPr>
          <w:rFonts w:ascii="宋体" w:hAnsi="宋体"/>
          <w:color w:val="auto"/>
          <w:sz w:val="24"/>
          <w:szCs w:val="24"/>
        </w:rPr>
      </w:pPr>
      <w:bookmarkStart w:id="45" w:name="_Toc12469_WPSOffice_Level1"/>
      <w:r>
        <w:rPr>
          <w:rFonts w:hint="eastAsia" w:ascii="宋体" w:hAnsi="宋体"/>
          <w:color w:val="auto"/>
          <w:sz w:val="24"/>
          <w:szCs w:val="24"/>
        </w:rPr>
        <w:t>八.投标货物分项报价明细表……………………………………</w:t>
      </w:r>
      <w:r>
        <w:rPr>
          <w:rFonts w:ascii="宋体" w:hAnsi="宋体"/>
          <w:color w:val="auto"/>
          <w:sz w:val="24"/>
          <w:szCs w:val="24"/>
        </w:rPr>
        <w:t>…………</w:t>
      </w:r>
      <w:r>
        <w:rPr>
          <w:rFonts w:hint="eastAsia" w:ascii="宋体" w:hAnsi="宋体"/>
          <w:color w:val="auto"/>
          <w:sz w:val="24"/>
          <w:szCs w:val="24"/>
        </w:rPr>
        <w:t>…   （ ）</w:t>
      </w:r>
      <w:bookmarkEnd w:id="45"/>
    </w:p>
    <w:p>
      <w:pPr>
        <w:spacing w:line="360" w:lineRule="auto"/>
        <w:rPr>
          <w:rFonts w:ascii="宋体" w:hAnsi="宋体"/>
          <w:color w:val="auto"/>
          <w:sz w:val="24"/>
          <w:szCs w:val="24"/>
        </w:rPr>
      </w:pPr>
      <w:bookmarkStart w:id="46" w:name="_Toc15962_WPSOffice_Level1"/>
      <w:r>
        <w:rPr>
          <w:rFonts w:hint="eastAsia" w:ascii="宋体" w:hAnsi="宋体"/>
          <w:color w:val="auto"/>
          <w:sz w:val="24"/>
          <w:szCs w:val="24"/>
        </w:rPr>
        <w:t>九.投标货物情况介绍表</w:t>
      </w:r>
      <w:r>
        <w:rPr>
          <w:rFonts w:ascii="宋体" w:hAnsi="宋体"/>
          <w:color w:val="auto"/>
          <w:sz w:val="24"/>
          <w:szCs w:val="24"/>
        </w:rPr>
        <w:t>………………………………………………………</w:t>
      </w:r>
      <w:r>
        <w:rPr>
          <w:rFonts w:hint="eastAsia" w:ascii="宋体" w:hAnsi="宋体"/>
          <w:color w:val="auto"/>
          <w:sz w:val="24"/>
          <w:szCs w:val="24"/>
        </w:rPr>
        <w:t xml:space="preserve">   （ ）</w:t>
      </w:r>
      <w:bookmarkEnd w:id="46"/>
    </w:p>
    <w:p>
      <w:pPr>
        <w:spacing w:line="360" w:lineRule="auto"/>
        <w:rPr>
          <w:rFonts w:ascii="宋体" w:hAnsi="宋体"/>
          <w:color w:val="auto"/>
          <w:sz w:val="24"/>
          <w:szCs w:val="24"/>
        </w:rPr>
      </w:pPr>
      <w:bookmarkStart w:id="47" w:name="_Toc5007_WPSOffice_Level1"/>
      <w:r>
        <w:rPr>
          <w:rFonts w:hint="eastAsia" w:ascii="宋体" w:hAnsi="宋体"/>
          <w:color w:val="auto"/>
          <w:sz w:val="24"/>
          <w:szCs w:val="24"/>
        </w:rPr>
        <w:t>十.技术规格响应表………………………………………………</w:t>
      </w:r>
      <w:r>
        <w:rPr>
          <w:rFonts w:ascii="宋体" w:hAnsi="宋体"/>
          <w:color w:val="auto"/>
          <w:sz w:val="24"/>
          <w:szCs w:val="24"/>
        </w:rPr>
        <w:t>……………</w:t>
      </w:r>
      <w:r>
        <w:rPr>
          <w:rFonts w:hint="eastAsia" w:ascii="宋体" w:hAnsi="宋体"/>
          <w:color w:val="auto"/>
          <w:sz w:val="24"/>
          <w:szCs w:val="24"/>
        </w:rPr>
        <w:t xml:space="preserve">   （ ）</w:t>
      </w:r>
      <w:bookmarkEnd w:id="47"/>
    </w:p>
    <w:p>
      <w:pPr>
        <w:spacing w:line="360" w:lineRule="auto"/>
        <w:rPr>
          <w:rFonts w:ascii="宋体" w:hAnsi="宋体"/>
          <w:color w:val="auto"/>
          <w:sz w:val="24"/>
          <w:szCs w:val="24"/>
        </w:rPr>
      </w:pPr>
      <w:bookmarkStart w:id="48" w:name="_Toc32691_WPSOffice_Level1"/>
      <w:r>
        <w:rPr>
          <w:rFonts w:hint="eastAsia" w:ascii="宋体" w:hAnsi="宋体"/>
          <w:color w:val="auto"/>
          <w:sz w:val="24"/>
          <w:szCs w:val="24"/>
        </w:rPr>
        <w:t>十一.售后服务承诺及方案  ………………………………………</w:t>
      </w:r>
      <w:r>
        <w:rPr>
          <w:rFonts w:ascii="宋体" w:hAnsi="宋体"/>
          <w:color w:val="auto"/>
          <w:sz w:val="24"/>
          <w:szCs w:val="24"/>
        </w:rPr>
        <w:t>…………</w:t>
      </w:r>
      <w:r>
        <w:rPr>
          <w:rFonts w:hint="eastAsia" w:ascii="宋体" w:hAnsi="宋体"/>
          <w:color w:val="auto"/>
          <w:sz w:val="24"/>
          <w:szCs w:val="24"/>
        </w:rPr>
        <w:t>… （ ）</w:t>
      </w:r>
      <w:bookmarkEnd w:id="48"/>
    </w:p>
    <w:p>
      <w:pPr>
        <w:spacing w:line="360" w:lineRule="auto"/>
        <w:rPr>
          <w:rFonts w:ascii="宋体" w:hAnsi="宋体"/>
          <w:color w:val="auto"/>
          <w:sz w:val="24"/>
          <w:szCs w:val="24"/>
        </w:rPr>
      </w:pPr>
      <w:bookmarkStart w:id="49" w:name="_Toc1386_WPSOffice_Level1"/>
      <w:r>
        <w:rPr>
          <w:rFonts w:hint="eastAsia" w:ascii="宋体" w:hAnsi="宋体"/>
          <w:color w:val="auto"/>
          <w:sz w:val="24"/>
          <w:szCs w:val="24"/>
        </w:rPr>
        <w:t>十二.商务规格响应表…………………………………………</w:t>
      </w:r>
      <w:r>
        <w:rPr>
          <w:rFonts w:ascii="宋体" w:hAnsi="宋体"/>
          <w:color w:val="auto"/>
          <w:sz w:val="24"/>
          <w:szCs w:val="24"/>
        </w:rPr>
        <w:t>…………………</w:t>
      </w:r>
      <w:r>
        <w:rPr>
          <w:rFonts w:hint="eastAsia" w:ascii="宋体" w:hAnsi="宋体"/>
          <w:color w:val="auto"/>
          <w:sz w:val="24"/>
          <w:szCs w:val="24"/>
        </w:rPr>
        <w:t xml:space="preserve"> （ ）</w:t>
      </w:r>
      <w:bookmarkEnd w:id="49"/>
    </w:p>
    <w:p>
      <w:pPr>
        <w:spacing w:line="360" w:lineRule="auto"/>
        <w:rPr>
          <w:rFonts w:ascii="宋体" w:hAnsi="宋体"/>
          <w:color w:val="auto"/>
          <w:sz w:val="24"/>
          <w:szCs w:val="24"/>
        </w:rPr>
      </w:pPr>
      <w:bookmarkStart w:id="50" w:name="_Toc11664_WPSOffice_Level1"/>
      <w:r>
        <w:rPr>
          <w:rFonts w:hint="eastAsia" w:ascii="宋体" w:hAnsi="宋体"/>
          <w:color w:val="auto"/>
          <w:sz w:val="24"/>
          <w:szCs w:val="24"/>
        </w:rPr>
        <w:t>十三.投标人业绩情况表…………………</w:t>
      </w:r>
      <w:r>
        <w:rPr>
          <w:rFonts w:ascii="宋体" w:hAnsi="宋体"/>
          <w:color w:val="auto"/>
          <w:sz w:val="24"/>
          <w:szCs w:val="24"/>
        </w:rPr>
        <w:t>………………………………………</w:t>
      </w:r>
      <w:r>
        <w:rPr>
          <w:rFonts w:hint="eastAsia" w:ascii="宋体" w:hAnsi="宋体"/>
          <w:color w:val="auto"/>
          <w:sz w:val="24"/>
          <w:szCs w:val="24"/>
        </w:rPr>
        <w:t xml:space="preserve"> （ ）</w:t>
      </w:r>
      <w:bookmarkEnd w:id="50"/>
    </w:p>
    <w:p>
      <w:pPr>
        <w:spacing w:line="360" w:lineRule="auto"/>
        <w:rPr>
          <w:rFonts w:ascii="宋体" w:hAnsi="宋体"/>
          <w:color w:val="auto"/>
          <w:sz w:val="24"/>
          <w:szCs w:val="24"/>
        </w:rPr>
      </w:pPr>
      <w:bookmarkStart w:id="51" w:name="_Toc561_WPSOffice_Level1"/>
      <w:r>
        <w:rPr>
          <w:rFonts w:hint="eastAsia" w:ascii="宋体" w:hAnsi="宋体"/>
          <w:color w:val="auto"/>
          <w:sz w:val="24"/>
          <w:szCs w:val="24"/>
        </w:rPr>
        <w:t>十四.投标人基本情况表……………………………………………</w:t>
      </w:r>
      <w:r>
        <w:rPr>
          <w:rFonts w:ascii="宋体" w:hAnsi="宋体"/>
          <w:color w:val="auto"/>
          <w:sz w:val="24"/>
          <w:szCs w:val="24"/>
        </w:rPr>
        <w:t>……………</w:t>
      </w:r>
      <w:r>
        <w:rPr>
          <w:rFonts w:hint="eastAsia" w:ascii="宋体" w:hAnsi="宋体"/>
          <w:color w:val="auto"/>
          <w:sz w:val="24"/>
          <w:szCs w:val="24"/>
        </w:rPr>
        <w:t xml:space="preserve"> （ ）</w:t>
      </w:r>
      <w:bookmarkEnd w:id="51"/>
    </w:p>
    <w:p>
      <w:pPr>
        <w:spacing w:line="360" w:lineRule="auto"/>
        <w:rPr>
          <w:rFonts w:ascii="宋体" w:hAnsi="宋体"/>
          <w:color w:val="auto"/>
          <w:sz w:val="24"/>
          <w:szCs w:val="24"/>
        </w:rPr>
      </w:pPr>
      <w:bookmarkStart w:id="52" w:name="_Toc29251_WPSOffice_Level1"/>
      <w:r>
        <w:rPr>
          <w:rFonts w:hint="eastAsia" w:ascii="宋体" w:hAnsi="宋体"/>
          <w:color w:val="auto"/>
          <w:sz w:val="24"/>
          <w:szCs w:val="24"/>
        </w:rPr>
        <w:t xml:space="preserve">十五.具有良好的商业信誉… </w:t>
      </w:r>
      <w:r>
        <w:rPr>
          <w:rFonts w:ascii="宋体" w:hAnsi="宋体"/>
          <w:color w:val="auto"/>
          <w:sz w:val="24"/>
          <w:szCs w:val="24"/>
        </w:rPr>
        <w:t>……………………………………………</w:t>
      </w:r>
      <w:r>
        <w:rPr>
          <w:rFonts w:hint="eastAsia" w:ascii="宋体" w:hAnsi="宋体"/>
          <w:color w:val="auto"/>
          <w:sz w:val="24"/>
          <w:szCs w:val="24"/>
        </w:rPr>
        <w:t xml:space="preserve">    （ ）</w:t>
      </w:r>
      <w:bookmarkEnd w:id="52"/>
    </w:p>
    <w:p>
      <w:pPr>
        <w:autoSpaceDE w:val="0"/>
        <w:autoSpaceDN w:val="0"/>
        <w:spacing w:line="360" w:lineRule="auto"/>
        <w:rPr>
          <w:rFonts w:ascii="宋体" w:hAnsi="宋体"/>
          <w:color w:val="auto"/>
          <w:sz w:val="24"/>
          <w:szCs w:val="24"/>
        </w:rPr>
      </w:pPr>
      <w:bookmarkStart w:id="53" w:name="_Toc6299_WPSOffice_Level1"/>
      <w:r>
        <w:rPr>
          <w:rFonts w:hint="eastAsia" w:ascii="宋体" w:hAnsi="宋体"/>
          <w:color w:val="auto"/>
          <w:sz w:val="24"/>
          <w:szCs w:val="24"/>
        </w:rPr>
        <w:t>十六.缴纳增值税、营业税或企业所得税的凭据</w:t>
      </w:r>
      <w:r>
        <w:rPr>
          <w:rFonts w:ascii="宋体" w:hAnsi="宋体"/>
          <w:color w:val="auto"/>
          <w:sz w:val="24"/>
          <w:szCs w:val="24"/>
        </w:rPr>
        <w:t>……………………………</w:t>
      </w:r>
      <w:r>
        <w:rPr>
          <w:rFonts w:hint="eastAsia" w:ascii="宋体" w:hAnsi="宋体"/>
          <w:color w:val="auto"/>
          <w:sz w:val="24"/>
          <w:szCs w:val="24"/>
        </w:rPr>
        <w:t xml:space="preserve">   （ ）</w:t>
      </w:r>
      <w:bookmarkEnd w:id="53"/>
    </w:p>
    <w:p>
      <w:pPr>
        <w:autoSpaceDE w:val="0"/>
        <w:autoSpaceDN w:val="0"/>
        <w:spacing w:line="360" w:lineRule="auto"/>
        <w:rPr>
          <w:rFonts w:ascii="宋体" w:hAnsi="宋体"/>
          <w:color w:val="auto"/>
          <w:sz w:val="24"/>
          <w:szCs w:val="24"/>
        </w:rPr>
      </w:pPr>
      <w:bookmarkStart w:id="54" w:name="_Toc16532_WPSOffice_Level1"/>
      <w:r>
        <w:rPr>
          <w:rFonts w:hint="eastAsia" w:ascii="宋体" w:hAnsi="宋体"/>
          <w:color w:val="auto"/>
          <w:sz w:val="24"/>
          <w:szCs w:val="24"/>
        </w:rPr>
        <w:t>十七.缴纳社会保险的凭据………………………………………</w:t>
      </w:r>
      <w:r>
        <w:rPr>
          <w:rFonts w:ascii="宋体" w:hAnsi="宋体"/>
          <w:color w:val="auto"/>
          <w:sz w:val="24"/>
          <w:szCs w:val="24"/>
        </w:rPr>
        <w:t>…………</w:t>
      </w:r>
      <w:r>
        <w:rPr>
          <w:rFonts w:hint="eastAsia" w:ascii="宋体" w:hAnsi="宋体"/>
          <w:color w:val="auto"/>
          <w:sz w:val="24"/>
          <w:szCs w:val="24"/>
        </w:rPr>
        <w:t>…   （ ）</w:t>
      </w:r>
      <w:bookmarkEnd w:id="54"/>
    </w:p>
    <w:p>
      <w:pPr>
        <w:autoSpaceDE w:val="0"/>
        <w:autoSpaceDN w:val="0"/>
        <w:spacing w:line="360" w:lineRule="auto"/>
        <w:jc w:val="left"/>
        <w:rPr>
          <w:rFonts w:ascii="宋体" w:hAnsi="宋体"/>
          <w:color w:val="auto"/>
          <w:sz w:val="24"/>
          <w:szCs w:val="24"/>
        </w:rPr>
      </w:pPr>
      <w:bookmarkStart w:id="55" w:name="_Toc15258_WPSOffice_Level1"/>
      <w:r>
        <w:rPr>
          <w:rFonts w:hint="eastAsia" w:ascii="宋体" w:hAnsi="宋体"/>
          <w:color w:val="auto"/>
          <w:sz w:val="24"/>
          <w:szCs w:val="24"/>
        </w:rPr>
        <w:t>十八.参加政府采购前三年内在经营活动中无重大违法记录书面声明</w:t>
      </w:r>
      <w:r>
        <w:rPr>
          <w:rFonts w:ascii="宋体" w:hAnsi="宋体"/>
          <w:color w:val="auto"/>
          <w:sz w:val="24"/>
          <w:szCs w:val="24"/>
        </w:rPr>
        <w:t>……</w:t>
      </w:r>
      <w:r>
        <w:rPr>
          <w:rFonts w:hint="eastAsia" w:ascii="宋体" w:hAnsi="宋体"/>
          <w:color w:val="auto"/>
          <w:sz w:val="24"/>
          <w:szCs w:val="24"/>
        </w:rPr>
        <w:t xml:space="preserve">   （ ）</w:t>
      </w:r>
      <w:bookmarkEnd w:id="55"/>
    </w:p>
    <w:p>
      <w:pPr>
        <w:spacing w:line="360" w:lineRule="auto"/>
        <w:rPr>
          <w:rFonts w:ascii="宋体" w:hAnsi="宋体"/>
          <w:color w:val="auto"/>
          <w:sz w:val="24"/>
          <w:szCs w:val="24"/>
        </w:rPr>
      </w:pPr>
      <w:bookmarkStart w:id="56" w:name="_Toc26090_WPSOffice_Level1"/>
      <w:r>
        <w:rPr>
          <w:rFonts w:hint="eastAsia" w:ascii="宋体" w:hAnsi="宋体"/>
          <w:color w:val="auto"/>
          <w:sz w:val="24"/>
          <w:szCs w:val="24"/>
        </w:rPr>
        <w:t>十九.</w:t>
      </w:r>
      <w:bookmarkEnd w:id="56"/>
      <w:r>
        <w:rPr>
          <w:rFonts w:hint="eastAsia" w:ascii="宋体" w:hAnsi="宋体"/>
          <w:color w:val="auto"/>
          <w:sz w:val="24"/>
          <w:szCs w:val="24"/>
        </w:rPr>
        <w:t>政府采购政策情况表</w:t>
      </w:r>
      <w:r>
        <w:rPr>
          <w:rFonts w:ascii="宋体" w:hAnsi="宋体"/>
          <w:color w:val="auto"/>
          <w:sz w:val="24"/>
          <w:szCs w:val="24"/>
        </w:rPr>
        <w:t>……………………………………………………</w:t>
      </w:r>
      <w:r>
        <w:rPr>
          <w:rFonts w:hint="eastAsia" w:ascii="宋体" w:hAnsi="宋体"/>
          <w:color w:val="auto"/>
          <w:sz w:val="24"/>
          <w:szCs w:val="24"/>
        </w:rPr>
        <w:t xml:space="preserve">  （）</w:t>
      </w:r>
    </w:p>
    <w:p>
      <w:pPr>
        <w:autoSpaceDE w:val="0"/>
        <w:autoSpaceDN w:val="0"/>
        <w:spacing w:line="360" w:lineRule="auto"/>
        <w:rPr>
          <w:rFonts w:ascii="宋体" w:hAnsi="宋体"/>
          <w:color w:val="auto"/>
          <w:sz w:val="24"/>
          <w:szCs w:val="24"/>
        </w:rPr>
      </w:pPr>
      <w:bookmarkStart w:id="57" w:name="_Toc30786_WPSOffice_Level1"/>
      <w:r>
        <w:rPr>
          <w:rFonts w:hint="eastAsia" w:ascii="宋体" w:hAnsi="宋体"/>
          <w:color w:val="auto"/>
          <w:sz w:val="24"/>
          <w:szCs w:val="24"/>
        </w:rPr>
        <w:t>二十.</w:t>
      </w:r>
      <w:bookmarkEnd w:id="57"/>
      <w:r>
        <w:rPr>
          <w:rFonts w:hint="eastAsia" w:ascii="宋体" w:hAnsi="宋体"/>
          <w:color w:val="auto"/>
          <w:sz w:val="24"/>
          <w:szCs w:val="24"/>
        </w:rPr>
        <w:t>《信用信息查询结果》</w:t>
      </w:r>
      <w:r>
        <w:rPr>
          <w:rFonts w:ascii="宋体" w:hAnsi="宋体"/>
          <w:color w:val="auto"/>
          <w:sz w:val="24"/>
          <w:szCs w:val="24"/>
        </w:rPr>
        <w:t>…………………………………………………</w:t>
      </w:r>
      <w:r>
        <w:rPr>
          <w:rFonts w:hint="eastAsia" w:ascii="宋体" w:hAnsi="宋体"/>
          <w:color w:val="auto"/>
          <w:sz w:val="24"/>
          <w:szCs w:val="24"/>
        </w:rPr>
        <w:t xml:space="preserve">   （ ）</w:t>
      </w:r>
    </w:p>
    <w:p>
      <w:pPr>
        <w:autoSpaceDE w:val="0"/>
        <w:autoSpaceDN w:val="0"/>
        <w:spacing w:line="360" w:lineRule="auto"/>
        <w:rPr>
          <w:rFonts w:ascii="宋体" w:hAnsi="宋体"/>
          <w:color w:val="auto"/>
          <w:sz w:val="24"/>
          <w:szCs w:val="24"/>
        </w:rPr>
      </w:pPr>
      <w:r>
        <w:rPr>
          <w:rFonts w:hint="eastAsia" w:ascii="宋体" w:hAnsi="宋体"/>
          <w:color w:val="auto"/>
          <w:sz w:val="24"/>
          <w:szCs w:val="24"/>
        </w:rPr>
        <w:t>二十一. 中小企业声明函</w:t>
      </w:r>
      <w:r>
        <w:rPr>
          <w:rFonts w:ascii="宋体" w:hAnsi="宋体"/>
          <w:color w:val="auto"/>
          <w:sz w:val="24"/>
          <w:szCs w:val="24"/>
        </w:rPr>
        <w:t>…………………………………………………………</w:t>
      </w:r>
      <w:r>
        <w:rPr>
          <w:rFonts w:hint="eastAsia" w:ascii="宋体" w:hAnsi="宋体"/>
          <w:color w:val="auto"/>
          <w:sz w:val="24"/>
          <w:szCs w:val="24"/>
        </w:rPr>
        <w:t xml:space="preserve"> （ ）</w:t>
      </w:r>
    </w:p>
    <w:p>
      <w:pPr>
        <w:autoSpaceDE w:val="0"/>
        <w:autoSpaceDN w:val="0"/>
        <w:spacing w:line="360" w:lineRule="auto"/>
        <w:rPr>
          <w:rFonts w:ascii="宋体" w:hAnsi="宋体"/>
          <w:color w:val="auto"/>
          <w:sz w:val="24"/>
          <w:szCs w:val="24"/>
        </w:rPr>
      </w:pPr>
      <w:bookmarkStart w:id="58" w:name="_Toc8973_WPSOffice_Level1"/>
      <w:r>
        <w:rPr>
          <w:rFonts w:hint="eastAsia" w:ascii="宋体" w:hAnsi="宋体"/>
          <w:color w:val="auto"/>
          <w:sz w:val="24"/>
          <w:szCs w:val="24"/>
        </w:rPr>
        <w:t>二十二.</w:t>
      </w:r>
      <w:bookmarkEnd w:id="58"/>
      <w:r>
        <w:rPr>
          <w:rFonts w:hint="eastAsia" w:ascii="宋体" w:hAnsi="宋体"/>
          <w:color w:val="auto"/>
          <w:sz w:val="24"/>
          <w:szCs w:val="24"/>
        </w:rPr>
        <w:t>残疾人福利性单位声明函</w:t>
      </w:r>
      <w:r>
        <w:rPr>
          <w:rFonts w:ascii="宋体" w:hAnsi="宋体"/>
          <w:color w:val="auto"/>
          <w:sz w:val="24"/>
          <w:szCs w:val="24"/>
        </w:rPr>
        <w:t>………………………………………………</w:t>
      </w:r>
      <w:r>
        <w:rPr>
          <w:rFonts w:hint="eastAsia" w:ascii="宋体" w:hAnsi="宋体"/>
          <w:color w:val="auto"/>
          <w:sz w:val="24"/>
          <w:szCs w:val="24"/>
        </w:rPr>
        <w:t xml:space="preserve"> （ ）</w:t>
      </w:r>
    </w:p>
    <w:p>
      <w:pPr>
        <w:autoSpaceDE w:val="0"/>
        <w:autoSpaceDN w:val="0"/>
        <w:spacing w:line="360" w:lineRule="auto"/>
        <w:rPr>
          <w:rFonts w:ascii="宋体" w:hAnsi="宋体"/>
          <w:color w:val="auto"/>
          <w:sz w:val="24"/>
          <w:szCs w:val="24"/>
        </w:rPr>
      </w:pPr>
      <w:bookmarkStart w:id="59" w:name="_Toc10156_WPSOffice_Level1"/>
      <w:r>
        <w:rPr>
          <w:rFonts w:hint="eastAsia" w:ascii="宋体" w:hAnsi="宋体"/>
          <w:color w:val="auto"/>
          <w:sz w:val="24"/>
          <w:szCs w:val="24"/>
        </w:rPr>
        <w:t>二十三.</w:t>
      </w:r>
      <w:bookmarkEnd w:id="59"/>
      <w:r>
        <w:rPr>
          <w:rFonts w:hint="eastAsia" w:ascii="宋体" w:hAnsi="宋体"/>
          <w:color w:val="auto"/>
          <w:sz w:val="24"/>
          <w:szCs w:val="24"/>
        </w:rPr>
        <w:t>各类证明材料…………………………………………………</w:t>
      </w:r>
      <w:r>
        <w:rPr>
          <w:rFonts w:ascii="宋体" w:hAnsi="宋体"/>
          <w:color w:val="auto"/>
          <w:sz w:val="24"/>
          <w:szCs w:val="24"/>
        </w:rPr>
        <w:t>…………</w:t>
      </w:r>
      <w:r>
        <w:rPr>
          <w:rFonts w:hint="eastAsia" w:ascii="宋体" w:hAnsi="宋体"/>
          <w:color w:val="auto"/>
          <w:sz w:val="24"/>
          <w:szCs w:val="24"/>
        </w:rPr>
        <w:t xml:space="preserve"> （ ）</w:t>
      </w:r>
    </w:p>
    <w:p>
      <w:pPr>
        <w:spacing w:line="360" w:lineRule="auto"/>
        <w:rPr>
          <w:rFonts w:ascii="宋体" w:hAnsi="宋体"/>
          <w:b/>
          <w:color w:val="auto"/>
          <w:sz w:val="24"/>
          <w:szCs w:val="24"/>
        </w:rPr>
      </w:pPr>
      <w:bookmarkStart w:id="60" w:name="_Toc482026547"/>
      <w:r>
        <w:rPr>
          <w:rFonts w:ascii="宋体" w:hAnsi="宋体"/>
          <w:b/>
          <w:color w:val="auto"/>
          <w:sz w:val="24"/>
          <w:szCs w:val="24"/>
        </w:rPr>
        <w:br w:type="page"/>
      </w:r>
    </w:p>
    <w:p>
      <w:pPr>
        <w:spacing w:line="360" w:lineRule="auto"/>
        <w:jc w:val="left"/>
        <w:rPr>
          <w:rFonts w:ascii="宋体" w:hAnsi="宋体"/>
          <w:b/>
          <w:color w:val="auto"/>
          <w:sz w:val="24"/>
          <w:szCs w:val="24"/>
        </w:rPr>
      </w:pPr>
      <w:r>
        <w:rPr>
          <w:rFonts w:hint="eastAsia" w:ascii="宋体" w:hAnsi="宋体"/>
          <w:b/>
          <w:color w:val="auto"/>
          <w:sz w:val="24"/>
          <w:szCs w:val="24"/>
        </w:rPr>
        <w:t>格式三：</w:t>
      </w:r>
      <w:bookmarkEnd w:id="60"/>
    </w:p>
    <w:p>
      <w:pPr>
        <w:keepNext w:val="0"/>
        <w:keepLines w:val="0"/>
        <w:pageBreakBefore w:val="0"/>
        <w:widowControl w:val="0"/>
        <w:kinsoku/>
        <w:wordWrap/>
        <w:overflowPunct/>
        <w:topLinePunct w:val="0"/>
        <w:bidi w:val="0"/>
        <w:spacing w:line="400" w:lineRule="exact"/>
        <w:jc w:val="center"/>
        <w:textAlignment w:val="auto"/>
        <w:rPr>
          <w:rFonts w:ascii="宋体" w:hAnsi="宋体"/>
          <w:bCs/>
          <w:sz w:val="24"/>
          <w:szCs w:val="24"/>
        </w:rPr>
      </w:pPr>
      <w:r>
        <w:rPr>
          <w:rFonts w:hint="eastAsia" w:ascii="宋体" w:hAnsi="宋体"/>
          <w:bCs/>
          <w:sz w:val="24"/>
          <w:szCs w:val="24"/>
          <w:lang w:eastAsia="zh-CN"/>
        </w:rPr>
        <w:t>一、政府采购诚信</w:t>
      </w:r>
      <w:r>
        <w:rPr>
          <w:rFonts w:hint="eastAsia" w:ascii="宋体" w:hAnsi="宋体"/>
          <w:bCs/>
          <w:sz w:val="24"/>
          <w:szCs w:val="24"/>
        </w:rPr>
        <w:t>投标承诺书</w:t>
      </w:r>
    </w:p>
    <w:p>
      <w:pPr>
        <w:keepNext w:val="0"/>
        <w:keepLines w:val="0"/>
        <w:pageBreakBefore w:val="0"/>
        <w:widowControl w:val="0"/>
        <w:kinsoku/>
        <w:wordWrap/>
        <w:overflowPunct/>
        <w:topLinePunct w:val="0"/>
        <w:bidi w:val="0"/>
        <w:spacing w:line="400" w:lineRule="exact"/>
        <w:textAlignment w:val="auto"/>
        <w:rPr>
          <w:rFonts w:ascii="宋体" w:hAnsi="宋体"/>
          <w:sz w:val="24"/>
          <w:szCs w:val="24"/>
        </w:rPr>
      </w:pPr>
      <w:r>
        <w:rPr>
          <w:rFonts w:hint="eastAsia" w:ascii="宋体" w:hAnsi="宋体"/>
          <w:sz w:val="24"/>
          <w:szCs w:val="24"/>
          <w:lang w:eastAsia="zh-CN"/>
        </w:rPr>
        <w:t>鄂托克前旗财政局、</w:t>
      </w:r>
      <w:r>
        <w:rPr>
          <w:rFonts w:hint="eastAsia" w:ascii="宋体" w:hAnsi="宋体"/>
          <w:sz w:val="24"/>
          <w:szCs w:val="24"/>
          <w:lang w:val="en-US" w:eastAsia="zh-CN"/>
        </w:rPr>
        <w:t xml:space="preserve"> </w:t>
      </w:r>
      <w:r>
        <w:rPr>
          <w:rFonts w:hint="eastAsia" w:ascii="宋体" w:hAnsi="宋体"/>
          <w:sz w:val="24"/>
          <w:szCs w:val="24"/>
          <w:u w:val="single"/>
        </w:rPr>
        <w:t>（采购人名称）</w:t>
      </w:r>
      <w:r>
        <w:rPr>
          <w:rFonts w:hint="eastAsia" w:ascii="宋体" w:hAnsi="宋体"/>
          <w:sz w:val="24"/>
          <w:szCs w:val="24"/>
          <w:u w:val="single"/>
          <w:lang w:val="en-US" w:eastAsia="zh-CN"/>
        </w:rPr>
        <w:t xml:space="preserve"> 、</w:t>
      </w:r>
      <w:r>
        <w:rPr>
          <w:rFonts w:hint="eastAsia" w:ascii="宋体" w:hAnsi="宋体"/>
          <w:sz w:val="24"/>
          <w:szCs w:val="24"/>
          <w:lang w:eastAsia="zh-CN"/>
        </w:rPr>
        <w:t>鄂尔多斯市鄂托克前旗公共资源交易中心</w:t>
      </w:r>
      <w:r>
        <w:rPr>
          <w:rFonts w:hint="eastAsia" w:ascii="宋体" w:hAnsi="宋体"/>
          <w:sz w:val="24"/>
          <w:szCs w:val="24"/>
        </w:rPr>
        <w:t xml:space="preserve">： </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sz w:val="24"/>
          <w:szCs w:val="24"/>
        </w:rPr>
      </w:pPr>
      <w:r>
        <w:rPr>
          <w:rFonts w:hint="eastAsia" w:ascii="宋体" w:hAnsi="宋体"/>
          <w:sz w:val="24"/>
          <w:szCs w:val="24"/>
        </w:rPr>
        <w:t>1.按照已收到的</w:t>
      </w:r>
      <w:r>
        <w:rPr>
          <w:rFonts w:hint="eastAsia" w:ascii="宋体" w:hAnsi="宋体"/>
          <w:sz w:val="24"/>
          <w:szCs w:val="24"/>
          <w:u w:val="single"/>
        </w:rPr>
        <w:t xml:space="preserve">               </w:t>
      </w:r>
      <w:r>
        <w:rPr>
          <w:rFonts w:hint="eastAsia" w:ascii="宋体" w:hAnsi="宋体"/>
          <w:sz w:val="24"/>
          <w:szCs w:val="24"/>
        </w:rPr>
        <w:t>项目（项目编号：</w:t>
      </w:r>
      <w:r>
        <w:rPr>
          <w:rFonts w:hint="eastAsia" w:ascii="宋体" w:hAnsi="宋体"/>
          <w:sz w:val="24"/>
          <w:szCs w:val="24"/>
          <w:u w:val="single"/>
        </w:rPr>
        <w:t xml:space="preserve">         </w:t>
      </w:r>
      <w:r>
        <w:rPr>
          <w:rFonts w:hint="eastAsia" w:ascii="宋体" w:hAnsi="宋体"/>
          <w:sz w:val="24"/>
          <w:szCs w:val="24"/>
        </w:rPr>
        <w:t>）谈判文件要求，经我方</w:t>
      </w:r>
      <w:r>
        <w:rPr>
          <w:rFonts w:hint="eastAsia" w:ascii="宋体" w:hAnsi="宋体"/>
          <w:color w:val="000000"/>
          <w:sz w:val="24"/>
          <w:szCs w:val="24"/>
          <w:u w:val="single"/>
        </w:rPr>
        <w:t xml:space="preserve">  （</w:t>
      </w:r>
      <w:r>
        <w:rPr>
          <w:rFonts w:hint="eastAsia" w:ascii="宋体" w:hAnsi="宋体"/>
          <w:color w:val="auto"/>
          <w:sz w:val="24"/>
          <w:szCs w:val="24"/>
          <w:u w:val="single"/>
        </w:rPr>
        <w:t>供应商</w:t>
      </w:r>
      <w:r>
        <w:rPr>
          <w:rFonts w:hint="eastAsia" w:ascii="宋体" w:hAnsi="宋体"/>
          <w:color w:val="000000"/>
          <w:sz w:val="24"/>
          <w:szCs w:val="24"/>
          <w:u w:val="single"/>
        </w:rPr>
        <w:t xml:space="preserve">名称）  </w:t>
      </w:r>
      <w:r>
        <w:rPr>
          <w:rFonts w:hint="eastAsia" w:ascii="宋体" w:hAnsi="宋体"/>
          <w:sz w:val="24"/>
          <w:szCs w:val="24"/>
        </w:rPr>
        <w:t>认真研究投标须知、合同条款、技术规范、资质要求和其它有关要求后，我方愿按上述合同条款、技术规范、资质要求进行投标。我方完全接受本次谈判文件规定的所有要求，并承诺在中标后执行谈判文件、响应文件和合同的全部要求，并履行我方的全部义务。我方的最终报价为总承包价，保证不以任何理由增加报价。如有缺项、漏项部分，均由我方无条件负责补齐。</w:t>
      </w:r>
    </w:p>
    <w:p>
      <w:pPr>
        <w:keepNext w:val="0"/>
        <w:keepLines w:val="0"/>
        <w:pageBreakBefore w:val="0"/>
        <w:widowControl w:val="0"/>
        <w:kinsoku/>
        <w:wordWrap/>
        <w:overflowPunct/>
        <w:topLinePunct w:val="0"/>
        <w:bidi w:val="0"/>
        <w:spacing w:line="400" w:lineRule="exact"/>
        <w:ind w:firstLine="57"/>
        <w:textAlignment w:val="auto"/>
        <w:rPr>
          <w:rFonts w:ascii="宋体" w:hAnsi="宋体"/>
          <w:sz w:val="24"/>
          <w:szCs w:val="24"/>
        </w:rPr>
      </w:pPr>
      <w:r>
        <w:rPr>
          <w:rFonts w:hint="eastAsia" w:ascii="宋体" w:hAnsi="宋体"/>
          <w:sz w:val="24"/>
          <w:szCs w:val="24"/>
        </w:rPr>
        <w:t xml:space="preserve">    2. 我方同意所递交的响应文件在“投标须知”规定的投标有效期内有效，在此期间内我方的投标如能中标，我方将受此约束。</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sz w:val="24"/>
          <w:szCs w:val="24"/>
        </w:rPr>
      </w:pPr>
      <w:r>
        <w:rPr>
          <w:rFonts w:hint="eastAsia" w:ascii="宋体" w:hAnsi="宋体"/>
          <w:sz w:val="24"/>
          <w:szCs w:val="24"/>
        </w:rPr>
        <w:t>3. 我方郑重声明：所提供的响应文件内容全部真实有效。如经查实承诺的内容事项存在虚假，我公司愿意接受提供虚假材料谋取中标追究法律责任。</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sz w:val="24"/>
          <w:szCs w:val="24"/>
        </w:rPr>
      </w:pPr>
      <w:r>
        <w:rPr>
          <w:rFonts w:hint="eastAsia" w:ascii="宋体" w:hAnsi="宋体"/>
          <w:sz w:val="24"/>
          <w:szCs w:val="24"/>
        </w:rPr>
        <w:t>4. 我方将严格遵守《中华人民共和国政府采购法》、《</w:t>
      </w:r>
      <w:r>
        <w:rPr>
          <w:rFonts w:ascii="宋体" w:hAnsi="宋体"/>
          <w:sz w:val="24"/>
          <w:szCs w:val="24"/>
        </w:rPr>
        <w:t>中华人民共和国合同法</w:t>
      </w:r>
      <w:r>
        <w:rPr>
          <w:rFonts w:hint="eastAsia" w:ascii="宋体" w:hAnsi="宋体"/>
          <w:sz w:val="24"/>
          <w:szCs w:val="24"/>
        </w:rPr>
        <w:t>》等有关法律、法规规定，如有违反，无条件接受相关部门的处罚；</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sz w:val="24"/>
          <w:szCs w:val="24"/>
        </w:rPr>
      </w:pPr>
      <w:r>
        <w:rPr>
          <w:rFonts w:hint="eastAsia" w:ascii="宋体" w:hAnsi="宋体"/>
          <w:sz w:val="24"/>
          <w:szCs w:val="24"/>
        </w:rPr>
        <w:t>5. 我方同意提供</w:t>
      </w:r>
      <w:r>
        <w:rPr>
          <w:rFonts w:hint="eastAsia" w:ascii="宋体" w:hAnsi="宋体"/>
          <w:kern w:val="0"/>
          <w:sz w:val="24"/>
          <w:szCs w:val="24"/>
        </w:rPr>
        <w:t>按照贵方</w:t>
      </w:r>
      <w:r>
        <w:rPr>
          <w:rFonts w:hint="eastAsia" w:ascii="宋体" w:hAnsi="宋体"/>
          <w:sz w:val="24"/>
          <w:szCs w:val="24"/>
        </w:rPr>
        <w:t>可能另外要求的与其投标有关的任何数据或资料。除非另外达成协议并生效，否则，中标通知书和本响应文件将构成约束双方合同的组成部分。</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6. 我单位如果存在下列情形的，愿意承担取消中标资格、投标保证金不予退还、赔偿超过投标保证金金额的损失部分、</w:t>
      </w:r>
      <w:r>
        <w:rPr>
          <w:rFonts w:hint="eastAsia" w:ascii="宋体" w:hAnsi="宋体"/>
          <w:kern w:val="0"/>
          <w:sz w:val="24"/>
          <w:szCs w:val="24"/>
          <w:lang w:eastAsia="zh-CN"/>
        </w:rPr>
        <w:t>记入诚信档案、媒体通报，</w:t>
      </w:r>
      <w:r>
        <w:rPr>
          <w:rFonts w:hint="eastAsia" w:ascii="宋体" w:hAnsi="宋体"/>
          <w:kern w:val="0"/>
          <w:sz w:val="24"/>
          <w:szCs w:val="24"/>
          <w:lang w:val="en-US" w:eastAsia="zh-CN"/>
        </w:rPr>
        <w:t>2年内不参加地区政府采购活动，并</w:t>
      </w:r>
      <w:r>
        <w:rPr>
          <w:rFonts w:hint="eastAsia" w:ascii="宋体" w:hAnsi="宋体"/>
          <w:kern w:val="0"/>
          <w:sz w:val="24"/>
          <w:szCs w:val="24"/>
        </w:rPr>
        <w:t>接受有关监督部门处罚等后果：</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（1）中标后，无正当理由放弃中标资格；</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（2）中标后，无正当理由不与招标人签订合同；</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（3）在签订合同时，向招标人提出附加条件；</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（4）不按照谈判文件要求提交履约保证金；</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（5）要求修改、补充和撤销响应文件的实质性内容；</w:t>
      </w:r>
    </w:p>
    <w:p>
      <w:pPr>
        <w:keepNext w:val="0"/>
        <w:keepLines w:val="0"/>
        <w:pageBreakBefore w:val="0"/>
        <w:widowControl w:val="0"/>
        <w:kinsoku/>
        <w:wordWrap/>
        <w:overflowPunct/>
        <w:topLinePunct w:val="0"/>
        <w:bidi w:val="0"/>
        <w:spacing w:line="400" w:lineRule="exact"/>
        <w:ind w:firstLine="528" w:firstLineChars="220"/>
        <w:textAlignment w:val="auto"/>
      </w:pPr>
      <w:r>
        <w:rPr>
          <w:rFonts w:hint="eastAsia" w:ascii="宋体" w:hAnsi="宋体"/>
          <w:kern w:val="0"/>
          <w:sz w:val="24"/>
          <w:szCs w:val="24"/>
        </w:rPr>
        <w:t>（6）要求更改谈判文件和中标结果公告的实质性内容；</w:t>
      </w:r>
    </w:p>
    <w:p>
      <w:pPr>
        <w:keepNext w:val="0"/>
        <w:keepLines w:val="0"/>
        <w:pageBreakBefore w:val="0"/>
        <w:widowControl w:val="0"/>
        <w:kinsoku/>
        <w:wordWrap/>
        <w:overflowPunct/>
        <w:topLinePunct w:val="0"/>
        <w:bidi w:val="0"/>
        <w:spacing w:line="400" w:lineRule="exact"/>
        <w:ind w:firstLine="528" w:firstLineChars="220"/>
        <w:textAlignment w:val="auto"/>
        <w:rPr>
          <w:rFonts w:hint="eastAsia" w:ascii="宋体" w:hAnsi="宋体" w:eastAsia="宋体"/>
          <w:kern w:val="0"/>
          <w:sz w:val="24"/>
          <w:szCs w:val="24"/>
          <w:lang w:eastAsia="zh-CN"/>
        </w:rPr>
      </w:pPr>
      <w:r>
        <w:rPr>
          <w:rFonts w:hint="eastAsia" w:ascii="宋体" w:hAnsi="宋体"/>
          <w:kern w:val="0"/>
          <w:sz w:val="24"/>
          <w:szCs w:val="24"/>
        </w:rPr>
        <w:t>（7）</w:t>
      </w:r>
      <w:r>
        <w:rPr>
          <w:rFonts w:hint="eastAsia" w:ascii="宋体" w:hAnsi="宋体"/>
          <w:kern w:val="0"/>
          <w:sz w:val="24"/>
          <w:szCs w:val="24"/>
          <w:lang w:eastAsia="zh-CN"/>
        </w:rPr>
        <w:t>响应文件中签字、盖章不是真实有效的；</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lang w:eastAsia="zh-CN"/>
        </w:rPr>
        <w:t>（</w:t>
      </w:r>
      <w:r>
        <w:rPr>
          <w:rFonts w:hint="eastAsia" w:ascii="宋体" w:hAnsi="宋体"/>
          <w:kern w:val="0"/>
          <w:sz w:val="24"/>
          <w:szCs w:val="24"/>
          <w:lang w:val="en-US" w:eastAsia="zh-CN"/>
        </w:rPr>
        <w:t>8）</w:t>
      </w:r>
      <w:r>
        <w:rPr>
          <w:rFonts w:hint="eastAsia" w:ascii="宋体" w:hAnsi="宋体"/>
          <w:kern w:val="0"/>
          <w:sz w:val="24"/>
          <w:szCs w:val="24"/>
        </w:rPr>
        <w:t>法律法规和谈判文件规定的其他情形。</w:t>
      </w:r>
    </w:p>
    <w:p>
      <w:pPr>
        <w:keepNext w:val="0"/>
        <w:keepLines w:val="0"/>
        <w:pageBreakBefore w:val="0"/>
        <w:widowControl w:val="0"/>
        <w:kinsoku/>
        <w:wordWrap/>
        <w:overflowPunct/>
        <w:topLinePunct w:val="0"/>
        <w:autoSpaceDE w:val="0"/>
        <w:autoSpaceDN w:val="0"/>
        <w:bidi w:val="0"/>
        <w:adjustRightInd w:val="0"/>
        <w:spacing w:line="400" w:lineRule="exact"/>
        <w:ind w:right="246" w:firstLine="480" w:firstLineChars="200"/>
        <w:textAlignment w:val="auto"/>
        <w:rPr>
          <w:rFonts w:ascii="宋体" w:hAnsi="宋体"/>
          <w:sz w:val="24"/>
          <w:szCs w:val="24"/>
        </w:rPr>
      </w:pPr>
      <w:r>
        <w:rPr>
          <w:rFonts w:hint="eastAsia" w:ascii="宋体" w:hAnsi="宋体"/>
          <w:kern w:val="0"/>
          <w:sz w:val="24"/>
          <w:szCs w:val="24"/>
        </w:rPr>
        <w:t xml:space="preserve">详细地址：                        </w:t>
      </w:r>
      <w:r>
        <w:rPr>
          <w:rFonts w:hint="eastAsia" w:ascii="宋体" w:hAnsi="宋体"/>
          <w:kern w:val="0"/>
          <w:sz w:val="24"/>
          <w:szCs w:val="24"/>
          <w:lang w:val="en-US" w:eastAsia="zh-CN"/>
        </w:rPr>
        <w:t xml:space="preserve">    </w:t>
      </w:r>
      <w:r>
        <w:rPr>
          <w:rFonts w:hint="eastAsia" w:ascii="宋体" w:hAnsi="宋体"/>
          <w:sz w:val="24"/>
          <w:szCs w:val="24"/>
        </w:rPr>
        <w:t>邮政编码：</w:t>
      </w:r>
    </w:p>
    <w:p>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ascii="宋体" w:hAnsi="宋体"/>
          <w:sz w:val="24"/>
          <w:szCs w:val="24"/>
        </w:rPr>
      </w:pPr>
      <w:r>
        <w:rPr>
          <w:rFonts w:hint="eastAsia" w:ascii="宋体" w:hAnsi="宋体"/>
          <w:kern w:val="0"/>
          <w:sz w:val="24"/>
          <w:szCs w:val="24"/>
        </w:rPr>
        <w:t xml:space="preserve">电    话：                       </w:t>
      </w:r>
    </w:p>
    <w:p>
      <w:pPr>
        <w:keepNext w:val="0"/>
        <w:keepLines w:val="0"/>
        <w:pageBreakBefore w:val="0"/>
        <w:widowControl w:val="0"/>
        <w:kinsoku/>
        <w:wordWrap/>
        <w:overflowPunct/>
        <w:topLinePunct w:val="0"/>
        <w:bidi w:val="0"/>
        <w:spacing w:line="400" w:lineRule="exact"/>
        <w:textAlignment w:val="auto"/>
        <w:rPr>
          <w:rFonts w:hint="eastAsia" w:ascii="宋体" w:hAnsi="宋体"/>
          <w:sz w:val="24"/>
          <w:szCs w:val="24"/>
          <w:lang w:eastAsia="zh-CN"/>
        </w:rPr>
      </w:pP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eastAsia="宋体"/>
          <w:sz w:val="24"/>
          <w:szCs w:val="24"/>
          <w:lang w:eastAsia="zh-CN"/>
        </w:rPr>
      </w:pPr>
      <w:r>
        <w:rPr>
          <w:rFonts w:hint="eastAsia" w:ascii="宋体" w:hAnsi="宋体"/>
          <w:sz w:val="24"/>
          <w:szCs w:val="24"/>
          <w:lang w:eastAsia="zh-CN"/>
        </w:rPr>
        <w:t>供应商名称</w:t>
      </w:r>
      <w:r>
        <w:rPr>
          <w:rFonts w:hint="eastAsia" w:ascii="宋体" w:hAnsi="宋体"/>
          <w:sz w:val="24"/>
          <w:szCs w:val="24"/>
        </w:rPr>
        <w:t>（加盖公章）</w:t>
      </w:r>
      <w:r>
        <w:rPr>
          <w:rFonts w:hint="eastAsia" w:ascii="宋体" w:hAnsi="宋体"/>
          <w:sz w:val="24"/>
          <w:szCs w:val="24"/>
          <w:lang w:eastAsia="zh-CN"/>
        </w:rPr>
        <w:t>：</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eastAsia="zh-CN"/>
        </w:rPr>
        <w:t>法定代表人（签字）：</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宋体" w:hAnsi="宋体" w:eastAsia="宋体"/>
          <w:sz w:val="24"/>
          <w:szCs w:val="24"/>
          <w:lang w:eastAsia="zh-CN"/>
        </w:rPr>
      </w:pPr>
    </w:p>
    <w:p>
      <w:pPr>
        <w:keepNext w:val="0"/>
        <w:keepLines w:val="0"/>
        <w:pageBreakBefore w:val="0"/>
        <w:widowControl w:val="0"/>
        <w:kinsoku/>
        <w:wordWrap/>
        <w:overflowPunct/>
        <w:topLinePunct w:val="0"/>
        <w:bidi w:val="0"/>
        <w:spacing w:line="400" w:lineRule="exact"/>
        <w:ind w:firstLine="7680" w:firstLineChars="3200"/>
        <w:textAlignment w:val="auto"/>
      </w:pPr>
      <w:r>
        <w:rPr>
          <w:rFonts w:hint="eastAsia" w:ascii="宋体" w:hAnsi="宋体"/>
          <w:sz w:val="24"/>
          <w:szCs w:val="24"/>
        </w:rPr>
        <w:t>年 月 日</w:t>
      </w:r>
    </w:p>
    <w:p>
      <w:pPr>
        <w:widowControl/>
        <w:ind w:firstLine="720" w:firstLineChars="300"/>
        <w:jc w:val="left"/>
        <w:rPr>
          <w:rFonts w:ascii="宋体" w:hAnsi="宋体"/>
          <w:color w:val="auto"/>
          <w:sz w:val="24"/>
          <w:szCs w:val="24"/>
        </w:rPr>
      </w:pPr>
      <w:r>
        <w:rPr>
          <w:rFonts w:ascii="宋体" w:hAnsi="宋体"/>
          <w:color w:val="auto"/>
          <w:sz w:val="24"/>
          <w:szCs w:val="24"/>
        </w:rPr>
        <w:br w:type="page"/>
      </w:r>
    </w:p>
    <w:p>
      <w:pPr>
        <w:adjustRightInd w:val="0"/>
        <w:snapToGrid w:val="0"/>
        <w:spacing w:line="360" w:lineRule="auto"/>
        <w:jc w:val="center"/>
        <w:rPr>
          <w:rFonts w:ascii="宋体" w:hAnsi="宋体"/>
          <w:color w:val="auto"/>
          <w:sz w:val="24"/>
          <w:szCs w:val="24"/>
        </w:rPr>
      </w:pPr>
      <w:bookmarkStart w:id="61" w:name="_Toc28482_WPSOffice_Level1"/>
      <w:r>
        <w:rPr>
          <w:rFonts w:hint="eastAsia" w:ascii="宋体" w:hAnsi="宋体"/>
          <w:color w:val="auto"/>
          <w:sz w:val="24"/>
          <w:szCs w:val="24"/>
        </w:rPr>
        <w:t>二．开标一览表</w:t>
      </w:r>
      <w:bookmarkEnd w:id="61"/>
    </w:p>
    <w:p>
      <w:pPr>
        <w:pStyle w:val="16"/>
        <w:spacing w:line="360" w:lineRule="auto"/>
        <w:ind w:left="57" w:right="57" w:firstLine="57"/>
        <w:rPr>
          <w:rFonts w:hAnsi="宋体"/>
          <w:bCs/>
          <w:color w:val="auto"/>
          <w:sz w:val="24"/>
          <w:szCs w:val="24"/>
        </w:rPr>
      </w:pPr>
    </w:p>
    <w:p>
      <w:pPr>
        <w:pStyle w:val="16"/>
        <w:spacing w:line="360" w:lineRule="auto"/>
        <w:ind w:left="57" w:right="57" w:firstLine="57"/>
        <w:rPr>
          <w:rFonts w:hAnsi="宋体"/>
          <w:color w:val="auto"/>
          <w:sz w:val="24"/>
          <w:szCs w:val="24"/>
        </w:rPr>
      </w:pPr>
      <w:r>
        <w:rPr>
          <w:rFonts w:hint="eastAsia" w:hAnsi="宋体"/>
          <w:color w:val="auto"/>
          <w:sz w:val="24"/>
          <w:szCs w:val="24"/>
        </w:rPr>
        <w:t>投标人名称（加盖公章）</w:t>
      </w:r>
    </w:p>
    <w:p>
      <w:pPr>
        <w:spacing w:line="360" w:lineRule="auto"/>
        <w:ind w:firstLine="120" w:firstLineChars="50"/>
        <w:rPr>
          <w:rFonts w:ascii="宋体" w:hAnsi="宋体"/>
          <w:color w:val="auto"/>
          <w:sz w:val="24"/>
          <w:szCs w:val="24"/>
        </w:rPr>
      </w:pPr>
      <w:r>
        <w:rPr>
          <w:rFonts w:hint="eastAsia" w:ascii="宋体" w:hAnsi="宋体"/>
          <w:color w:val="auto"/>
          <w:sz w:val="24"/>
          <w:szCs w:val="24"/>
        </w:rPr>
        <w:t>项目名称、包号：                          项目编号：</w:t>
      </w: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7"/>
        <w:gridCol w:w="1997"/>
        <w:gridCol w:w="1997"/>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57" w:type="dxa"/>
            <w:vAlign w:val="center"/>
          </w:tcPr>
          <w:p>
            <w:pPr>
              <w:spacing w:line="360" w:lineRule="auto"/>
              <w:ind w:firstLine="240" w:firstLineChars="100"/>
              <w:jc w:val="center"/>
              <w:rPr>
                <w:rFonts w:ascii="宋体" w:hAnsi="宋体"/>
                <w:color w:val="auto"/>
                <w:sz w:val="24"/>
                <w:szCs w:val="24"/>
              </w:rPr>
            </w:pPr>
            <w:r>
              <w:rPr>
                <w:rFonts w:hint="eastAsia" w:ascii="宋体" w:hAnsi="宋体"/>
                <w:color w:val="auto"/>
                <w:sz w:val="24"/>
                <w:szCs w:val="24"/>
              </w:rPr>
              <w:t>投标总报价（元）</w:t>
            </w:r>
          </w:p>
        </w:tc>
        <w:tc>
          <w:tcPr>
            <w:tcW w:w="1997"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交付使用时间</w:t>
            </w:r>
          </w:p>
        </w:tc>
        <w:tc>
          <w:tcPr>
            <w:tcW w:w="1997"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售后服务网点</w:t>
            </w:r>
          </w:p>
        </w:tc>
        <w:tc>
          <w:tcPr>
            <w:tcW w:w="1877"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质保期（年）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757" w:type="dxa"/>
            <w:vAlign w:val="center"/>
          </w:tcPr>
          <w:p>
            <w:pPr>
              <w:spacing w:line="360" w:lineRule="auto"/>
              <w:jc w:val="left"/>
              <w:rPr>
                <w:rFonts w:ascii="宋体" w:hAnsi="宋体"/>
                <w:color w:val="auto"/>
                <w:sz w:val="24"/>
                <w:szCs w:val="24"/>
              </w:rPr>
            </w:pPr>
            <w:r>
              <w:rPr>
                <w:rFonts w:hint="eastAsia" w:ascii="宋体" w:hAnsi="宋体"/>
                <w:color w:val="auto"/>
                <w:sz w:val="24"/>
                <w:szCs w:val="24"/>
              </w:rPr>
              <w:t>大写：</w:t>
            </w:r>
          </w:p>
        </w:tc>
        <w:tc>
          <w:tcPr>
            <w:tcW w:w="1997" w:type="dxa"/>
            <w:vMerge w:val="restart"/>
            <w:vAlign w:val="center"/>
          </w:tcPr>
          <w:p>
            <w:pPr>
              <w:spacing w:line="360" w:lineRule="auto"/>
              <w:ind w:left="57" w:right="57" w:firstLine="57"/>
              <w:jc w:val="center"/>
              <w:outlineLvl w:val="0"/>
              <w:rPr>
                <w:rFonts w:ascii="宋体" w:hAnsi="宋体"/>
                <w:color w:val="auto"/>
                <w:sz w:val="24"/>
                <w:szCs w:val="24"/>
              </w:rPr>
            </w:pPr>
          </w:p>
        </w:tc>
        <w:tc>
          <w:tcPr>
            <w:tcW w:w="1997" w:type="dxa"/>
            <w:vMerge w:val="restart"/>
            <w:vAlign w:val="center"/>
          </w:tcPr>
          <w:p>
            <w:pPr>
              <w:spacing w:line="360" w:lineRule="auto"/>
              <w:ind w:left="57" w:right="57" w:firstLine="57"/>
              <w:jc w:val="center"/>
              <w:outlineLvl w:val="0"/>
              <w:rPr>
                <w:rFonts w:ascii="宋体" w:hAnsi="宋体"/>
                <w:color w:val="auto"/>
                <w:sz w:val="24"/>
                <w:szCs w:val="24"/>
              </w:rPr>
            </w:pPr>
          </w:p>
        </w:tc>
        <w:tc>
          <w:tcPr>
            <w:tcW w:w="1877" w:type="dxa"/>
            <w:vMerge w:val="restart"/>
          </w:tcPr>
          <w:p>
            <w:pPr>
              <w:spacing w:line="360" w:lineRule="auto"/>
              <w:ind w:left="57" w:right="57" w:firstLine="57"/>
              <w:jc w:val="center"/>
              <w:outlineLvl w:val="0"/>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757" w:type="dxa"/>
            <w:vAlign w:val="center"/>
          </w:tcPr>
          <w:p>
            <w:pPr>
              <w:spacing w:line="360" w:lineRule="auto"/>
              <w:jc w:val="left"/>
              <w:rPr>
                <w:rFonts w:ascii="宋体" w:hAnsi="宋体"/>
                <w:color w:val="auto"/>
                <w:sz w:val="24"/>
                <w:szCs w:val="24"/>
              </w:rPr>
            </w:pPr>
            <w:r>
              <w:rPr>
                <w:rFonts w:hint="eastAsia" w:ascii="宋体" w:hAnsi="宋体"/>
                <w:color w:val="auto"/>
                <w:sz w:val="24"/>
                <w:szCs w:val="24"/>
              </w:rPr>
              <w:t>小写：</w:t>
            </w:r>
          </w:p>
        </w:tc>
        <w:tc>
          <w:tcPr>
            <w:tcW w:w="1997" w:type="dxa"/>
            <w:vMerge w:val="continue"/>
            <w:vAlign w:val="center"/>
          </w:tcPr>
          <w:p>
            <w:pPr>
              <w:spacing w:line="360" w:lineRule="auto"/>
              <w:ind w:left="57" w:right="57" w:firstLine="57"/>
              <w:jc w:val="center"/>
              <w:outlineLvl w:val="0"/>
              <w:rPr>
                <w:rFonts w:ascii="宋体" w:hAnsi="宋体"/>
                <w:color w:val="auto"/>
                <w:sz w:val="24"/>
                <w:szCs w:val="24"/>
              </w:rPr>
            </w:pPr>
          </w:p>
        </w:tc>
        <w:tc>
          <w:tcPr>
            <w:tcW w:w="1997" w:type="dxa"/>
            <w:vMerge w:val="continue"/>
            <w:vAlign w:val="center"/>
          </w:tcPr>
          <w:p>
            <w:pPr>
              <w:spacing w:line="360" w:lineRule="auto"/>
              <w:ind w:left="57" w:right="57" w:firstLine="57"/>
              <w:jc w:val="center"/>
              <w:outlineLvl w:val="0"/>
              <w:rPr>
                <w:rFonts w:ascii="宋体" w:hAnsi="宋体"/>
                <w:color w:val="auto"/>
                <w:sz w:val="24"/>
                <w:szCs w:val="24"/>
              </w:rPr>
            </w:pPr>
          </w:p>
        </w:tc>
        <w:tc>
          <w:tcPr>
            <w:tcW w:w="1877" w:type="dxa"/>
            <w:vMerge w:val="continue"/>
          </w:tcPr>
          <w:p>
            <w:pPr>
              <w:spacing w:line="360" w:lineRule="auto"/>
              <w:ind w:left="57" w:right="57" w:firstLine="57"/>
              <w:jc w:val="center"/>
              <w:outlineLvl w:val="0"/>
              <w:rPr>
                <w:rFonts w:ascii="宋体" w:hAnsi="宋体"/>
                <w:color w:val="auto"/>
                <w:sz w:val="24"/>
                <w:szCs w:val="24"/>
              </w:rPr>
            </w:pPr>
          </w:p>
        </w:tc>
      </w:tr>
    </w:tbl>
    <w:p>
      <w:pPr>
        <w:adjustRightInd w:val="0"/>
        <w:snapToGrid w:val="0"/>
        <w:spacing w:line="360" w:lineRule="auto"/>
        <w:rPr>
          <w:rFonts w:ascii="宋体" w:hAnsi="宋体"/>
          <w:color w:val="auto"/>
          <w:sz w:val="24"/>
          <w:szCs w:val="24"/>
        </w:rPr>
      </w:pPr>
    </w:p>
    <w:p>
      <w:pPr>
        <w:adjustRightInd w:val="0"/>
        <w:snapToGrid w:val="0"/>
        <w:spacing w:line="360" w:lineRule="auto"/>
        <w:rPr>
          <w:rFonts w:ascii="宋体" w:hAnsi="宋体" w:cs="Courier New"/>
          <w:color w:val="auto"/>
          <w:kern w:val="0"/>
          <w:sz w:val="24"/>
          <w:szCs w:val="24"/>
        </w:rPr>
      </w:pPr>
      <w:r>
        <w:rPr>
          <w:rFonts w:hint="eastAsia" w:ascii="宋体" w:hAnsi="宋体"/>
          <w:color w:val="auto"/>
          <w:sz w:val="24"/>
          <w:szCs w:val="24"/>
        </w:rPr>
        <w:t>说明：1．所有价格均系用人民币表示，单位为元。</w:t>
      </w:r>
    </w:p>
    <w:p>
      <w:pPr>
        <w:adjustRightInd w:val="0"/>
        <w:snapToGrid w:val="0"/>
        <w:spacing w:line="360" w:lineRule="auto"/>
        <w:ind w:firstLine="720" w:firstLineChars="300"/>
        <w:rPr>
          <w:rFonts w:ascii="宋体" w:hAnsi="宋体" w:cs="Courier New"/>
          <w:color w:val="auto"/>
          <w:kern w:val="0"/>
          <w:sz w:val="24"/>
          <w:szCs w:val="24"/>
        </w:rPr>
      </w:pPr>
      <w:r>
        <w:rPr>
          <w:rFonts w:hint="eastAsia" w:ascii="宋体" w:hAnsi="宋体" w:cs="Courier New"/>
          <w:color w:val="auto"/>
          <w:kern w:val="0"/>
          <w:sz w:val="24"/>
          <w:szCs w:val="24"/>
        </w:rPr>
        <w:t>2．价格应按照“投标人须知”的要求报价。</w:t>
      </w:r>
    </w:p>
    <w:p>
      <w:pPr>
        <w:adjustRightInd w:val="0"/>
        <w:snapToGrid w:val="0"/>
        <w:spacing w:line="360" w:lineRule="auto"/>
        <w:ind w:firstLine="720" w:firstLineChars="300"/>
        <w:rPr>
          <w:rFonts w:ascii="宋体" w:hAnsi="宋体" w:cs="Courier New"/>
          <w:color w:val="auto"/>
          <w:kern w:val="0"/>
          <w:sz w:val="24"/>
          <w:szCs w:val="24"/>
        </w:rPr>
      </w:pPr>
      <w:r>
        <w:rPr>
          <w:rFonts w:hint="eastAsia" w:ascii="宋体" w:hAnsi="宋体" w:cs="Courier New"/>
          <w:color w:val="auto"/>
          <w:kern w:val="0"/>
          <w:sz w:val="24"/>
          <w:szCs w:val="24"/>
        </w:rPr>
        <w:t>3．格式、内容和签署、盖章必须完整。</w:t>
      </w:r>
    </w:p>
    <w:p>
      <w:pPr>
        <w:adjustRightInd w:val="0"/>
        <w:snapToGrid w:val="0"/>
        <w:spacing w:line="360" w:lineRule="auto"/>
        <w:ind w:firstLine="720" w:firstLineChars="300"/>
        <w:rPr>
          <w:rFonts w:ascii="宋体" w:hAnsi="宋体" w:cs="Courier New"/>
          <w:b/>
          <w:color w:val="auto"/>
          <w:kern w:val="0"/>
          <w:sz w:val="24"/>
          <w:szCs w:val="24"/>
        </w:rPr>
      </w:pPr>
      <w:r>
        <w:rPr>
          <w:rFonts w:hint="eastAsia" w:ascii="宋体" w:hAnsi="宋体" w:cs="Courier New"/>
          <w:color w:val="auto"/>
          <w:kern w:val="0"/>
          <w:sz w:val="24"/>
          <w:szCs w:val="24"/>
        </w:rPr>
        <w:t>4、</w:t>
      </w:r>
      <w:r>
        <w:rPr>
          <w:rFonts w:hint="eastAsia" w:ascii="宋体" w:hAnsi="宋体" w:cs="Courier New"/>
          <w:b/>
          <w:color w:val="auto"/>
          <w:kern w:val="0"/>
          <w:sz w:val="24"/>
          <w:szCs w:val="24"/>
        </w:rPr>
        <w:t>此表除保留在投标文件中外，</w:t>
      </w:r>
      <w:r>
        <w:rPr>
          <w:rFonts w:ascii="宋体" w:hAnsi="宋体" w:cs="Courier New"/>
          <w:b/>
          <w:color w:val="auto"/>
          <w:kern w:val="0"/>
          <w:sz w:val="24"/>
          <w:szCs w:val="24"/>
        </w:rPr>
        <w:t>还要将另一份</w:t>
      </w:r>
      <w:r>
        <w:rPr>
          <w:rFonts w:hint="eastAsia" w:ascii="宋体" w:hAnsi="宋体" w:cs="Courier New"/>
          <w:b/>
          <w:color w:val="auto"/>
          <w:kern w:val="0"/>
          <w:sz w:val="24"/>
          <w:szCs w:val="24"/>
        </w:rPr>
        <w:t>完全</w:t>
      </w:r>
      <w:r>
        <w:rPr>
          <w:rFonts w:ascii="宋体" w:hAnsi="宋体" w:cs="Courier New"/>
          <w:b/>
          <w:color w:val="auto"/>
          <w:kern w:val="0"/>
          <w:sz w:val="24"/>
          <w:szCs w:val="24"/>
        </w:rPr>
        <w:t>相同</w:t>
      </w:r>
      <w:r>
        <w:rPr>
          <w:rFonts w:hint="eastAsia" w:ascii="宋体" w:hAnsi="宋体" w:cs="Courier New"/>
          <w:b/>
          <w:color w:val="auto"/>
          <w:kern w:val="0"/>
          <w:sz w:val="24"/>
          <w:szCs w:val="24"/>
        </w:rPr>
        <w:t>的本表密封装在一个信封中，单独递交，作为唱标之用。</w:t>
      </w:r>
    </w:p>
    <w:p>
      <w:pPr>
        <w:adjustRightInd w:val="0"/>
        <w:snapToGrid w:val="0"/>
        <w:spacing w:line="360" w:lineRule="auto"/>
        <w:ind w:firstLine="720" w:firstLineChars="300"/>
        <w:rPr>
          <w:rFonts w:ascii="宋体" w:hAnsi="宋体"/>
          <w:color w:val="auto"/>
          <w:sz w:val="24"/>
          <w:szCs w:val="24"/>
        </w:rPr>
      </w:pPr>
      <w:r>
        <w:rPr>
          <w:rFonts w:hint="eastAsia" w:ascii="宋体" w:hAnsi="宋体" w:cs="Courier New"/>
          <w:color w:val="auto"/>
          <w:kern w:val="0"/>
          <w:sz w:val="24"/>
          <w:szCs w:val="24"/>
        </w:rPr>
        <w:t>5.《</w:t>
      </w:r>
      <w:r>
        <w:rPr>
          <w:rFonts w:hint="eastAsia" w:ascii="宋体" w:hAnsi="宋体"/>
          <w:color w:val="auto"/>
          <w:sz w:val="24"/>
          <w:szCs w:val="24"/>
        </w:rPr>
        <w:t>开标一览表</w:t>
      </w:r>
      <w:r>
        <w:rPr>
          <w:rFonts w:hint="eastAsia" w:ascii="宋体" w:hAnsi="宋体" w:cs="Courier New"/>
          <w:color w:val="auto"/>
          <w:kern w:val="0"/>
          <w:sz w:val="24"/>
          <w:szCs w:val="24"/>
        </w:rPr>
        <w:t>》中所填写内容与投标文件中内容不一致的，以开标一览表为准。</w:t>
      </w:r>
    </w:p>
    <w:p>
      <w:pPr>
        <w:adjustRightInd w:val="0"/>
        <w:snapToGrid w:val="0"/>
        <w:spacing w:line="360" w:lineRule="auto"/>
        <w:ind w:firstLine="720" w:firstLineChars="300"/>
        <w:rPr>
          <w:rFonts w:ascii="宋体" w:hAnsi="宋体" w:cs="Courier New"/>
          <w:color w:val="auto"/>
          <w:kern w:val="0"/>
          <w:sz w:val="24"/>
          <w:szCs w:val="24"/>
        </w:rPr>
      </w:pPr>
    </w:p>
    <w:p>
      <w:pPr>
        <w:spacing w:line="360" w:lineRule="auto"/>
        <w:ind w:right="240" w:firstLine="720" w:firstLineChars="300"/>
        <w:jc w:val="right"/>
        <w:rPr>
          <w:rFonts w:ascii="宋体" w:hAnsi="宋体"/>
          <w:color w:val="auto"/>
          <w:sz w:val="24"/>
          <w:szCs w:val="24"/>
        </w:rPr>
      </w:pPr>
    </w:p>
    <w:p>
      <w:pPr>
        <w:spacing w:line="360" w:lineRule="auto"/>
        <w:ind w:firstLine="720" w:firstLineChars="300"/>
        <w:jc w:val="right"/>
        <w:rPr>
          <w:rFonts w:ascii="宋体" w:hAnsi="宋体"/>
          <w:color w:val="auto"/>
          <w:sz w:val="24"/>
          <w:szCs w:val="24"/>
        </w:rPr>
      </w:pPr>
    </w:p>
    <w:p>
      <w:pPr>
        <w:spacing w:line="360" w:lineRule="auto"/>
        <w:ind w:firstLine="720" w:firstLineChars="300"/>
        <w:jc w:val="right"/>
        <w:rPr>
          <w:rFonts w:ascii="宋体" w:hAnsi="宋体"/>
          <w:color w:val="auto"/>
          <w:sz w:val="24"/>
          <w:szCs w:val="24"/>
        </w:rPr>
      </w:pPr>
    </w:p>
    <w:p>
      <w:pPr>
        <w:spacing w:line="360" w:lineRule="auto"/>
        <w:ind w:firstLine="720" w:firstLineChars="300"/>
        <w:jc w:val="right"/>
        <w:rPr>
          <w:rFonts w:ascii="宋体" w:hAnsi="宋体"/>
          <w:color w:val="auto"/>
          <w:sz w:val="24"/>
          <w:szCs w:val="24"/>
        </w:rPr>
      </w:pPr>
    </w:p>
    <w:p>
      <w:pPr>
        <w:spacing w:line="360" w:lineRule="auto"/>
        <w:ind w:firstLine="720" w:firstLineChars="300"/>
        <w:jc w:val="right"/>
        <w:rPr>
          <w:rFonts w:ascii="宋体" w:hAnsi="宋体"/>
          <w:color w:val="auto"/>
          <w:sz w:val="24"/>
          <w:szCs w:val="24"/>
        </w:rPr>
      </w:pPr>
    </w:p>
    <w:p>
      <w:pPr>
        <w:spacing w:line="360" w:lineRule="auto"/>
        <w:ind w:firstLine="720" w:firstLineChars="300"/>
        <w:jc w:val="right"/>
        <w:rPr>
          <w:rFonts w:ascii="宋体" w:hAnsi="宋体"/>
          <w:color w:val="auto"/>
          <w:sz w:val="24"/>
          <w:szCs w:val="24"/>
        </w:rPr>
      </w:pPr>
      <w:r>
        <w:rPr>
          <w:rFonts w:hint="eastAsia" w:ascii="宋体" w:hAnsi="宋体"/>
          <w:color w:val="auto"/>
          <w:sz w:val="24"/>
          <w:szCs w:val="24"/>
        </w:rPr>
        <w:t>法定代表人或法人授权代表（签字）：</w:t>
      </w:r>
    </w:p>
    <w:p>
      <w:pPr>
        <w:adjustRightInd w:val="0"/>
        <w:snapToGrid w:val="0"/>
        <w:spacing w:line="360" w:lineRule="auto"/>
        <w:rPr>
          <w:rFonts w:ascii="宋体" w:hAnsi="宋体"/>
          <w:color w:val="auto"/>
          <w:sz w:val="24"/>
          <w:szCs w:val="24"/>
        </w:rPr>
      </w:pPr>
    </w:p>
    <w:p>
      <w:pPr>
        <w:rPr>
          <w:rFonts w:ascii="宋体" w:hAnsi="宋体"/>
          <w:color w:val="auto"/>
          <w:sz w:val="24"/>
          <w:szCs w:val="24"/>
        </w:rPr>
      </w:pPr>
      <w:r>
        <w:rPr>
          <w:rFonts w:hint="eastAsia" w:ascii="宋体" w:hAnsi="宋体"/>
          <w:color w:val="auto"/>
          <w:sz w:val="24"/>
          <w:szCs w:val="24"/>
        </w:rPr>
        <w:t xml:space="preserve">                                              年    月     日</w:t>
      </w:r>
    </w:p>
    <w:p>
      <w:pPr>
        <w:widowControl/>
        <w:jc w:val="left"/>
        <w:rPr>
          <w:rFonts w:ascii="宋体" w:hAnsi="宋体"/>
          <w:color w:val="auto"/>
          <w:sz w:val="24"/>
          <w:szCs w:val="24"/>
        </w:rPr>
      </w:pPr>
      <w:r>
        <w:rPr>
          <w:rFonts w:ascii="宋体" w:hAnsi="宋体"/>
          <w:color w:val="auto"/>
          <w:sz w:val="24"/>
          <w:szCs w:val="24"/>
        </w:rPr>
        <w:br w:type="page"/>
      </w:r>
    </w:p>
    <w:p>
      <w:pPr>
        <w:spacing w:line="360" w:lineRule="auto"/>
        <w:ind w:firstLine="420"/>
        <w:jc w:val="center"/>
        <w:rPr>
          <w:rFonts w:asciiTheme="minorEastAsia" w:hAnsiTheme="minorEastAsia" w:eastAsiaTheme="minorEastAsia"/>
          <w:color w:val="auto"/>
          <w:sz w:val="24"/>
          <w:szCs w:val="24"/>
        </w:rPr>
      </w:pPr>
      <w:bookmarkStart w:id="62" w:name="_Toc32076_WPSOffice_Level1"/>
      <w:bookmarkStart w:id="63" w:name="_Toc496001220"/>
      <w:bookmarkStart w:id="64" w:name="_Toc482026549"/>
      <w:r>
        <w:rPr>
          <w:rFonts w:hint="eastAsia" w:asciiTheme="minorEastAsia" w:hAnsiTheme="minorEastAsia" w:eastAsiaTheme="minorEastAsia"/>
          <w:color w:val="auto"/>
          <w:sz w:val="24"/>
          <w:szCs w:val="24"/>
        </w:rPr>
        <w:t>三．</w:t>
      </w:r>
      <w:r>
        <w:rPr>
          <w:rFonts w:asciiTheme="minorEastAsia" w:hAnsiTheme="minorEastAsia" w:eastAsiaTheme="minorEastAsia"/>
          <w:color w:val="auto"/>
          <w:sz w:val="24"/>
          <w:szCs w:val="24"/>
        </w:rPr>
        <w:t>法定代表人身份证明</w:t>
      </w:r>
      <w:bookmarkEnd w:id="62"/>
    </w:p>
    <w:p>
      <w:pPr>
        <w:spacing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投标人名称：</w:t>
      </w:r>
      <w:r>
        <w:rPr>
          <w:rFonts w:hint="eastAsia" w:asciiTheme="minorEastAsia" w:hAnsiTheme="minorEastAsia" w:eastAsiaTheme="minorEastAsia"/>
          <w:color w:val="auto"/>
          <w:sz w:val="24"/>
          <w:szCs w:val="24"/>
        </w:rPr>
        <w:t>__________________________</w:t>
      </w:r>
    </w:p>
    <w:p>
      <w:pPr>
        <w:spacing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姓名：</w:t>
      </w:r>
      <w:r>
        <w:rPr>
          <w:rFonts w:hint="eastAsia" w:asciiTheme="minorEastAsia" w:hAnsiTheme="minorEastAsia" w:eastAsiaTheme="minorEastAsia"/>
          <w:color w:val="auto"/>
          <w:sz w:val="24"/>
          <w:szCs w:val="24"/>
        </w:rPr>
        <w:t>_______________</w:t>
      </w:r>
      <w:r>
        <w:rPr>
          <w:rFonts w:asciiTheme="minorEastAsia" w:hAnsiTheme="minorEastAsia" w:eastAsiaTheme="minorEastAsia"/>
          <w:color w:val="auto"/>
          <w:sz w:val="24"/>
          <w:szCs w:val="24"/>
        </w:rPr>
        <w:t>性别：</w:t>
      </w:r>
      <w:r>
        <w:rPr>
          <w:rFonts w:hint="eastAsia" w:asciiTheme="minorEastAsia" w:hAnsiTheme="minorEastAsia" w:eastAsiaTheme="minorEastAsia"/>
          <w:color w:val="auto"/>
          <w:sz w:val="24"/>
          <w:szCs w:val="24"/>
        </w:rPr>
        <w:t>______________</w:t>
      </w:r>
      <w:r>
        <w:rPr>
          <w:rFonts w:asciiTheme="minorEastAsia" w:hAnsiTheme="minorEastAsia" w:eastAsiaTheme="minorEastAsia"/>
          <w:color w:val="auto"/>
          <w:sz w:val="24"/>
          <w:szCs w:val="24"/>
        </w:rPr>
        <w:t>年龄：</w:t>
      </w:r>
      <w:r>
        <w:rPr>
          <w:rFonts w:hint="eastAsia" w:asciiTheme="minorEastAsia" w:hAnsiTheme="minorEastAsia" w:eastAsiaTheme="minorEastAsia"/>
          <w:color w:val="auto"/>
          <w:sz w:val="24"/>
          <w:szCs w:val="24"/>
        </w:rPr>
        <w:t>_____________</w:t>
      </w:r>
      <w:r>
        <w:rPr>
          <w:rFonts w:asciiTheme="minorEastAsia" w:hAnsiTheme="minorEastAsia" w:eastAsiaTheme="minorEastAsia"/>
          <w:color w:val="auto"/>
          <w:sz w:val="24"/>
          <w:szCs w:val="24"/>
        </w:rPr>
        <w:t>职务：</w:t>
      </w:r>
      <w:r>
        <w:rPr>
          <w:rFonts w:hint="eastAsia" w:asciiTheme="minorEastAsia" w:hAnsiTheme="minorEastAsia" w:eastAsiaTheme="minorEastAsia"/>
          <w:color w:val="auto"/>
          <w:sz w:val="24"/>
          <w:szCs w:val="24"/>
        </w:rPr>
        <w:t>______________</w:t>
      </w:r>
      <w:r>
        <w:rPr>
          <w:rFonts w:asciiTheme="minorEastAsia" w:hAnsiTheme="minorEastAsia" w:eastAsiaTheme="minorEastAsia"/>
          <w:color w:val="auto"/>
          <w:sz w:val="24"/>
          <w:szCs w:val="24"/>
        </w:rPr>
        <w:t>系</w:t>
      </w:r>
      <w:r>
        <w:rPr>
          <w:rFonts w:hint="eastAsia" w:asciiTheme="minorEastAsia" w:hAnsiTheme="minorEastAsia" w:eastAsiaTheme="minorEastAsia"/>
          <w:color w:val="auto"/>
          <w:sz w:val="24"/>
          <w:szCs w:val="24"/>
        </w:rPr>
        <w:t>_________________</w:t>
      </w:r>
      <w:r>
        <w:rPr>
          <w:rFonts w:asciiTheme="minorEastAsia" w:hAnsiTheme="minorEastAsia" w:eastAsiaTheme="minorEastAsia"/>
          <w:color w:val="auto"/>
          <w:sz w:val="24"/>
          <w:szCs w:val="24"/>
        </w:rPr>
        <w:t xml:space="preserve">（投标人名称）的法定代表人。 </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特此证明。 </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附：法定代表人身份证复印件。</w:t>
      </w:r>
    </w:p>
    <w:p>
      <w:pPr>
        <w:spacing w:line="360" w:lineRule="auto"/>
        <w:ind w:firstLine="360" w:firstLineChars="15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 注：本身份证明需由投标人加盖单位公章。</w:t>
      </w:r>
    </w:p>
    <w:p>
      <w:pPr>
        <w:spacing w:line="360" w:lineRule="auto"/>
        <w:rPr>
          <w:rFonts w:asciiTheme="minorEastAsia" w:hAnsiTheme="minorEastAsia" w:eastAsiaTheme="minorEastAsia"/>
          <w:color w:val="auto"/>
          <w:sz w:val="24"/>
          <w:szCs w:val="24"/>
        </w:rPr>
      </w:pPr>
    </w:p>
    <w:p>
      <w:pPr>
        <w:spacing w:line="360" w:lineRule="auto"/>
        <w:rPr>
          <w:rFonts w:asciiTheme="minorEastAsia" w:hAnsiTheme="minorEastAsia" w:eastAsiaTheme="minorEastAsia"/>
          <w:color w:val="auto"/>
          <w:sz w:val="24"/>
          <w:szCs w:val="24"/>
        </w:rPr>
      </w:pPr>
    </w:p>
    <w:tbl>
      <w:tblPr>
        <w:tblStyle w:val="2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tcPr>
          <w:p>
            <w:pPr>
              <w:jc w:val="center"/>
              <w:rPr>
                <w:rFonts w:ascii="宋体" w:hAnsi="宋体"/>
                <w:color w:val="auto"/>
                <w:sz w:val="24"/>
                <w:szCs w:val="24"/>
              </w:rPr>
            </w:pPr>
          </w:p>
          <w:p>
            <w:pPr>
              <w:rPr>
                <w:rFonts w:ascii="宋体" w:hAnsi="宋体"/>
                <w:color w:val="auto"/>
                <w:sz w:val="24"/>
                <w:szCs w:val="24"/>
              </w:rPr>
            </w:pPr>
          </w:p>
          <w:p>
            <w:pPr>
              <w:ind w:firstLine="960" w:firstLineChars="400"/>
              <w:rPr>
                <w:rFonts w:ascii="宋体" w:hAnsi="宋体"/>
                <w:color w:val="auto"/>
                <w:sz w:val="24"/>
                <w:szCs w:val="24"/>
              </w:rPr>
            </w:pPr>
            <w:r>
              <w:rPr>
                <w:rFonts w:hint="eastAsia" w:ascii="宋体" w:hAnsi="宋体"/>
                <w:color w:val="auto"/>
                <w:sz w:val="24"/>
                <w:szCs w:val="24"/>
              </w:rPr>
              <w:t>法定代表人身份证扫描件</w:t>
            </w:r>
          </w:p>
          <w:p>
            <w:pPr>
              <w:jc w:val="center"/>
              <w:rPr>
                <w:rFonts w:ascii="宋体" w:hAnsi="宋体"/>
                <w:color w:val="auto"/>
                <w:sz w:val="24"/>
                <w:szCs w:val="24"/>
              </w:rPr>
            </w:pPr>
            <w:r>
              <w:rPr>
                <w:rFonts w:hint="eastAsia" w:ascii="宋体" w:hAnsi="宋体"/>
                <w:color w:val="auto"/>
                <w:sz w:val="24"/>
                <w:szCs w:val="24"/>
              </w:rPr>
              <w:t>（本证件需直接扫描，不允许粘贴）</w:t>
            </w:r>
          </w:p>
          <w:p>
            <w:pPr>
              <w:jc w:val="center"/>
              <w:rPr>
                <w:rFonts w:ascii="宋体" w:hAnsi="宋体"/>
                <w:color w:val="auto"/>
                <w:sz w:val="24"/>
                <w:szCs w:val="24"/>
              </w:rPr>
            </w:pPr>
            <w:r>
              <w:rPr>
                <w:rFonts w:hint="eastAsia" w:ascii="宋体" w:hAnsi="宋体"/>
                <w:color w:val="auto"/>
                <w:sz w:val="24"/>
                <w:szCs w:val="24"/>
              </w:rPr>
              <w:t>正面</w:t>
            </w:r>
          </w:p>
        </w:tc>
        <w:tc>
          <w:tcPr>
            <w:tcW w:w="4814" w:type="dxa"/>
          </w:tcPr>
          <w:p>
            <w:pPr>
              <w:jc w:val="center"/>
              <w:rPr>
                <w:rFonts w:ascii="宋体" w:hAnsi="宋体"/>
                <w:color w:val="auto"/>
                <w:sz w:val="24"/>
                <w:szCs w:val="24"/>
              </w:rPr>
            </w:pPr>
          </w:p>
          <w:p>
            <w:pPr>
              <w:rPr>
                <w:rFonts w:ascii="宋体" w:hAnsi="宋体"/>
                <w:color w:val="auto"/>
                <w:sz w:val="24"/>
                <w:szCs w:val="24"/>
              </w:rPr>
            </w:pPr>
          </w:p>
          <w:p>
            <w:pPr>
              <w:ind w:firstLine="960" w:firstLineChars="400"/>
              <w:rPr>
                <w:rFonts w:ascii="宋体" w:hAnsi="宋体"/>
                <w:color w:val="auto"/>
                <w:sz w:val="24"/>
                <w:szCs w:val="24"/>
              </w:rPr>
            </w:pPr>
            <w:r>
              <w:rPr>
                <w:rFonts w:hint="eastAsia" w:ascii="宋体" w:hAnsi="宋体"/>
                <w:color w:val="auto"/>
                <w:sz w:val="24"/>
                <w:szCs w:val="24"/>
              </w:rPr>
              <w:t>法定代表人身份证扫描件</w:t>
            </w:r>
          </w:p>
          <w:p>
            <w:pPr>
              <w:jc w:val="center"/>
              <w:rPr>
                <w:rFonts w:ascii="宋体" w:hAnsi="宋体"/>
                <w:color w:val="auto"/>
                <w:sz w:val="24"/>
                <w:szCs w:val="24"/>
              </w:rPr>
            </w:pPr>
            <w:r>
              <w:rPr>
                <w:rFonts w:hint="eastAsia" w:ascii="宋体" w:hAnsi="宋体"/>
                <w:color w:val="auto"/>
                <w:sz w:val="24"/>
                <w:szCs w:val="24"/>
              </w:rPr>
              <w:t>（本证件需直接扫描，不允许粘贴）</w:t>
            </w:r>
          </w:p>
          <w:p>
            <w:pPr>
              <w:jc w:val="center"/>
              <w:rPr>
                <w:rFonts w:ascii="宋体" w:hAnsi="宋体"/>
                <w:color w:val="auto"/>
                <w:sz w:val="24"/>
                <w:szCs w:val="24"/>
              </w:rPr>
            </w:pPr>
            <w:r>
              <w:rPr>
                <w:rFonts w:hint="eastAsia" w:ascii="宋体" w:hAnsi="宋体"/>
                <w:color w:val="auto"/>
                <w:sz w:val="24"/>
                <w:szCs w:val="24"/>
              </w:rPr>
              <w:t>反面</w:t>
            </w:r>
          </w:p>
        </w:tc>
      </w:tr>
    </w:tbl>
    <w:p>
      <w:pPr>
        <w:spacing w:line="360" w:lineRule="auto"/>
        <w:rPr>
          <w:rFonts w:asciiTheme="minorEastAsia" w:hAnsiTheme="minorEastAsia" w:eastAsiaTheme="minorEastAsia"/>
          <w:color w:val="auto"/>
          <w:sz w:val="24"/>
          <w:szCs w:val="24"/>
        </w:rPr>
      </w:pPr>
    </w:p>
    <w:p>
      <w:pPr>
        <w:spacing w:line="360" w:lineRule="auto"/>
        <w:ind w:firstLine="4920" w:firstLineChars="2050"/>
        <w:rPr>
          <w:rFonts w:asciiTheme="minorEastAsia" w:hAnsiTheme="minorEastAsia" w:eastAsiaTheme="minorEastAsia"/>
          <w:color w:val="auto"/>
          <w:sz w:val="24"/>
          <w:szCs w:val="24"/>
        </w:rPr>
      </w:pPr>
    </w:p>
    <w:p>
      <w:pPr>
        <w:spacing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投标人：</w:t>
      </w:r>
      <w:r>
        <w:rPr>
          <w:rFonts w:hint="eastAsia" w:asciiTheme="minorEastAsia" w:hAnsiTheme="minorEastAsia" w:eastAsiaTheme="minorEastAsia"/>
          <w:color w:val="auto"/>
          <w:sz w:val="24"/>
          <w:szCs w:val="24"/>
        </w:rPr>
        <w:t>_________________</w:t>
      </w:r>
      <w:r>
        <w:rPr>
          <w:rFonts w:asciiTheme="minorEastAsia" w:hAnsiTheme="minorEastAsia" w:eastAsiaTheme="minorEastAsia"/>
          <w:color w:val="auto"/>
          <w:sz w:val="24"/>
          <w:szCs w:val="24"/>
        </w:rPr>
        <w:t>（盖单位章）</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_______</w:t>
      </w:r>
      <w:r>
        <w:rPr>
          <w:rFonts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rPr>
        <w:t>______</w:t>
      </w:r>
      <w:r>
        <w:rPr>
          <w:rFonts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rPr>
        <w:t>_______</w:t>
      </w:r>
      <w:r>
        <w:rPr>
          <w:rFonts w:asciiTheme="minorEastAsia" w:hAnsiTheme="minorEastAsia" w:eastAsiaTheme="minorEastAsia"/>
          <w:color w:val="auto"/>
          <w:sz w:val="24"/>
          <w:szCs w:val="24"/>
        </w:rPr>
        <w:t xml:space="preserve">日 </w:t>
      </w:r>
    </w:p>
    <w:p>
      <w:pPr>
        <w:spacing w:line="360" w:lineRule="auto"/>
        <w:jc w:val="center"/>
        <w:rPr>
          <w:rFonts w:asciiTheme="minorEastAsia" w:hAnsiTheme="minorEastAsia" w:eastAsiaTheme="minorEastAsia"/>
          <w:b/>
          <w:color w:val="auto"/>
          <w:sz w:val="24"/>
          <w:szCs w:val="24"/>
        </w:rPr>
      </w:pPr>
    </w:p>
    <w:p>
      <w:pPr>
        <w:widowControl/>
        <w:spacing w:line="360" w:lineRule="auto"/>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br w:type="page"/>
      </w:r>
    </w:p>
    <w:p>
      <w:pPr>
        <w:spacing w:line="360" w:lineRule="auto"/>
        <w:ind w:firstLine="420"/>
        <w:jc w:val="center"/>
        <w:rPr>
          <w:rFonts w:asciiTheme="minorEastAsia" w:hAnsiTheme="minorEastAsia" w:eastAsiaTheme="minorEastAsia"/>
          <w:color w:val="auto"/>
          <w:sz w:val="24"/>
          <w:szCs w:val="24"/>
        </w:rPr>
      </w:pPr>
      <w:bookmarkStart w:id="65" w:name="_Toc12829_WPSOffice_Level1"/>
      <w:r>
        <w:rPr>
          <w:rFonts w:hint="eastAsia" w:asciiTheme="minorEastAsia" w:hAnsiTheme="minorEastAsia" w:eastAsiaTheme="minorEastAsia"/>
          <w:color w:val="auto"/>
          <w:sz w:val="24"/>
          <w:szCs w:val="24"/>
        </w:rPr>
        <w:t>四．</w:t>
      </w:r>
      <w:r>
        <w:rPr>
          <w:rFonts w:asciiTheme="minorEastAsia" w:hAnsiTheme="minorEastAsia" w:eastAsiaTheme="minorEastAsia"/>
          <w:color w:val="auto"/>
          <w:sz w:val="24"/>
          <w:szCs w:val="24"/>
        </w:rPr>
        <w:t>授权委托人身份证明</w:t>
      </w:r>
      <w:bookmarkEnd w:id="65"/>
    </w:p>
    <w:p>
      <w:pPr>
        <w:spacing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投标人名称：</w:t>
      </w:r>
      <w:r>
        <w:rPr>
          <w:rFonts w:hint="eastAsia" w:asciiTheme="minorEastAsia" w:hAnsiTheme="minorEastAsia" w:eastAsiaTheme="minorEastAsia"/>
          <w:color w:val="auto"/>
          <w:sz w:val="24"/>
          <w:szCs w:val="24"/>
        </w:rPr>
        <w:t>__________________________</w:t>
      </w:r>
    </w:p>
    <w:p>
      <w:pPr>
        <w:spacing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姓名：</w:t>
      </w:r>
      <w:r>
        <w:rPr>
          <w:rFonts w:hint="eastAsia" w:asciiTheme="minorEastAsia" w:hAnsiTheme="minorEastAsia" w:eastAsiaTheme="minorEastAsia"/>
          <w:color w:val="auto"/>
          <w:sz w:val="24"/>
          <w:szCs w:val="24"/>
        </w:rPr>
        <w:t>_______________</w:t>
      </w:r>
      <w:r>
        <w:rPr>
          <w:rFonts w:asciiTheme="minorEastAsia" w:hAnsiTheme="minorEastAsia" w:eastAsiaTheme="minorEastAsia"/>
          <w:color w:val="auto"/>
          <w:sz w:val="24"/>
          <w:szCs w:val="24"/>
        </w:rPr>
        <w:t>性别：</w:t>
      </w:r>
      <w:r>
        <w:rPr>
          <w:rFonts w:hint="eastAsia" w:asciiTheme="minorEastAsia" w:hAnsiTheme="minorEastAsia" w:eastAsiaTheme="minorEastAsia"/>
          <w:color w:val="auto"/>
          <w:sz w:val="24"/>
          <w:szCs w:val="24"/>
        </w:rPr>
        <w:t>______________</w:t>
      </w:r>
      <w:r>
        <w:rPr>
          <w:rFonts w:asciiTheme="minorEastAsia" w:hAnsiTheme="minorEastAsia" w:eastAsiaTheme="minorEastAsia"/>
          <w:color w:val="auto"/>
          <w:sz w:val="24"/>
          <w:szCs w:val="24"/>
        </w:rPr>
        <w:t>年龄：</w:t>
      </w:r>
      <w:r>
        <w:rPr>
          <w:rFonts w:hint="eastAsia" w:asciiTheme="minorEastAsia" w:hAnsiTheme="minorEastAsia" w:eastAsiaTheme="minorEastAsia"/>
          <w:color w:val="auto"/>
          <w:sz w:val="24"/>
          <w:szCs w:val="24"/>
        </w:rPr>
        <w:t>_____________</w:t>
      </w:r>
      <w:r>
        <w:rPr>
          <w:rFonts w:asciiTheme="minorEastAsia" w:hAnsiTheme="minorEastAsia" w:eastAsiaTheme="minorEastAsia"/>
          <w:color w:val="auto"/>
          <w:sz w:val="24"/>
          <w:szCs w:val="24"/>
        </w:rPr>
        <w:t>职务：</w:t>
      </w:r>
      <w:r>
        <w:rPr>
          <w:rFonts w:hint="eastAsia" w:asciiTheme="minorEastAsia" w:hAnsiTheme="minorEastAsia" w:eastAsiaTheme="minorEastAsia"/>
          <w:color w:val="auto"/>
          <w:sz w:val="24"/>
          <w:szCs w:val="24"/>
        </w:rPr>
        <w:t>______________</w:t>
      </w:r>
      <w:r>
        <w:rPr>
          <w:rFonts w:asciiTheme="minorEastAsia" w:hAnsiTheme="minorEastAsia" w:eastAsiaTheme="minorEastAsia"/>
          <w:color w:val="auto"/>
          <w:sz w:val="24"/>
          <w:szCs w:val="24"/>
        </w:rPr>
        <w:t>系</w:t>
      </w:r>
      <w:r>
        <w:rPr>
          <w:rFonts w:hint="eastAsia" w:asciiTheme="minorEastAsia" w:hAnsiTheme="minorEastAsia" w:eastAsiaTheme="minorEastAsia"/>
          <w:color w:val="auto"/>
          <w:sz w:val="24"/>
          <w:szCs w:val="24"/>
        </w:rPr>
        <w:t>_________________</w:t>
      </w:r>
      <w:r>
        <w:rPr>
          <w:rFonts w:asciiTheme="minorEastAsia" w:hAnsiTheme="minorEastAsia" w:eastAsiaTheme="minorEastAsia"/>
          <w:color w:val="auto"/>
          <w:sz w:val="24"/>
          <w:szCs w:val="24"/>
        </w:rPr>
        <w:t>（投标人名称）的</w:t>
      </w:r>
      <w:r>
        <w:rPr>
          <w:rFonts w:hint="eastAsia" w:asciiTheme="minorEastAsia" w:hAnsiTheme="minorEastAsia" w:eastAsiaTheme="minorEastAsia"/>
          <w:color w:val="auto"/>
          <w:sz w:val="24"/>
          <w:szCs w:val="24"/>
        </w:rPr>
        <w:t>授权委托</w:t>
      </w:r>
      <w:r>
        <w:rPr>
          <w:rFonts w:asciiTheme="minorEastAsia" w:hAnsiTheme="minorEastAsia" w:eastAsiaTheme="minorEastAsia"/>
          <w:color w:val="auto"/>
          <w:sz w:val="24"/>
          <w:szCs w:val="24"/>
        </w:rPr>
        <w:t xml:space="preserve">人。 </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特此证明。 </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附：</w:t>
      </w:r>
      <w:r>
        <w:rPr>
          <w:rFonts w:hint="eastAsia" w:asciiTheme="minorEastAsia" w:hAnsiTheme="minorEastAsia" w:eastAsiaTheme="minorEastAsia"/>
          <w:color w:val="auto"/>
          <w:sz w:val="24"/>
          <w:szCs w:val="24"/>
        </w:rPr>
        <w:t>授权委托</w:t>
      </w:r>
      <w:r>
        <w:rPr>
          <w:rFonts w:asciiTheme="minorEastAsia" w:hAnsiTheme="minorEastAsia" w:eastAsiaTheme="minorEastAsia"/>
          <w:color w:val="auto"/>
          <w:sz w:val="24"/>
          <w:szCs w:val="24"/>
        </w:rPr>
        <w:t>人身份证复印件。</w:t>
      </w:r>
    </w:p>
    <w:p>
      <w:pPr>
        <w:spacing w:line="360" w:lineRule="auto"/>
        <w:ind w:firstLine="360" w:firstLineChars="15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 注：本身份证明需由投标人加盖单位公章。</w:t>
      </w:r>
    </w:p>
    <w:p>
      <w:pPr>
        <w:spacing w:line="360" w:lineRule="auto"/>
        <w:ind w:firstLine="4920" w:firstLineChars="2050"/>
        <w:rPr>
          <w:rFonts w:asciiTheme="minorEastAsia" w:hAnsiTheme="minorEastAsia" w:eastAsiaTheme="minorEastAsia"/>
          <w:color w:val="auto"/>
          <w:sz w:val="24"/>
          <w:szCs w:val="24"/>
        </w:rPr>
      </w:pPr>
    </w:p>
    <w:p>
      <w:pPr>
        <w:spacing w:line="360" w:lineRule="auto"/>
        <w:ind w:firstLine="4920" w:firstLineChars="2050"/>
        <w:rPr>
          <w:rFonts w:asciiTheme="minorEastAsia" w:hAnsiTheme="minorEastAsia" w:eastAsiaTheme="minorEastAsia"/>
          <w:color w:val="auto"/>
          <w:sz w:val="24"/>
          <w:szCs w:val="24"/>
        </w:rPr>
      </w:pPr>
    </w:p>
    <w:tbl>
      <w:tblPr>
        <w:tblStyle w:val="2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tcPr>
          <w:p>
            <w:pPr>
              <w:jc w:val="center"/>
              <w:rPr>
                <w:rFonts w:ascii="宋体" w:hAnsi="宋体"/>
                <w:color w:val="auto"/>
                <w:sz w:val="24"/>
                <w:szCs w:val="24"/>
              </w:rPr>
            </w:pPr>
          </w:p>
          <w:p>
            <w:pPr>
              <w:rPr>
                <w:rFonts w:ascii="宋体" w:hAnsi="宋体"/>
                <w:color w:val="auto"/>
                <w:sz w:val="24"/>
                <w:szCs w:val="24"/>
              </w:rPr>
            </w:pPr>
          </w:p>
          <w:p>
            <w:pPr>
              <w:ind w:firstLine="960" w:firstLineChars="400"/>
              <w:rPr>
                <w:rFonts w:ascii="宋体" w:hAnsi="宋体"/>
                <w:color w:val="auto"/>
                <w:sz w:val="24"/>
                <w:szCs w:val="24"/>
              </w:rPr>
            </w:pPr>
            <w:r>
              <w:rPr>
                <w:rFonts w:hint="eastAsia" w:asciiTheme="minorEastAsia" w:hAnsiTheme="minorEastAsia" w:eastAsiaTheme="minorEastAsia"/>
                <w:color w:val="auto"/>
                <w:sz w:val="24"/>
                <w:szCs w:val="24"/>
              </w:rPr>
              <w:t>授权委托人</w:t>
            </w:r>
            <w:r>
              <w:rPr>
                <w:rFonts w:hint="eastAsia" w:ascii="宋体" w:hAnsi="宋体"/>
                <w:color w:val="auto"/>
                <w:sz w:val="24"/>
                <w:szCs w:val="24"/>
              </w:rPr>
              <w:t>身份证扫描件</w:t>
            </w:r>
          </w:p>
          <w:p>
            <w:pPr>
              <w:jc w:val="center"/>
              <w:rPr>
                <w:rFonts w:ascii="宋体" w:hAnsi="宋体"/>
                <w:color w:val="auto"/>
                <w:sz w:val="24"/>
                <w:szCs w:val="24"/>
              </w:rPr>
            </w:pPr>
            <w:r>
              <w:rPr>
                <w:rFonts w:hint="eastAsia" w:ascii="宋体" w:hAnsi="宋体"/>
                <w:color w:val="auto"/>
                <w:sz w:val="24"/>
                <w:szCs w:val="24"/>
              </w:rPr>
              <w:t>（本证件需直接扫描，不允许粘贴）</w:t>
            </w:r>
          </w:p>
          <w:p>
            <w:pPr>
              <w:jc w:val="center"/>
              <w:rPr>
                <w:rFonts w:ascii="宋体" w:hAnsi="宋体"/>
                <w:color w:val="auto"/>
                <w:sz w:val="24"/>
                <w:szCs w:val="24"/>
              </w:rPr>
            </w:pPr>
            <w:r>
              <w:rPr>
                <w:rFonts w:hint="eastAsia" w:ascii="宋体" w:hAnsi="宋体"/>
                <w:color w:val="auto"/>
                <w:sz w:val="24"/>
                <w:szCs w:val="24"/>
              </w:rPr>
              <w:t>正面</w:t>
            </w:r>
          </w:p>
        </w:tc>
        <w:tc>
          <w:tcPr>
            <w:tcW w:w="4814" w:type="dxa"/>
          </w:tcPr>
          <w:p>
            <w:pPr>
              <w:jc w:val="center"/>
              <w:rPr>
                <w:rFonts w:ascii="宋体" w:hAnsi="宋体"/>
                <w:color w:val="auto"/>
                <w:sz w:val="24"/>
                <w:szCs w:val="24"/>
              </w:rPr>
            </w:pPr>
          </w:p>
          <w:p>
            <w:pPr>
              <w:rPr>
                <w:rFonts w:ascii="宋体" w:hAnsi="宋体"/>
                <w:color w:val="auto"/>
                <w:sz w:val="24"/>
                <w:szCs w:val="24"/>
              </w:rPr>
            </w:pPr>
          </w:p>
          <w:p>
            <w:pPr>
              <w:ind w:firstLine="960" w:firstLineChars="400"/>
              <w:rPr>
                <w:rFonts w:ascii="宋体" w:hAnsi="宋体"/>
                <w:color w:val="auto"/>
                <w:sz w:val="24"/>
                <w:szCs w:val="24"/>
              </w:rPr>
            </w:pPr>
            <w:r>
              <w:rPr>
                <w:rFonts w:hint="eastAsia" w:asciiTheme="minorEastAsia" w:hAnsiTheme="minorEastAsia" w:eastAsiaTheme="minorEastAsia"/>
                <w:color w:val="auto"/>
                <w:sz w:val="24"/>
                <w:szCs w:val="24"/>
              </w:rPr>
              <w:t>授权委托人</w:t>
            </w:r>
            <w:r>
              <w:rPr>
                <w:rFonts w:hint="eastAsia" w:ascii="宋体" w:hAnsi="宋体"/>
                <w:color w:val="auto"/>
                <w:sz w:val="24"/>
                <w:szCs w:val="24"/>
              </w:rPr>
              <w:t>身份证扫描件</w:t>
            </w:r>
          </w:p>
          <w:p>
            <w:pPr>
              <w:jc w:val="center"/>
              <w:rPr>
                <w:rFonts w:ascii="宋体" w:hAnsi="宋体"/>
                <w:color w:val="auto"/>
                <w:sz w:val="24"/>
                <w:szCs w:val="24"/>
              </w:rPr>
            </w:pPr>
            <w:r>
              <w:rPr>
                <w:rFonts w:hint="eastAsia" w:ascii="宋体" w:hAnsi="宋体"/>
                <w:color w:val="auto"/>
                <w:sz w:val="24"/>
                <w:szCs w:val="24"/>
              </w:rPr>
              <w:t>（本证件需直接扫描，不允许粘贴）</w:t>
            </w:r>
          </w:p>
          <w:p>
            <w:pPr>
              <w:jc w:val="center"/>
              <w:rPr>
                <w:rFonts w:ascii="宋体" w:hAnsi="宋体"/>
                <w:color w:val="auto"/>
                <w:sz w:val="24"/>
                <w:szCs w:val="24"/>
              </w:rPr>
            </w:pPr>
            <w:r>
              <w:rPr>
                <w:rFonts w:hint="eastAsia" w:ascii="宋体" w:hAnsi="宋体"/>
                <w:color w:val="auto"/>
                <w:sz w:val="24"/>
                <w:szCs w:val="24"/>
              </w:rPr>
              <w:t>反面</w:t>
            </w:r>
          </w:p>
        </w:tc>
      </w:tr>
    </w:tbl>
    <w:p>
      <w:pPr>
        <w:spacing w:line="360" w:lineRule="auto"/>
        <w:rPr>
          <w:rFonts w:asciiTheme="minorEastAsia" w:hAnsiTheme="minorEastAsia" w:eastAsiaTheme="minorEastAsia"/>
          <w:color w:val="auto"/>
          <w:sz w:val="24"/>
          <w:szCs w:val="24"/>
        </w:rPr>
      </w:pPr>
    </w:p>
    <w:p>
      <w:pPr>
        <w:spacing w:line="360" w:lineRule="auto"/>
        <w:rPr>
          <w:rFonts w:asciiTheme="minorEastAsia" w:hAnsiTheme="minorEastAsia" w:eastAsiaTheme="minorEastAsia"/>
          <w:color w:val="auto"/>
          <w:sz w:val="24"/>
          <w:szCs w:val="24"/>
        </w:rPr>
      </w:pPr>
    </w:p>
    <w:p>
      <w:pPr>
        <w:spacing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投标人：</w:t>
      </w:r>
      <w:r>
        <w:rPr>
          <w:rFonts w:hint="eastAsia" w:asciiTheme="minorEastAsia" w:hAnsiTheme="minorEastAsia" w:eastAsiaTheme="minorEastAsia"/>
          <w:color w:val="auto"/>
          <w:sz w:val="24"/>
          <w:szCs w:val="24"/>
        </w:rPr>
        <w:t>_________________</w:t>
      </w:r>
      <w:r>
        <w:rPr>
          <w:rFonts w:asciiTheme="minorEastAsia" w:hAnsiTheme="minorEastAsia" w:eastAsiaTheme="minorEastAsia"/>
          <w:color w:val="auto"/>
          <w:sz w:val="24"/>
          <w:szCs w:val="24"/>
        </w:rPr>
        <w:t>（盖单位章）</w:t>
      </w:r>
    </w:p>
    <w:p>
      <w:pPr>
        <w:spacing w:line="360" w:lineRule="auto"/>
        <w:jc w:val="left"/>
        <w:rPr>
          <w:rFonts w:asciiTheme="minorEastAsia" w:hAnsiTheme="minorEastAsia" w:eastAsiaTheme="minorEastAsia"/>
          <w:b/>
          <w:color w:val="auto"/>
          <w:sz w:val="24"/>
          <w:szCs w:val="24"/>
        </w:rPr>
      </w:pPr>
      <w:r>
        <w:rPr>
          <w:rFonts w:hint="eastAsia" w:asciiTheme="minorEastAsia" w:hAnsiTheme="minorEastAsia" w:eastAsiaTheme="minorEastAsia"/>
          <w:color w:val="auto"/>
          <w:sz w:val="24"/>
          <w:szCs w:val="24"/>
        </w:rPr>
        <w:t>_______</w:t>
      </w:r>
      <w:r>
        <w:rPr>
          <w:rFonts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rPr>
        <w:t>______</w:t>
      </w:r>
      <w:r>
        <w:rPr>
          <w:rFonts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rPr>
        <w:t>_______</w:t>
      </w:r>
      <w:r>
        <w:rPr>
          <w:rFonts w:asciiTheme="minorEastAsia" w:hAnsiTheme="minorEastAsia" w:eastAsiaTheme="minorEastAsia"/>
          <w:color w:val="auto"/>
          <w:sz w:val="24"/>
          <w:szCs w:val="24"/>
        </w:rPr>
        <w:t>日</w:t>
      </w:r>
      <w:r>
        <w:rPr>
          <w:rFonts w:asciiTheme="minorEastAsia" w:hAnsiTheme="minorEastAsia" w:eastAsiaTheme="minorEastAsia"/>
          <w:color w:val="auto"/>
          <w:sz w:val="24"/>
          <w:szCs w:val="24"/>
        </w:rPr>
        <w:br w:type="page"/>
      </w:r>
      <w:bookmarkEnd w:id="63"/>
    </w:p>
    <w:p>
      <w:pPr>
        <w:spacing w:line="360" w:lineRule="auto"/>
        <w:jc w:val="center"/>
        <w:rPr>
          <w:rFonts w:asciiTheme="minorEastAsia" w:hAnsiTheme="minorEastAsia" w:eastAsiaTheme="minorEastAsia"/>
          <w:color w:val="auto"/>
          <w:sz w:val="24"/>
          <w:szCs w:val="24"/>
        </w:rPr>
      </w:pPr>
      <w:bookmarkStart w:id="66" w:name="_Toc28748_WPSOffice_Level1"/>
      <w:r>
        <w:rPr>
          <w:rFonts w:hint="eastAsia" w:asciiTheme="minorEastAsia" w:hAnsiTheme="minorEastAsia" w:eastAsiaTheme="minorEastAsia"/>
          <w:color w:val="auto"/>
          <w:sz w:val="24"/>
          <w:szCs w:val="24"/>
        </w:rPr>
        <w:t>五．</w:t>
      </w:r>
      <w:r>
        <w:rPr>
          <w:rFonts w:asciiTheme="minorEastAsia" w:hAnsiTheme="minorEastAsia" w:eastAsiaTheme="minorEastAsia"/>
          <w:color w:val="auto"/>
          <w:sz w:val="24"/>
          <w:szCs w:val="24"/>
        </w:rPr>
        <w:t>授权委托书</w:t>
      </w:r>
      <w:bookmarkEnd w:id="66"/>
    </w:p>
    <w:p>
      <w:pPr>
        <w:spacing w:line="360" w:lineRule="auto"/>
        <w:ind w:firstLine="5160" w:firstLineChars="2150"/>
        <w:jc w:val="center"/>
        <w:rPr>
          <w:rFonts w:asciiTheme="minorEastAsia" w:hAnsiTheme="minorEastAsia" w:eastAsiaTheme="minorEastAsia"/>
          <w:color w:val="auto"/>
          <w:sz w:val="24"/>
          <w:szCs w:val="24"/>
        </w:rPr>
      </w:pPr>
    </w:p>
    <w:p>
      <w:pPr>
        <w:spacing w:line="360" w:lineRule="auto"/>
        <w:ind w:firstLine="360" w:firstLineChars="15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本人</w:t>
      </w:r>
      <w:r>
        <w:rPr>
          <w:rFonts w:hint="eastAsia" w:asciiTheme="minorEastAsia" w:hAnsiTheme="minorEastAsia" w:eastAsiaTheme="minorEastAsia"/>
          <w:color w:val="auto"/>
          <w:sz w:val="24"/>
          <w:szCs w:val="24"/>
        </w:rPr>
        <w:t>_________________</w:t>
      </w:r>
      <w:r>
        <w:rPr>
          <w:rFonts w:asciiTheme="minorEastAsia" w:hAnsiTheme="minorEastAsia" w:eastAsiaTheme="minorEastAsia"/>
          <w:color w:val="auto"/>
          <w:sz w:val="24"/>
          <w:szCs w:val="24"/>
        </w:rPr>
        <w:t>（姓名）系</w:t>
      </w:r>
      <w:r>
        <w:rPr>
          <w:rFonts w:hint="eastAsia" w:asciiTheme="minorEastAsia" w:hAnsiTheme="minorEastAsia" w:eastAsiaTheme="minorEastAsia"/>
          <w:color w:val="auto"/>
          <w:sz w:val="24"/>
          <w:szCs w:val="24"/>
        </w:rPr>
        <w:t>_________________</w:t>
      </w:r>
      <w:r>
        <w:rPr>
          <w:rFonts w:asciiTheme="minorEastAsia" w:hAnsiTheme="minorEastAsia" w:eastAsiaTheme="minorEastAsia"/>
          <w:color w:val="auto"/>
          <w:sz w:val="24"/>
          <w:szCs w:val="24"/>
        </w:rPr>
        <w:t>（投标人名称）的法定代表人，现委托</w:t>
      </w:r>
      <w:r>
        <w:rPr>
          <w:rFonts w:hint="eastAsia" w:asciiTheme="minorEastAsia" w:hAnsiTheme="minorEastAsia" w:eastAsiaTheme="minorEastAsia"/>
          <w:color w:val="auto"/>
          <w:sz w:val="24"/>
          <w:szCs w:val="24"/>
        </w:rPr>
        <w:t>_________________</w:t>
      </w:r>
      <w:r>
        <w:rPr>
          <w:rFonts w:asciiTheme="minorEastAsia" w:hAnsiTheme="minorEastAsia" w:eastAsiaTheme="minorEastAsia"/>
          <w:color w:val="auto"/>
          <w:sz w:val="24"/>
          <w:szCs w:val="24"/>
        </w:rPr>
        <w:t>（姓名）为我方代理人。代理人根据授权，以我方名义签署、澄清确认、递 交、撤回、修改招标项目投标文件、签订合同和处理有关事宜，其法律后果由我方承担。委托期限：</w:t>
      </w:r>
      <w:r>
        <w:rPr>
          <w:rFonts w:hint="eastAsia" w:asciiTheme="minorEastAsia" w:hAnsiTheme="minorEastAsia" w:eastAsiaTheme="minorEastAsia"/>
          <w:color w:val="auto"/>
          <w:sz w:val="24"/>
          <w:szCs w:val="24"/>
        </w:rPr>
        <w:t>_________________</w:t>
      </w:r>
      <w:r>
        <w:rPr>
          <w:rFonts w:asciiTheme="minorEastAsia" w:hAnsiTheme="minorEastAsia" w:eastAsiaTheme="minorEastAsia"/>
          <w:color w:val="auto"/>
          <w:sz w:val="24"/>
          <w:szCs w:val="24"/>
        </w:rPr>
        <w:t>。</w:t>
      </w:r>
    </w:p>
    <w:p>
      <w:pPr>
        <w:spacing w:line="360" w:lineRule="auto"/>
        <w:ind w:firstLine="360" w:firstLineChars="15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 代理人无转委托权。 </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注：本授权委托书需由投标人加盖单位公章并由其法定代表人和委托代理人签字。 </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投 标 人：</w:t>
      </w:r>
      <w:r>
        <w:rPr>
          <w:rFonts w:hint="eastAsia" w:asciiTheme="minorEastAsia" w:hAnsiTheme="minorEastAsia" w:eastAsiaTheme="minorEastAsia"/>
          <w:color w:val="auto"/>
          <w:sz w:val="24"/>
          <w:szCs w:val="24"/>
        </w:rPr>
        <w:t>_________________</w:t>
      </w:r>
      <w:r>
        <w:rPr>
          <w:rFonts w:asciiTheme="minorEastAsia" w:hAnsiTheme="minorEastAsia" w:eastAsiaTheme="minorEastAsia"/>
          <w:color w:val="auto"/>
          <w:sz w:val="24"/>
          <w:szCs w:val="24"/>
        </w:rPr>
        <w:t xml:space="preserve">（盖单位章） </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法定代表人：</w:t>
      </w:r>
      <w:r>
        <w:rPr>
          <w:rFonts w:hint="eastAsia" w:asciiTheme="minorEastAsia" w:hAnsiTheme="minorEastAsia" w:eastAsiaTheme="minorEastAsia"/>
          <w:color w:val="auto"/>
          <w:sz w:val="24"/>
          <w:szCs w:val="24"/>
        </w:rPr>
        <w:t>_________________</w:t>
      </w:r>
      <w:r>
        <w:rPr>
          <w:rFonts w:asciiTheme="minorEastAsia" w:hAnsiTheme="minorEastAsia" w:eastAsiaTheme="minorEastAsia"/>
          <w:color w:val="auto"/>
          <w:sz w:val="24"/>
          <w:szCs w:val="24"/>
        </w:rPr>
        <w:t xml:space="preserve">（签字） </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身份证号码：</w:t>
      </w:r>
      <w:r>
        <w:rPr>
          <w:rFonts w:hint="eastAsia" w:asciiTheme="minorEastAsia" w:hAnsiTheme="minorEastAsia" w:eastAsiaTheme="minorEastAsia"/>
          <w:color w:val="auto"/>
          <w:sz w:val="24"/>
          <w:szCs w:val="24"/>
        </w:rPr>
        <w:t>_________________</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委托代理人：</w:t>
      </w:r>
      <w:r>
        <w:rPr>
          <w:rFonts w:hint="eastAsia" w:asciiTheme="minorEastAsia" w:hAnsiTheme="minorEastAsia" w:eastAsiaTheme="minorEastAsia"/>
          <w:color w:val="auto"/>
          <w:sz w:val="24"/>
          <w:szCs w:val="24"/>
        </w:rPr>
        <w:t>_________________</w:t>
      </w:r>
      <w:r>
        <w:rPr>
          <w:rFonts w:asciiTheme="minorEastAsia" w:hAnsiTheme="minorEastAsia" w:eastAsiaTheme="minorEastAsia"/>
          <w:color w:val="auto"/>
          <w:sz w:val="24"/>
          <w:szCs w:val="24"/>
        </w:rPr>
        <w:t xml:space="preserve">（签字） </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身份证号码：</w:t>
      </w:r>
      <w:r>
        <w:rPr>
          <w:rFonts w:hint="eastAsia" w:asciiTheme="minorEastAsia" w:hAnsiTheme="minorEastAsia" w:eastAsiaTheme="minorEastAsia"/>
          <w:color w:val="auto"/>
          <w:sz w:val="24"/>
          <w:szCs w:val="24"/>
        </w:rPr>
        <w:t>_________________</w:t>
      </w:r>
    </w:p>
    <w:p>
      <w:pPr>
        <w:pStyle w:val="16"/>
        <w:spacing w:line="360" w:lineRule="auto"/>
        <w:ind w:right="57"/>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single"/>
        </w:rPr>
        <w:t>_____</w:t>
      </w:r>
      <w:r>
        <w:rPr>
          <w:rFonts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u w:val="single"/>
        </w:rPr>
        <w:t>______</w:t>
      </w:r>
      <w:r>
        <w:rPr>
          <w:rFonts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u w:val="single"/>
        </w:rPr>
        <w:t>______</w:t>
      </w:r>
      <w:r>
        <w:rPr>
          <w:rFonts w:asciiTheme="minorEastAsia" w:hAnsiTheme="minorEastAsia" w:eastAsiaTheme="minorEastAsia"/>
          <w:color w:val="auto"/>
          <w:sz w:val="24"/>
          <w:szCs w:val="24"/>
        </w:rPr>
        <w:t>日</w:t>
      </w:r>
    </w:p>
    <w:p>
      <w:pPr>
        <w:spacing w:line="360" w:lineRule="auto"/>
        <w:rPr>
          <w:rFonts w:asciiTheme="minorEastAsia" w:hAnsiTheme="minorEastAsia" w:eastAsiaTheme="minorEastAsia"/>
          <w:color w:val="auto"/>
          <w:sz w:val="24"/>
          <w:szCs w:val="24"/>
        </w:rPr>
      </w:pPr>
    </w:p>
    <w:p>
      <w:pPr>
        <w:spacing w:line="360" w:lineRule="auto"/>
        <w:rPr>
          <w:rFonts w:asciiTheme="minorEastAsia" w:hAnsiTheme="minorEastAsia" w:eastAsiaTheme="minorEastAsia"/>
          <w:color w:val="auto"/>
          <w:sz w:val="24"/>
          <w:szCs w:val="24"/>
        </w:rPr>
      </w:pPr>
    </w:p>
    <w:p>
      <w:pPr>
        <w:spacing w:line="360" w:lineRule="auto"/>
        <w:rPr>
          <w:rFonts w:asciiTheme="minorEastAsia" w:hAnsiTheme="minorEastAsia" w:eastAsiaTheme="minorEastAsia"/>
          <w:color w:val="auto"/>
          <w:sz w:val="24"/>
          <w:szCs w:val="24"/>
        </w:rPr>
      </w:pPr>
    </w:p>
    <w:p>
      <w:pPr>
        <w:spacing w:line="360" w:lineRule="auto"/>
        <w:rPr>
          <w:rFonts w:asciiTheme="minorEastAsia" w:hAnsiTheme="minorEastAsia" w:eastAsiaTheme="minorEastAsia"/>
          <w:color w:val="auto"/>
          <w:sz w:val="24"/>
          <w:szCs w:val="24"/>
        </w:rPr>
      </w:pPr>
    </w:p>
    <w:p>
      <w:pPr>
        <w:spacing w:line="360" w:lineRule="auto"/>
        <w:rPr>
          <w:rFonts w:asciiTheme="minorEastAsia" w:hAnsiTheme="minorEastAsia" w:eastAsiaTheme="minorEastAsia"/>
          <w:color w:val="auto"/>
          <w:sz w:val="24"/>
          <w:szCs w:val="24"/>
        </w:rPr>
      </w:pPr>
    </w:p>
    <w:p>
      <w:pPr>
        <w:widowControl/>
        <w:spacing w:line="360" w:lineRule="auto"/>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br w:type="page"/>
      </w:r>
    </w:p>
    <w:p>
      <w:pPr>
        <w:spacing w:line="360" w:lineRule="auto"/>
        <w:jc w:val="center"/>
        <w:rPr>
          <w:rFonts w:asciiTheme="minorEastAsia" w:hAnsiTheme="minorEastAsia" w:eastAsiaTheme="minorEastAsia"/>
          <w:color w:val="auto"/>
          <w:sz w:val="24"/>
          <w:szCs w:val="24"/>
        </w:rPr>
      </w:pPr>
      <w:bookmarkStart w:id="67" w:name="_Toc29578_WPSOffice_Level1"/>
      <w:r>
        <w:rPr>
          <w:rFonts w:hint="eastAsia" w:asciiTheme="minorEastAsia" w:hAnsiTheme="minorEastAsia" w:eastAsiaTheme="minorEastAsia"/>
          <w:bCs/>
          <w:color w:val="auto"/>
          <w:sz w:val="24"/>
          <w:szCs w:val="24"/>
        </w:rPr>
        <w:t>六．</w:t>
      </w:r>
      <w:r>
        <w:rPr>
          <w:rFonts w:asciiTheme="minorEastAsia" w:hAnsiTheme="minorEastAsia" w:eastAsiaTheme="minorEastAsia"/>
          <w:bCs/>
          <w:color w:val="auto"/>
          <w:sz w:val="24"/>
          <w:szCs w:val="24"/>
        </w:rPr>
        <w:t>投标保证金</w:t>
      </w:r>
      <w:bookmarkEnd w:id="67"/>
    </w:p>
    <w:p>
      <w:pPr>
        <w:spacing w:line="360" w:lineRule="auto"/>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投标人应在此提供</w:t>
      </w:r>
      <w:r>
        <w:rPr>
          <w:rFonts w:hint="eastAsia" w:asciiTheme="minorEastAsia" w:hAnsiTheme="minorEastAsia" w:eastAsiaTheme="minorEastAsia"/>
          <w:color w:val="auto"/>
          <w:sz w:val="24"/>
          <w:szCs w:val="24"/>
        </w:rPr>
        <w:t>保证金</w:t>
      </w:r>
      <w:r>
        <w:rPr>
          <w:rFonts w:asciiTheme="minorEastAsia" w:hAnsiTheme="minorEastAsia" w:eastAsiaTheme="minorEastAsia"/>
          <w:color w:val="auto"/>
          <w:sz w:val="24"/>
          <w:szCs w:val="24"/>
        </w:rPr>
        <w:t xml:space="preserve">汇款凭证的复印件。 </w:t>
      </w:r>
    </w:p>
    <w:p>
      <w:pPr>
        <w:widowControl/>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br w:type="page"/>
      </w:r>
    </w:p>
    <w:p>
      <w:pPr>
        <w:spacing w:line="360" w:lineRule="auto"/>
        <w:jc w:val="center"/>
        <w:rPr>
          <w:rFonts w:asciiTheme="minorEastAsia" w:hAnsiTheme="minorEastAsia" w:eastAsiaTheme="minorEastAsia"/>
          <w:bCs/>
          <w:color w:val="auto"/>
          <w:sz w:val="24"/>
          <w:szCs w:val="24"/>
        </w:rPr>
      </w:pPr>
      <w:bookmarkStart w:id="68" w:name="_Toc30044_WPSOffice_Level1"/>
      <w:r>
        <w:rPr>
          <w:rFonts w:hint="eastAsia" w:asciiTheme="minorEastAsia" w:hAnsiTheme="minorEastAsia" w:eastAsiaTheme="minorEastAsia"/>
          <w:bCs/>
          <w:color w:val="auto"/>
          <w:sz w:val="24"/>
          <w:szCs w:val="24"/>
        </w:rPr>
        <w:t>七．</w:t>
      </w:r>
      <w:r>
        <w:rPr>
          <w:rFonts w:asciiTheme="minorEastAsia" w:hAnsiTheme="minorEastAsia" w:eastAsiaTheme="minorEastAsia"/>
          <w:bCs/>
          <w:color w:val="auto"/>
          <w:sz w:val="24"/>
          <w:szCs w:val="24"/>
        </w:rPr>
        <w:t>联合体协议书</w:t>
      </w:r>
      <w:bookmarkEnd w:id="68"/>
    </w:p>
    <w:p>
      <w:pPr>
        <w:spacing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______________________________</w:t>
      </w:r>
      <w:r>
        <w:rPr>
          <w:rFonts w:asciiTheme="minorEastAsia" w:hAnsiTheme="minorEastAsia" w:eastAsiaTheme="minorEastAsia"/>
          <w:color w:val="auto"/>
          <w:sz w:val="24"/>
          <w:szCs w:val="24"/>
        </w:rPr>
        <w:t>（所有成员单位名称）自愿组成</w:t>
      </w:r>
      <w:r>
        <w:rPr>
          <w:rFonts w:hint="eastAsia" w:asciiTheme="minorEastAsia" w:hAnsiTheme="minorEastAsia" w:eastAsiaTheme="minorEastAsia"/>
          <w:color w:val="auto"/>
          <w:sz w:val="24"/>
          <w:szCs w:val="24"/>
        </w:rPr>
        <w:t>_________________</w:t>
      </w:r>
      <w:r>
        <w:rPr>
          <w:rFonts w:asciiTheme="minorEastAsia" w:hAnsiTheme="minorEastAsia" w:eastAsiaTheme="minorEastAsia"/>
          <w:color w:val="auto"/>
          <w:sz w:val="24"/>
          <w:szCs w:val="24"/>
        </w:rPr>
        <w:t>（联合体名称）联合体，共同参加</w:t>
      </w:r>
      <w:r>
        <w:rPr>
          <w:rFonts w:hint="eastAsia" w:asciiTheme="minorEastAsia" w:hAnsiTheme="minorEastAsia" w:eastAsiaTheme="minorEastAsia"/>
          <w:color w:val="auto"/>
          <w:sz w:val="24"/>
          <w:szCs w:val="24"/>
        </w:rPr>
        <w:t>_________________</w:t>
      </w:r>
      <w:r>
        <w:rPr>
          <w:rFonts w:asciiTheme="minorEastAsia" w:hAnsiTheme="minorEastAsia" w:eastAsiaTheme="minorEastAsia"/>
          <w:color w:val="auto"/>
          <w:sz w:val="24"/>
          <w:szCs w:val="24"/>
        </w:rPr>
        <w:t xml:space="preserve">（项目名称）招标项目投标。现就联合体投标事宜订立如下协议。 </w:t>
      </w:r>
    </w:p>
    <w:p>
      <w:pPr>
        <w:spacing w:line="360" w:lineRule="auto"/>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1. （某成员单位名称）为 （联合体名称）牵头人。 </w:t>
      </w:r>
    </w:p>
    <w:p>
      <w:pPr>
        <w:spacing w:line="360" w:lineRule="auto"/>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2. 联合体各成员授权牵头人代表联合体参加投标活动，签署文件，提交和接收相关的资料、 信息及指示，进行合同谈判活动，负责合同实施阶段的组织和协调工作，以及处理与本招标项目有关的一切事宜。 </w:t>
      </w:r>
    </w:p>
    <w:p>
      <w:pPr>
        <w:spacing w:line="360" w:lineRule="auto"/>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3. 联合体牵头人在本项目中签署的一切文件和处理的一切事宜，联合体各成员均予以承认。 联合体各成员将严格按照招标文件、投标文件和合同的要求全面履行义务，并向招标人承担连带责任。 </w:t>
      </w:r>
    </w:p>
    <w:p>
      <w:pPr>
        <w:spacing w:line="360" w:lineRule="auto"/>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4. 联合体各成员单位内部的职责分工如下：</w:t>
      </w:r>
      <w:r>
        <w:rPr>
          <w:rFonts w:hint="eastAsia" w:asciiTheme="minorEastAsia" w:hAnsiTheme="minorEastAsia" w:eastAsiaTheme="minorEastAsia"/>
          <w:color w:val="auto"/>
          <w:sz w:val="24"/>
          <w:szCs w:val="24"/>
        </w:rPr>
        <w:t>_________________</w:t>
      </w:r>
      <w:r>
        <w:rPr>
          <w:rFonts w:asciiTheme="minorEastAsia" w:hAnsiTheme="minorEastAsia" w:eastAsiaTheme="minorEastAsia"/>
          <w:color w:val="auto"/>
          <w:sz w:val="24"/>
          <w:szCs w:val="24"/>
        </w:rPr>
        <w:t xml:space="preserve">。 </w:t>
      </w:r>
    </w:p>
    <w:p>
      <w:pPr>
        <w:spacing w:line="360" w:lineRule="auto"/>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5. 本协议书自所有成员单位法定代表人或其委托代理人签字或盖单位章之日起生效，合同履行完毕后自动失效。 </w:t>
      </w:r>
    </w:p>
    <w:p>
      <w:pPr>
        <w:spacing w:line="360" w:lineRule="auto"/>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6. 本协议书一式</w:t>
      </w:r>
      <w:r>
        <w:rPr>
          <w:rFonts w:hint="eastAsia" w:asciiTheme="minorEastAsia" w:hAnsiTheme="minorEastAsia" w:eastAsiaTheme="minorEastAsia"/>
          <w:color w:val="auto"/>
          <w:sz w:val="24"/>
          <w:szCs w:val="24"/>
        </w:rPr>
        <w:t>______</w:t>
      </w:r>
      <w:r>
        <w:rPr>
          <w:rFonts w:asciiTheme="minorEastAsia" w:hAnsiTheme="minorEastAsia" w:eastAsiaTheme="minorEastAsia"/>
          <w:color w:val="auto"/>
          <w:sz w:val="24"/>
          <w:szCs w:val="24"/>
        </w:rPr>
        <w:t xml:space="preserve">份，联合体成员和招标人各执一份。 </w:t>
      </w:r>
    </w:p>
    <w:p>
      <w:pPr>
        <w:spacing w:line="360" w:lineRule="auto"/>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协议书由法定代表人签字的，应附法定代表人身份证明；由委托代理人签字的，应附授权委托书。 </w:t>
      </w:r>
    </w:p>
    <w:p>
      <w:pPr>
        <w:spacing w:line="360" w:lineRule="auto"/>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联合体牵头人名称：</w:t>
      </w:r>
      <w:r>
        <w:rPr>
          <w:rFonts w:hint="eastAsia" w:asciiTheme="minorEastAsia" w:hAnsiTheme="minorEastAsia" w:eastAsiaTheme="minorEastAsia"/>
          <w:color w:val="auto"/>
          <w:sz w:val="24"/>
          <w:szCs w:val="24"/>
        </w:rPr>
        <w:t>_________________</w:t>
      </w:r>
      <w:r>
        <w:rPr>
          <w:rFonts w:asciiTheme="minorEastAsia" w:hAnsiTheme="minorEastAsia" w:eastAsiaTheme="minorEastAsia"/>
          <w:color w:val="auto"/>
          <w:sz w:val="24"/>
          <w:szCs w:val="24"/>
        </w:rPr>
        <w:t xml:space="preserve">（盖单位章） </w:t>
      </w:r>
    </w:p>
    <w:p>
      <w:pPr>
        <w:spacing w:line="360" w:lineRule="auto"/>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法定代表人或其委托代理人：</w:t>
      </w:r>
      <w:r>
        <w:rPr>
          <w:rFonts w:hint="eastAsia" w:asciiTheme="minorEastAsia" w:hAnsiTheme="minorEastAsia" w:eastAsiaTheme="minorEastAsia"/>
          <w:color w:val="auto"/>
          <w:sz w:val="24"/>
          <w:szCs w:val="24"/>
        </w:rPr>
        <w:t>_________________</w:t>
      </w:r>
      <w:r>
        <w:rPr>
          <w:rFonts w:asciiTheme="minorEastAsia" w:hAnsiTheme="minorEastAsia" w:eastAsiaTheme="minorEastAsia"/>
          <w:color w:val="auto"/>
          <w:sz w:val="24"/>
          <w:szCs w:val="24"/>
        </w:rPr>
        <w:t xml:space="preserve">（签字） </w:t>
      </w:r>
    </w:p>
    <w:p>
      <w:pPr>
        <w:spacing w:line="360" w:lineRule="auto"/>
        <w:jc w:val="left"/>
        <w:rPr>
          <w:rFonts w:asciiTheme="minorEastAsia" w:hAnsiTheme="minorEastAsia" w:eastAsiaTheme="minorEastAsia"/>
          <w:color w:val="auto"/>
          <w:sz w:val="24"/>
          <w:szCs w:val="24"/>
        </w:rPr>
      </w:pPr>
    </w:p>
    <w:p>
      <w:pPr>
        <w:spacing w:line="360" w:lineRule="auto"/>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联合体成员名称：</w:t>
      </w:r>
      <w:r>
        <w:rPr>
          <w:rFonts w:hint="eastAsia" w:asciiTheme="minorEastAsia" w:hAnsiTheme="minorEastAsia" w:eastAsiaTheme="minorEastAsia"/>
          <w:color w:val="auto"/>
          <w:sz w:val="24"/>
          <w:szCs w:val="24"/>
        </w:rPr>
        <w:t>_________________</w:t>
      </w:r>
      <w:r>
        <w:rPr>
          <w:rFonts w:asciiTheme="minorEastAsia" w:hAnsiTheme="minorEastAsia" w:eastAsiaTheme="minorEastAsia"/>
          <w:color w:val="auto"/>
          <w:sz w:val="24"/>
          <w:szCs w:val="24"/>
        </w:rPr>
        <w:t xml:space="preserve">（盖单位章） </w:t>
      </w:r>
    </w:p>
    <w:p>
      <w:pPr>
        <w:spacing w:line="360" w:lineRule="auto"/>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法定代表人或其委托代理人：</w:t>
      </w:r>
      <w:r>
        <w:rPr>
          <w:rFonts w:hint="eastAsia" w:asciiTheme="minorEastAsia" w:hAnsiTheme="minorEastAsia" w:eastAsiaTheme="minorEastAsia"/>
          <w:color w:val="auto"/>
          <w:sz w:val="24"/>
          <w:szCs w:val="24"/>
        </w:rPr>
        <w:t>_________________</w:t>
      </w:r>
      <w:r>
        <w:rPr>
          <w:rFonts w:asciiTheme="minorEastAsia" w:hAnsiTheme="minorEastAsia" w:eastAsiaTheme="minorEastAsia"/>
          <w:color w:val="auto"/>
          <w:sz w:val="24"/>
          <w:szCs w:val="24"/>
        </w:rPr>
        <w:t xml:space="preserve">（签字） </w:t>
      </w:r>
    </w:p>
    <w:p>
      <w:pPr>
        <w:spacing w:line="360" w:lineRule="auto"/>
        <w:jc w:val="left"/>
        <w:rPr>
          <w:rFonts w:asciiTheme="minorEastAsia" w:hAnsiTheme="minorEastAsia" w:eastAsiaTheme="minorEastAsia"/>
          <w:color w:val="auto"/>
          <w:sz w:val="24"/>
          <w:szCs w:val="24"/>
        </w:rPr>
      </w:pPr>
    </w:p>
    <w:p>
      <w:pPr>
        <w:spacing w:line="360" w:lineRule="auto"/>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 </w:t>
      </w:r>
    </w:p>
    <w:p>
      <w:pPr>
        <w:spacing w:line="360" w:lineRule="auto"/>
        <w:jc w:val="left"/>
        <w:rPr>
          <w:rFonts w:asciiTheme="minorEastAsia" w:hAnsiTheme="minorEastAsia" w:eastAsiaTheme="minorEastAsia"/>
          <w:color w:val="auto"/>
          <w:sz w:val="24"/>
          <w:szCs w:val="24"/>
        </w:rPr>
      </w:pPr>
    </w:p>
    <w:p>
      <w:pPr>
        <w:spacing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_______</w:t>
      </w:r>
      <w:r>
        <w:rPr>
          <w:rFonts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rPr>
        <w:t>________</w:t>
      </w:r>
      <w:r>
        <w:rPr>
          <w:rFonts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rPr>
        <w:t>________</w:t>
      </w:r>
      <w:r>
        <w:rPr>
          <w:rFonts w:asciiTheme="minorEastAsia" w:hAnsiTheme="minorEastAsia" w:eastAsiaTheme="minorEastAsia"/>
          <w:color w:val="auto"/>
          <w:sz w:val="24"/>
          <w:szCs w:val="24"/>
        </w:rPr>
        <w:t>日</w:t>
      </w:r>
    </w:p>
    <w:p>
      <w:pPr>
        <w:pStyle w:val="2"/>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1.如接受联合体投标项目，供应商需按要求填写联合体协议书。</w:t>
      </w:r>
    </w:p>
    <w:p>
      <w:pPr>
        <w:pStyle w:val="2"/>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2.不接受联合体投标项目，只需提供空表。</w:t>
      </w:r>
    </w:p>
    <w:p>
      <w:pPr>
        <w:widowControl/>
        <w:jc w:val="left"/>
        <w:rPr>
          <w:rFonts w:asciiTheme="minorEastAsia" w:hAnsiTheme="minorEastAsia" w:eastAsiaTheme="minorEastAsia"/>
          <w:color w:val="auto"/>
          <w:sz w:val="24"/>
          <w:szCs w:val="24"/>
        </w:rPr>
      </w:pPr>
    </w:p>
    <w:p>
      <w:pPr>
        <w:spacing w:line="360" w:lineRule="auto"/>
        <w:jc w:val="left"/>
        <w:rPr>
          <w:rFonts w:asciiTheme="minorEastAsia" w:hAnsiTheme="minorEastAsia" w:eastAsiaTheme="minorEastAsia"/>
          <w:color w:val="auto"/>
          <w:sz w:val="24"/>
          <w:szCs w:val="24"/>
        </w:rPr>
      </w:pPr>
    </w:p>
    <w:bookmarkEnd w:id="64"/>
    <w:p>
      <w:pPr>
        <w:adjustRightInd w:val="0"/>
        <w:snapToGrid w:val="0"/>
        <w:spacing w:line="360" w:lineRule="auto"/>
        <w:ind w:firstLine="3000" w:firstLineChars="1250"/>
        <w:jc w:val="left"/>
        <w:rPr>
          <w:rFonts w:ascii="宋体" w:hAnsi="宋体" w:cs="Courier New"/>
          <w:color w:val="auto"/>
          <w:kern w:val="0"/>
          <w:sz w:val="24"/>
          <w:szCs w:val="24"/>
        </w:rPr>
      </w:pPr>
      <w:r>
        <w:rPr>
          <w:rFonts w:hint="eastAsia" w:ascii="宋体" w:hAnsi="宋体" w:cs="Courier New"/>
          <w:color w:val="auto"/>
          <w:kern w:val="0"/>
          <w:sz w:val="24"/>
          <w:szCs w:val="24"/>
        </w:rPr>
        <w:t>八．投标货物分项报价明细表</w:t>
      </w:r>
    </w:p>
    <w:p>
      <w:pPr>
        <w:adjustRightInd w:val="0"/>
        <w:snapToGrid w:val="0"/>
        <w:spacing w:line="360" w:lineRule="auto"/>
        <w:ind w:firstLine="3000" w:firstLineChars="1250"/>
        <w:jc w:val="left"/>
        <w:rPr>
          <w:rFonts w:hAnsi="宋体"/>
          <w:bCs/>
          <w:color w:val="auto"/>
          <w:sz w:val="24"/>
          <w:szCs w:val="24"/>
        </w:rPr>
      </w:pP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0"/>
        <w:gridCol w:w="1411"/>
        <w:gridCol w:w="845"/>
        <w:gridCol w:w="915"/>
        <w:gridCol w:w="928"/>
        <w:gridCol w:w="832"/>
        <w:gridCol w:w="1400"/>
        <w:gridCol w:w="1400"/>
        <w:gridCol w:w="13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jc w:val="center"/>
              <w:rPr>
                <w:rFonts w:ascii="宋体" w:hAnsi="宋体" w:cs="Courier New"/>
                <w:color w:val="auto"/>
                <w:kern w:val="0"/>
                <w:sz w:val="24"/>
                <w:szCs w:val="24"/>
              </w:rPr>
            </w:pPr>
            <w:r>
              <w:rPr>
                <w:rFonts w:hint="eastAsia" w:ascii="宋体" w:hAnsi="宋体" w:cs="Courier New"/>
                <w:color w:val="auto"/>
                <w:kern w:val="0"/>
                <w:sz w:val="24"/>
                <w:szCs w:val="24"/>
              </w:rPr>
              <w:t>序号</w:t>
            </w:r>
          </w:p>
        </w:tc>
        <w:tc>
          <w:tcPr>
            <w:tcW w:w="1411" w:type="dxa"/>
            <w:vAlign w:val="center"/>
          </w:tcPr>
          <w:p>
            <w:pPr>
              <w:adjustRightInd w:val="0"/>
              <w:snapToGrid w:val="0"/>
              <w:spacing w:line="360" w:lineRule="auto"/>
              <w:jc w:val="center"/>
              <w:rPr>
                <w:rFonts w:ascii="宋体" w:hAnsi="宋体" w:cs="Courier New"/>
                <w:color w:val="auto"/>
                <w:kern w:val="0"/>
                <w:sz w:val="24"/>
                <w:szCs w:val="24"/>
              </w:rPr>
            </w:pPr>
            <w:r>
              <w:rPr>
                <w:rFonts w:hint="eastAsia" w:ascii="宋体" w:hAnsi="宋体" w:cs="Courier New"/>
                <w:color w:val="auto"/>
                <w:kern w:val="0"/>
                <w:sz w:val="24"/>
                <w:szCs w:val="24"/>
              </w:rPr>
              <w:t>货物名称</w:t>
            </w:r>
          </w:p>
        </w:tc>
        <w:tc>
          <w:tcPr>
            <w:tcW w:w="845" w:type="dxa"/>
            <w:tcBorders>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r>
              <w:rPr>
                <w:rFonts w:hint="eastAsia" w:ascii="宋体" w:hAnsi="宋体" w:cs="Courier New"/>
                <w:color w:val="auto"/>
                <w:kern w:val="0"/>
                <w:sz w:val="24"/>
                <w:szCs w:val="24"/>
              </w:rPr>
              <w:t>品牌</w:t>
            </w:r>
          </w:p>
        </w:tc>
        <w:tc>
          <w:tcPr>
            <w:tcW w:w="915" w:type="dxa"/>
            <w:tcBorders>
              <w:lef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r>
              <w:rPr>
                <w:rFonts w:hint="eastAsia" w:ascii="宋体" w:hAnsi="宋体" w:cs="Courier New"/>
                <w:color w:val="auto"/>
                <w:kern w:val="0"/>
                <w:sz w:val="24"/>
                <w:szCs w:val="24"/>
              </w:rPr>
              <w:t>型号</w:t>
            </w:r>
          </w:p>
        </w:tc>
        <w:tc>
          <w:tcPr>
            <w:tcW w:w="928" w:type="dxa"/>
            <w:tcBorders>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r>
              <w:rPr>
                <w:rFonts w:hint="eastAsia" w:ascii="宋体" w:hAnsi="宋体" w:cs="Courier New"/>
                <w:color w:val="auto"/>
                <w:kern w:val="0"/>
                <w:sz w:val="24"/>
                <w:szCs w:val="24"/>
              </w:rPr>
              <w:t>数量</w:t>
            </w:r>
          </w:p>
        </w:tc>
        <w:tc>
          <w:tcPr>
            <w:tcW w:w="832"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r>
              <w:rPr>
                <w:rFonts w:hint="eastAsia" w:ascii="宋体" w:hAnsi="宋体" w:cs="Courier New"/>
                <w:color w:val="auto"/>
                <w:kern w:val="0"/>
                <w:sz w:val="24"/>
                <w:szCs w:val="24"/>
              </w:rPr>
              <w:t>单位</w:t>
            </w: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r>
              <w:rPr>
                <w:rFonts w:hint="eastAsia" w:ascii="宋体" w:hAnsi="宋体" w:cs="Courier New"/>
                <w:color w:val="auto"/>
                <w:kern w:val="0"/>
                <w:sz w:val="24"/>
                <w:szCs w:val="24"/>
              </w:rPr>
              <w:t>单价（元）</w:t>
            </w: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r>
              <w:rPr>
                <w:rFonts w:hint="eastAsia" w:ascii="宋体" w:hAnsi="宋体" w:cs="Courier New"/>
                <w:color w:val="auto"/>
                <w:kern w:val="0"/>
                <w:sz w:val="24"/>
                <w:szCs w:val="24"/>
              </w:rPr>
              <w:t>总价（元）</w:t>
            </w:r>
          </w:p>
        </w:tc>
        <w:tc>
          <w:tcPr>
            <w:tcW w:w="1327" w:type="dxa"/>
            <w:tcBorders>
              <w:lef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r>
              <w:rPr>
                <w:rFonts w:hint="eastAsia" w:ascii="宋体" w:hAnsi="宋体" w:cs="Courier New"/>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color w:val="auto"/>
                <w:kern w:val="0"/>
                <w:sz w:val="24"/>
                <w:szCs w:val="24"/>
              </w:rPr>
            </w:pPr>
            <w:r>
              <w:rPr>
                <w:rFonts w:hint="eastAsia" w:ascii="宋体" w:hAnsi="宋体" w:cs="Courier New"/>
                <w:color w:val="auto"/>
                <w:kern w:val="0"/>
                <w:sz w:val="24"/>
                <w:szCs w:val="24"/>
              </w:rPr>
              <w:t>1</w:t>
            </w:r>
          </w:p>
        </w:tc>
        <w:tc>
          <w:tcPr>
            <w:tcW w:w="1411" w:type="dxa"/>
            <w:vAlign w:val="center"/>
          </w:tcPr>
          <w:p>
            <w:pPr>
              <w:adjustRightInd w:val="0"/>
              <w:snapToGrid w:val="0"/>
              <w:spacing w:line="360" w:lineRule="auto"/>
              <w:ind w:left="-118" w:leftChars="-42"/>
              <w:jc w:val="center"/>
              <w:rPr>
                <w:rFonts w:ascii="宋体" w:hAnsi="宋体" w:cs="Courier New"/>
                <w:color w:val="auto"/>
                <w:kern w:val="0"/>
                <w:sz w:val="24"/>
                <w:szCs w:val="24"/>
              </w:rPr>
            </w:pPr>
          </w:p>
        </w:tc>
        <w:tc>
          <w:tcPr>
            <w:tcW w:w="845" w:type="dxa"/>
            <w:tcBorders>
              <w:right w:val="single" w:color="auto" w:sz="4" w:space="0"/>
            </w:tcBorders>
          </w:tcPr>
          <w:p>
            <w:pPr>
              <w:adjustRightInd w:val="0"/>
              <w:snapToGrid w:val="0"/>
              <w:spacing w:line="360" w:lineRule="auto"/>
              <w:jc w:val="center"/>
              <w:rPr>
                <w:rFonts w:ascii="宋体" w:hAnsi="宋体" w:cs="Courier New"/>
                <w:color w:val="auto"/>
                <w:kern w:val="0"/>
                <w:sz w:val="24"/>
                <w:szCs w:val="24"/>
              </w:rPr>
            </w:pPr>
          </w:p>
        </w:tc>
        <w:tc>
          <w:tcPr>
            <w:tcW w:w="915" w:type="dxa"/>
            <w:tcBorders>
              <w:left w:val="single" w:color="auto" w:sz="4" w:space="0"/>
            </w:tcBorders>
          </w:tcPr>
          <w:p>
            <w:pPr>
              <w:adjustRightInd w:val="0"/>
              <w:snapToGrid w:val="0"/>
              <w:spacing w:line="360" w:lineRule="auto"/>
              <w:jc w:val="center"/>
              <w:rPr>
                <w:rFonts w:ascii="宋体" w:hAnsi="宋体" w:cs="Courier New"/>
                <w:color w:val="auto"/>
                <w:kern w:val="0"/>
                <w:sz w:val="24"/>
                <w:szCs w:val="24"/>
              </w:rPr>
            </w:pPr>
          </w:p>
        </w:tc>
        <w:tc>
          <w:tcPr>
            <w:tcW w:w="928" w:type="dxa"/>
            <w:tcBorders>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832"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color w:val="auto"/>
                <w:kern w:val="0"/>
                <w:sz w:val="24"/>
                <w:szCs w:val="24"/>
              </w:rPr>
            </w:pPr>
            <w:r>
              <w:rPr>
                <w:rFonts w:hint="eastAsia" w:ascii="宋体" w:hAnsi="宋体" w:cs="Courier New"/>
                <w:color w:val="auto"/>
                <w:kern w:val="0"/>
                <w:sz w:val="24"/>
                <w:szCs w:val="24"/>
              </w:rPr>
              <w:t>2</w:t>
            </w:r>
          </w:p>
        </w:tc>
        <w:tc>
          <w:tcPr>
            <w:tcW w:w="1411" w:type="dxa"/>
            <w:vAlign w:val="center"/>
          </w:tcPr>
          <w:p>
            <w:pPr>
              <w:adjustRightInd w:val="0"/>
              <w:snapToGrid w:val="0"/>
              <w:spacing w:line="360" w:lineRule="auto"/>
              <w:ind w:left="-118" w:leftChars="-42"/>
              <w:jc w:val="center"/>
              <w:rPr>
                <w:rFonts w:ascii="宋体" w:hAnsi="宋体" w:cs="Courier New"/>
                <w:color w:val="auto"/>
                <w:kern w:val="0"/>
                <w:sz w:val="24"/>
                <w:szCs w:val="24"/>
              </w:rPr>
            </w:pPr>
          </w:p>
        </w:tc>
        <w:tc>
          <w:tcPr>
            <w:tcW w:w="845" w:type="dxa"/>
            <w:tcBorders>
              <w:right w:val="single" w:color="auto" w:sz="4" w:space="0"/>
            </w:tcBorders>
          </w:tcPr>
          <w:p>
            <w:pPr>
              <w:adjustRightInd w:val="0"/>
              <w:snapToGrid w:val="0"/>
              <w:spacing w:line="360" w:lineRule="auto"/>
              <w:jc w:val="center"/>
              <w:rPr>
                <w:rFonts w:ascii="宋体" w:hAnsi="宋体" w:cs="Courier New"/>
                <w:color w:val="auto"/>
                <w:kern w:val="0"/>
                <w:sz w:val="24"/>
                <w:szCs w:val="24"/>
              </w:rPr>
            </w:pPr>
          </w:p>
        </w:tc>
        <w:tc>
          <w:tcPr>
            <w:tcW w:w="915" w:type="dxa"/>
            <w:tcBorders>
              <w:left w:val="single" w:color="auto" w:sz="4" w:space="0"/>
            </w:tcBorders>
          </w:tcPr>
          <w:p>
            <w:pPr>
              <w:adjustRightInd w:val="0"/>
              <w:snapToGrid w:val="0"/>
              <w:spacing w:line="360" w:lineRule="auto"/>
              <w:jc w:val="center"/>
              <w:rPr>
                <w:rFonts w:ascii="宋体" w:hAnsi="宋体" w:cs="Courier New"/>
                <w:color w:val="auto"/>
                <w:kern w:val="0"/>
                <w:sz w:val="24"/>
                <w:szCs w:val="24"/>
              </w:rPr>
            </w:pPr>
          </w:p>
        </w:tc>
        <w:tc>
          <w:tcPr>
            <w:tcW w:w="928" w:type="dxa"/>
            <w:tcBorders>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832"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color w:val="auto"/>
                <w:kern w:val="0"/>
                <w:sz w:val="24"/>
                <w:szCs w:val="24"/>
              </w:rPr>
            </w:pPr>
            <w:r>
              <w:rPr>
                <w:rFonts w:hint="eastAsia" w:ascii="宋体" w:hAnsi="宋体" w:cs="Courier New"/>
                <w:color w:val="auto"/>
                <w:kern w:val="0"/>
                <w:sz w:val="24"/>
                <w:szCs w:val="24"/>
              </w:rPr>
              <w:t>3</w:t>
            </w:r>
          </w:p>
        </w:tc>
        <w:tc>
          <w:tcPr>
            <w:tcW w:w="1411" w:type="dxa"/>
            <w:vAlign w:val="center"/>
          </w:tcPr>
          <w:p>
            <w:pPr>
              <w:adjustRightInd w:val="0"/>
              <w:snapToGrid w:val="0"/>
              <w:spacing w:line="360" w:lineRule="auto"/>
              <w:ind w:left="-118" w:leftChars="-42"/>
              <w:jc w:val="center"/>
              <w:rPr>
                <w:rFonts w:ascii="宋体" w:hAnsi="宋体" w:cs="Courier New"/>
                <w:color w:val="auto"/>
                <w:kern w:val="0"/>
                <w:sz w:val="24"/>
                <w:szCs w:val="24"/>
              </w:rPr>
            </w:pPr>
          </w:p>
        </w:tc>
        <w:tc>
          <w:tcPr>
            <w:tcW w:w="845" w:type="dxa"/>
            <w:tcBorders>
              <w:right w:val="single" w:color="auto" w:sz="4" w:space="0"/>
            </w:tcBorders>
          </w:tcPr>
          <w:p>
            <w:pPr>
              <w:adjustRightInd w:val="0"/>
              <w:snapToGrid w:val="0"/>
              <w:spacing w:line="360" w:lineRule="auto"/>
              <w:jc w:val="center"/>
              <w:rPr>
                <w:rFonts w:ascii="宋体" w:hAnsi="宋体" w:cs="Courier New"/>
                <w:color w:val="auto"/>
                <w:kern w:val="0"/>
                <w:sz w:val="24"/>
                <w:szCs w:val="24"/>
              </w:rPr>
            </w:pPr>
          </w:p>
        </w:tc>
        <w:tc>
          <w:tcPr>
            <w:tcW w:w="915" w:type="dxa"/>
            <w:tcBorders>
              <w:left w:val="single" w:color="auto" w:sz="4" w:space="0"/>
            </w:tcBorders>
          </w:tcPr>
          <w:p>
            <w:pPr>
              <w:adjustRightInd w:val="0"/>
              <w:snapToGrid w:val="0"/>
              <w:spacing w:line="360" w:lineRule="auto"/>
              <w:jc w:val="center"/>
              <w:rPr>
                <w:rFonts w:ascii="宋体" w:hAnsi="宋体" w:cs="Courier New"/>
                <w:color w:val="auto"/>
                <w:kern w:val="0"/>
                <w:sz w:val="24"/>
                <w:szCs w:val="24"/>
              </w:rPr>
            </w:pPr>
          </w:p>
        </w:tc>
        <w:tc>
          <w:tcPr>
            <w:tcW w:w="928" w:type="dxa"/>
            <w:tcBorders>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832"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color w:val="auto"/>
                <w:kern w:val="0"/>
                <w:sz w:val="24"/>
                <w:szCs w:val="24"/>
              </w:rPr>
            </w:pPr>
            <w:r>
              <w:rPr>
                <w:rFonts w:hint="eastAsia" w:ascii="宋体" w:hAnsi="宋体" w:cs="Courier New"/>
                <w:color w:val="auto"/>
                <w:kern w:val="0"/>
                <w:sz w:val="24"/>
                <w:szCs w:val="24"/>
              </w:rPr>
              <w:t>4</w:t>
            </w:r>
          </w:p>
        </w:tc>
        <w:tc>
          <w:tcPr>
            <w:tcW w:w="1411" w:type="dxa"/>
            <w:vAlign w:val="center"/>
          </w:tcPr>
          <w:p>
            <w:pPr>
              <w:adjustRightInd w:val="0"/>
              <w:snapToGrid w:val="0"/>
              <w:spacing w:line="360" w:lineRule="auto"/>
              <w:ind w:left="-118" w:leftChars="-42"/>
              <w:jc w:val="center"/>
              <w:rPr>
                <w:rFonts w:ascii="宋体" w:hAnsi="宋体" w:cs="Courier New"/>
                <w:color w:val="auto"/>
                <w:kern w:val="0"/>
                <w:sz w:val="24"/>
                <w:szCs w:val="24"/>
              </w:rPr>
            </w:pPr>
          </w:p>
        </w:tc>
        <w:tc>
          <w:tcPr>
            <w:tcW w:w="845" w:type="dxa"/>
            <w:tcBorders>
              <w:right w:val="single" w:color="auto" w:sz="4" w:space="0"/>
            </w:tcBorders>
          </w:tcPr>
          <w:p>
            <w:pPr>
              <w:adjustRightInd w:val="0"/>
              <w:snapToGrid w:val="0"/>
              <w:spacing w:line="360" w:lineRule="auto"/>
              <w:jc w:val="center"/>
              <w:rPr>
                <w:rFonts w:ascii="宋体" w:hAnsi="宋体" w:cs="Courier New"/>
                <w:color w:val="auto"/>
                <w:kern w:val="0"/>
                <w:sz w:val="24"/>
                <w:szCs w:val="24"/>
              </w:rPr>
            </w:pPr>
          </w:p>
        </w:tc>
        <w:tc>
          <w:tcPr>
            <w:tcW w:w="915" w:type="dxa"/>
            <w:tcBorders>
              <w:left w:val="single" w:color="auto" w:sz="4" w:space="0"/>
            </w:tcBorders>
          </w:tcPr>
          <w:p>
            <w:pPr>
              <w:adjustRightInd w:val="0"/>
              <w:snapToGrid w:val="0"/>
              <w:spacing w:line="360" w:lineRule="auto"/>
              <w:jc w:val="center"/>
              <w:rPr>
                <w:rFonts w:ascii="宋体" w:hAnsi="宋体" w:cs="Courier New"/>
                <w:color w:val="auto"/>
                <w:kern w:val="0"/>
                <w:sz w:val="24"/>
                <w:szCs w:val="24"/>
              </w:rPr>
            </w:pPr>
          </w:p>
        </w:tc>
        <w:tc>
          <w:tcPr>
            <w:tcW w:w="928" w:type="dxa"/>
            <w:tcBorders>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832"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color w:val="auto"/>
                <w:kern w:val="0"/>
                <w:sz w:val="24"/>
                <w:szCs w:val="24"/>
              </w:rPr>
            </w:pPr>
            <w:r>
              <w:rPr>
                <w:rFonts w:hint="eastAsia" w:ascii="宋体" w:hAnsi="宋体" w:cs="Courier New"/>
                <w:color w:val="auto"/>
                <w:kern w:val="0"/>
                <w:sz w:val="24"/>
                <w:szCs w:val="24"/>
              </w:rPr>
              <w:t>…</w:t>
            </w:r>
          </w:p>
        </w:tc>
        <w:tc>
          <w:tcPr>
            <w:tcW w:w="1411" w:type="dxa"/>
            <w:vAlign w:val="center"/>
          </w:tcPr>
          <w:p>
            <w:pPr>
              <w:adjustRightInd w:val="0"/>
              <w:snapToGrid w:val="0"/>
              <w:spacing w:line="360" w:lineRule="auto"/>
              <w:ind w:left="-118" w:leftChars="-42"/>
              <w:jc w:val="center"/>
              <w:rPr>
                <w:rFonts w:ascii="宋体" w:hAnsi="宋体" w:cs="Courier New"/>
                <w:color w:val="auto"/>
                <w:kern w:val="0"/>
                <w:sz w:val="24"/>
                <w:szCs w:val="24"/>
              </w:rPr>
            </w:pPr>
          </w:p>
        </w:tc>
        <w:tc>
          <w:tcPr>
            <w:tcW w:w="845" w:type="dxa"/>
            <w:tcBorders>
              <w:right w:val="single" w:color="auto" w:sz="4" w:space="0"/>
            </w:tcBorders>
          </w:tcPr>
          <w:p>
            <w:pPr>
              <w:adjustRightInd w:val="0"/>
              <w:snapToGrid w:val="0"/>
              <w:spacing w:line="360" w:lineRule="auto"/>
              <w:jc w:val="center"/>
              <w:rPr>
                <w:rFonts w:ascii="宋体" w:hAnsi="宋体" w:cs="Courier New"/>
                <w:color w:val="auto"/>
                <w:kern w:val="0"/>
                <w:sz w:val="24"/>
                <w:szCs w:val="24"/>
              </w:rPr>
            </w:pPr>
          </w:p>
        </w:tc>
        <w:tc>
          <w:tcPr>
            <w:tcW w:w="915" w:type="dxa"/>
            <w:tcBorders>
              <w:left w:val="single" w:color="auto" w:sz="4" w:space="0"/>
            </w:tcBorders>
          </w:tcPr>
          <w:p>
            <w:pPr>
              <w:adjustRightInd w:val="0"/>
              <w:snapToGrid w:val="0"/>
              <w:spacing w:line="360" w:lineRule="auto"/>
              <w:jc w:val="center"/>
              <w:rPr>
                <w:rFonts w:ascii="宋体" w:hAnsi="宋体" w:cs="Courier New"/>
                <w:color w:val="auto"/>
                <w:kern w:val="0"/>
                <w:sz w:val="24"/>
                <w:szCs w:val="24"/>
              </w:rPr>
            </w:pPr>
          </w:p>
        </w:tc>
        <w:tc>
          <w:tcPr>
            <w:tcW w:w="928" w:type="dxa"/>
            <w:tcBorders>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832"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901" w:type="dxa"/>
            <w:gridSpan w:val="7"/>
            <w:tcBorders>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r>
              <w:rPr>
                <w:rFonts w:hint="eastAsia" w:ascii="宋体" w:hAnsi="宋体" w:cs="Courier New"/>
                <w:color w:val="auto"/>
                <w:kern w:val="0"/>
                <w:sz w:val="24"/>
                <w:szCs w:val="24"/>
              </w:rPr>
              <w:t>合计</w:t>
            </w: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color w:val="auto"/>
                <w:kern w:val="0"/>
                <w:sz w:val="24"/>
                <w:szCs w:val="24"/>
              </w:rPr>
            </w:pPr>
          </w:p>
        </w:tc>
      </w:tr>
    </w:tbl>
    <w:p>
      <w:pPr>
        <w:adjustRightInd w:val="0"/>
        <w:snapToGrid w:val="0"/>
        <w:spacing w:line="360" w:lineRule="auto"/>
        <w:rPr>
          <w:rFonts w:ascii="宋体" w:hAnsi="宋体" w:cs="Courier New"/>
          <w:color w:val="auto"/>
          <w:kern w:val="0"/>
          <w:sz w:val="24"/>
          <w:szCs w:val="24"/>
        </w:rPr>
      </w:pPr>
      <w:r>
        <w:rPr>
          <w:rFonts w:hint="eastAsia" w:ascii="宋体" w:hAnsi="宋体" w:cs="Courier New"/>
          <w:color w:val="auto"/>
          <w:kern w:val="0"/>
          <w:sz w:val="24"/>
          <w:szCs w:val="24"/>
        </w:rPr>
        <w:t>说明：</w:t>
      </w:r>
    </w:p>
    <w:p>
      <w:pPr>
        <w:adjustRightInd w:val="0"/>
        <w:snapToGrid w:val="0"/>
        <w:spacing w:line="360" w:lineRule="auto"/>
        <w:ind w:firstLine="480" w:firstLineChars="200"/>
        <w:rPr>
          <w:rFonts w:ascii="宋体" w:hAnsi="宋体" w:cs="Courier New"/>
          <w:color w:val="auto"/>
          <w:kern w:val="0"/>
          <w:sz w:val="24"/>
          <w:szCs w:val="24"/>
        </w:rPr>
      </w:pPr>
      <w:r>
        <w:rPr>
          <w:rFonts w:hint="eastAsia" w:ascii="宋体" w:hAnsi="宋体" w:cs="Courier New"/>
          <w:color w:val="auto"/>
          <w:kern w:val="0"/>
          <w:sz w:val="24"/>
          <w:szCs w:val="24"/>
        </w:rPr>
        <w:t>1．供货内容尽可能详细，涉及配件、备品、备件的应在备注中列出。</w:t>
      </w:r>
    </w:p>
    <w:p>
      <w:pPr>
        <w:adjustRightInd w:val="0"/>
        <w:snapToGrid w:val="0"/>
        <w:spacing w:line="360" w:lineRule="auto"/>
        <w:ind w:firstLine="480" w:firstLineChars="200"/>
        <w:rPr>
          <w:rFonts w:ascii="宋体" w:hAnsi="宋体" w:cs="Courier New"/>
          <w:color w:val="auto"/>
          <w:kern w:val="0"/>
          <w:sz w:val="24"/>
          <w:szCs w:val="24"/>
        </w:rPr>
      </w:pPr>
      <w:r>
        <w:rPr>
          <w:rFonts w:hint="eastAsia" w:ascii="宋体" w:hAnsi="宋体" w:cs="Courier New"/>
          <w:color w:val="auto"/>
          <w:kern w:val="0"/>
          <w:sz w:val="24"/>
          <w:szCs w:val="24"/>
        </w:rPr>
        <w:t>2．此表将随中标结果公告一并公示，请投标人认真填写。</w:t>
      </w:r>
    </w:p>
    <w:p>
      <w:pPr>
        <w:adjustRightInd w:val="0"/>
        <w:snapToGrid w:val="0"/>
        <w:spacing w:line="360" w:lineRule="auto"/>
        <w:ind w:firstLine="480" w:firstLineChars="200"/>
        <w:rPr>
          <w:rFonts w:ascii="宋体" w:hAnsi="宋体"/>
          <w:color w:val="auto"/>
          <w:sz w:val="24"/>
          <w:szCs w:val="24"/>
        </w:rPr>
      </w:pPr>
    </w:p>
    <w:p>
      <w:pPr>
        <w:rPr>
          <w:color w:val="auto"/>
          <w:sz w:val="24"/>
          <w:szCs w:val="24"/>
          <w:lang w:val="zh-CN"/>
        </w:rPr>
      </w:pPr>
      <w:r>
        <w:rPr>
          <w:color w:val="auto"/>
          <w:sz w:val="24"/>
          <w:szCs w:val="24"/>
          <w:lang w:val="zh-CN"/>
        </w:rPr>
        <w:br w:type="page"/>
      </w:r>
    </w:p>
    <w:p>
      <w:pPr>
        <w:rPr>
          <w:color w:val="auto"/>
          <w:sz w:val="24"/>
          <w:szCs w:val="24"/>
          <w:lang w:val="zh-CN"/>
        </w:rPr>
      </w:pPr>
    </w:p>
    <w:p>
      <w:pPr>
        <w:jc w:val="center"/>
        <w:rPr>
          <w:rFonts w:ascii="宋体" w:hAnsi="宋体"/>
          <w:color w:val="auto"/>
          <w:sz w:val="24"/>
          <w:szCs w:val="24"/>
        </w:rPr>
      </w:pPr>
      <w:bookmarkStart w:id="69" w:name="_Toc15990_WPSOffice_Level1"/>
      <w:r>
        <w:rPr>
          <w:rFonts w:hint="eastAsia" w:ascii="宋体" w:hAnsi="宋体"/>
          <w:color w:val="auto"/>
          <w:sz w:val="24"/>
          <w:szCs w:val="24"/>
        </w:rPr>
        <w:t>九．投标货物情况介绍表</w:t>
      </w:r>
      <w:bookmarkEnd w:id="69"/>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7"/>
        <w:gridCol w:w="1651"/>
        <w:gridCol w:w="988"/>
        <w:gridCol w:w="1071"/>
        <w:gridCol w:w="2060"/>
        <w:gridCol w:w="1639"/>
        <w:gridCol w:w="15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序号</w:t>
            </w:r>
          </w:p>
        </w:tc>
        <w:tc>
          <w:tcPr>
            <w:tcW w:w="1651" w:type="dxa"/>
            <w:vAlign w:val="center"/>
          </w:tcPr>
          <w:p>
            <w:pPr>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货物名称</w:t>
            </w:r>
          </w:p>
        </w:tc>
        <w:tc>
          <w:tcPr>
            <w:tcW w:w="988" w:type="dxa"/>
            <w:tcBorders>
              <w:right w:val="single" w:color="auto" w:sz="4" w:space="0"/>
            </w:tcBorders>
            <w:vAlign w:val="center"/>
          </w:tcPr>
          <w:p>
            <w:pPr>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品牌</w:t>
            </w:r>
          </w:p>
        </w:tc>
        <w:tc>
          <w:tcPr>
            <w:tcW w:w="1071" w:type="dxa"/>
            <w:tcBorders>
              <w:left w:val="single" w:color="auto" w:sz="4" w:space="0"/>
            </w:tcBorders>
            <w:vAlign w:val="center"/>
          </w:tcPr>
          <w:p>
            <w:pPr>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型号</w:t>
            </w:r>
          </w:p>
        </w:tc>
        <w:tc>
          <w:tcPr>
            <w:tcW w:w="2060" w:type="dxa"/>
            <w:tcBorders>
              <w:right w:val="single" w:color="auto" w:sz="4" w:space="0"/>
            </w:tcBorders>
            <w:vAlign w:val="center"/>
          </w:tcPr>
          <w:p>
            <w:pPr>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生产厂家</w:t>
            </w: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生产产地</w:t>
            </w:r>
          </w:p>
        </w:tc>
        <w:tc>
          <w:tcPr>
            <w:tcW w:w="1552" w:type="dxa"/>
            <w:tcBorders>
              <w:left w:val="single" w:color="auto" w:sz="4" w:space="0"/>
            </w:tcBorders>
            <w:vAlign w:val="center"/>
          </w:tcPr>
          <w:p>
            <w:pPr>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color w:val="auto"/>
                <w:sz w:val="24"/>
                <w:szCs w:val="24"/>
              </w:rPr>
            </w:pPr>
            <w:r>
              <w:rPr>
                <w:rFonts w:hint="eastAsia" w:ascii="宋体" w:hAnsi="宋体"/>
                <w:color w:val="auto"/>
                <w:sz w:val="24"/>
                <w:szCs w:val="24"/>
              </w:rPr>
              <w:t>1</w:t>
            </w:r>
          </w:p>
        </w:tc>
        <w:tc>
          <w:tcPr>
            <w:tcW w:w="1651" w:type="dxa"/>
            <w:vAlign w:val="center"/>
          </w:tcPr>
          <w:p>
            <w:pPr>
              <w:adjustRightInd w:val="0"/>
              <w:snapToGrid w:val="0"/>
              <w:spacing w:line="360" w:lineRule="auto"/>
              <w:ind w:left="-118" w:leftChars="-42"/>
              <w:jc w:val="center"/>
              <w:rPr>
                <w:rFonts w:ascii="宋体" w:hAnsi="宋体"/>
                <w:color w:val="auto"/>
                <w:sz w:val="24"/>
                <w:szCs w:val="24"/>
              </w:rPr>
            </w:pPr>
          </w:p>
        </w:tc>
        <w:tc>
          <w:tcPr>
            <w:tcW w:w="988" w:type="dxa"/>
            <w:tcBorders>
              <w:right w:val="single" w:color="auto" w:sz="4" w:space="0"/>
            </w:tcBorders>
          </w:tcPr>
          <w:p>
            <w:pPr>
              <w:adjustRightInd w:val="0"/>
              <w:snapToGrid w:val="0"/>
              <w:spacing w:line="360" w:lineRule="auto"/>
              <w:jc w:val="center"/>
              <w:rPr>
                <w:rFonts w:ascii="宋体" w:hAnsi="宋体"/>
                <w:color w:val="auto"/>
                <w:sz w:val="24"/>
                <w:szCs w:val="24"/>
              </w:rPr>
            </w:pPr>
          </w:p>
        </w:tc>
        <w:tc>
          <w:tcPr>
            <w:tcW w:w="1071" w:type="dxa"/>
            <w:tcBorders>
              <w:left w:val="single" w:color="auto" w:sz="4" w:space="0"/>
            </w:tcBorders>
          </w:tcPr>
          <w:p>
            <w:pPr>
              <w:adjustRightInd w:val="0"/>
              <w:snapToGrid w:val="0"/>
              <w:spacing w:line="360" w:lineRule="auto"/>
              <w:jc w:val="center"/>
              <w:rPr>
                <w:rFonts w:ascii="宋体" w:hAnsi="宋体"/>
                <w:color w:val="auto"/>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1552" w:type="dxa"/>
            <w:tcBorders>
              <w:left w:val="single" w:color="auto" w:sz="4" w:space="0"/>
            </w:tcBorders>
          </w:tcPr>
          <w:p>
            <w:pPr>
              <w:adjustRightInd w:val="0"/>
              <w:snapToGrid w:val="0"/>
              <w:spacing w:line="36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color w:val="auto"/>
                <w:sz w:val="24"/>
                <w:szCs w:val="24"/>
              </w:rPr>
            </w:pPr>
            <w:r>
              <w:rPr>
                <w:rFonts w:hint="eastAsia" w:ascii="宋体" w:hAnsi="宋体"/>
                <w:color w:val="auto"/>
                <w:sz w:val="24"/>
                <w:szCs w:val="24"/>
              </w:rPr>
              <w:t>2</w:t>
            </w:r>
          </w:p>
        </w:tc>
        <w:tc>
          <w:tcPr>
            <w:tcW w:w="1651" w:type="dxa"/>
            <w:vAlign w:val="center"/>
          </w:tcPr>
          <w:p>
            <w:pPr>
              <w:adjustRightInd w:val="0"/>
              <w:snapToGrid w:val="0"/>
              <w:spacing w:line="360" w:lineRule="auto"/>
              <w:ind w:left="-118" w:leftChars="-42"/>
              <w:jc w:val="center"/>
              <w:rPr>
                <w:rFonts w:ascii="宋体" w:hAnsi="宋体"/>
                <w:color w:val="auto"/>
                <w:sz w:val="24"/>
                <w:szCs w:val="24"/>
              </w:rPr>
            </w:pPr>
          </w:p>
        </w:tc>
        <w:tc>
          <w:tcPr>
            <w:tcW w:w="988" w:type="dxa"/>
            <w:tcBorders>
              <w:right w:val="single" w:color="auto" w:sz="4" w:space="0"/>
            </w:tcBorders>
          </w:tcPr>
          <w:p>
            <w:pPr>
              <w:adjustRightInd w:val="0"/>
              <w:snapToGrid w:val="0"/>
              <w:spacing w:line="360" w:lineRule="auto"/>
              <w:jc w:val="center"/>
              <w:rPr>
                <w:rFonts w:ascii="宋体" w:hAnsi="宋体"/>
                <w:color w:val="auto"/>
                <w:sz w:val="24"/>
                <w:szCs w:val="24"/>
              </w:rPr>
            </w:pPr>
          </w:p>
        </w:tc>
        <w:tc>
          <w:tcPr>
            <w:tcW w:w="1071" w:type="dxa"/>
            <w:tcBorders>
              <w:left w:val="single" w:color="auto" w:sz="4" w:space="0"/>
            </w:tcBorders>
          </w:tcPr>
          <w:p>
            <w:pPr>
              <w:adjustRightInd w:val="0"/>
              <w:snapToGrid w:val="0"/>
              <w:spacing w:line="360" w:lineRule="auto"/>
              <w:jc w:val="center"/>
              <w:rPr>
                <w:rFonts w:ascii="宋体" w:hAnsi="宋体"/>
                <w:color w:val="auto"/>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1552" w:type="dxa"/>
            <w:tcBorders>
              <w:left w:val="single" w:color="auto" w:sz="4" w:space="0"/>
            </w:tcBorders>
          </w:tcPr>
          <w:p>
            <w:pPr>
              <w:adjustRightInd w:val="0"/>
              <w:snapToGrid w:val="0"/>
              <w:spacing w:line="36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color w:val="auto"/>
                <w:sz w:val="24"/>
                <w:szCs w:val="24"/>
              </w:rPr>
            </w:pPr>
            <w:r>
              <w:rPr>
                <w:rFonts w:hint="eastAsia" w:ascii="宋体" w:hAnsi="宋体"/>
                <w:color w:val="auto"/>
                <w:sz w:val="24"/>
                <w:szCs w:val="24"/>
              </w:rPr>
              <w:t>3</w:t>
            </w:r>
          </w:p>
        </w:tc>
        <w:tc>
          <w:tcPr>
            <w:tcW w:w="1651" w:type="dxa"/>
            <w:vAlign w:val="center"/>
          </w:tcPr>
          <w:p>
            <w:pPr>
              <w:adjustRightInd w:val="0"/>
              <w:snapToGrid w:val="0"/>
              <w:spacing w:line="360" w:lineRule="auto"/>
              <w:ind w:left="-118" w:leftChars="-42"/>
              <w:jc w:val="center"/>
              <w:rPr>
                <w:rFonts w:ascii="宋体" w:hAnsi="宋体"/>
                <w:color w:val="auto"/>
                <w:sz w:val="24"/>
                <w:szCs w:val="24"/>
              </w:rPr>
            </w:pPr>
          </w:p>
        </w:tc>
        <w:tc>
          <w:tcPr>
            <w:tcW w:w="988" w:type="dxa"/>
            <w:tcBorders>
              <w:right w:val="single" w:color="auto" w:sz="4" w:space="0"/>
            </w:tcBorders>
          </w:tcPr>
          <w:p>
            <w:pPr>
              <w:adjustRightInd w:val="0"/>
              <w:snapToGrid w:val="0"/>
              <w:spacing w:line="360" w:lineRule="auto"/>
              <w:jc w:val="center"/>
              <w:rPr>
                <w:rFonts w:ascii="宋体" w:hAnsi="宋体"/>
                <w:color w:val="auto"/>
                <w:sz w:val="24"/>
                <w:szCs w:val="24"/>
              </w:rPr>
            </w:pPr>
          </w:p>
        </w:tc>
        <w:tc>
          <w:tcPr>
            <w:tcW w:w="1071" w:type="dxa"/>
            <w:tcBorders>
              <w:left w:val="single" w:color="auto" w:sz="4" w:space="0"/>
            </w:tcBorders>
          </w:tcPr>
          <w:p>
            <w:pPr>
              <w:adjustRightInd w:val="0"/>
              <w:snapToGrid w:val="0"/>
              <w:spacing w:line="360" w:lineRule="auto"/>
              <w:jc w:val="center"/>
              <w:rPr>
                <w:rFonts w:ascii="宋体" w:hAnsi="宋体"/>
                <w:color w:val="auto"/>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1552" w:type="dxa"/>
            <w:tcBorders>
              <w:left w:val="single" w:color="auto" w:sz="4" w:space="0"/>
            </w:tcBorders>
          </w:tcPr>
          <w:p>
            <w:pPr>
              <w:adjustRightInd w:val="0"/>
              <w:snapToGrid w:val="0"/>
              <w:spacing w:line="36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color w:val="auto"/>
                <w:sz w:val="24"/>
                <w:szCs w:val="24"/>
              </w:rPr>
            </w:pPr>
            <w:r>
              <w:rPr>
                <w:rFonts w:hint="eastAsia" w:ascii="宋体" w:hAnsi="宋体"/>
                <w:color w:val="auto"/>
                <w:sz w:val="24"/>
                <w:szCs w:val="24"/>
              </w:rPr>
              <w:t>4</w:t>
            </w:r>
          </w:p>
        </w:tc>
        <w:tc>
          <w:tcPr>
            <w:tcW w:w="1651" w:type="dxa"/>
            <w:vAlign w:val="center"/>
          </w:tcPr>
          <w:p>
            <w:pPr>
              <w:adjustRightInd w:val="0"/>
              <w:snapToGrid w:val="0"/>
              <w:spacing w:line="360" w:lineRule="auto"/>
              <w:ind w:left="-118" w:leftChars="-42"/>
              <w:jc w:val="center"/>
              <w:rPr>
                <w:rFonts w:ascii="宋体" w:hAnsi="宋体"/>
                <w:color w:val="auto"/>
                <w:sz w:val="24"/>
                <w:szCs w:val="24"/>
              </w:rPr>
            </w:pPr>
          </w:p>
        </w:tc>
        <w:tc>
          <w:tcPr>
            <w:tcW w:w="988" w:type="dxa"/>
            <w:tcBorders>
              <w:right w:val="single" w:color="auto" w:sz="4" w:space="0"/>
            </w:tcBorders>
          </w:tcPr>
          <w:p>
            <w:pPr>
              <w:adjustRightInd w:val="0"/>
              <w:snapToGrid w:val="0"/>
              <w:spacing w:line="360" w:lineRule="auto"/>
              <w:jc w:val="center"/>
              <w:rPr>
                <w:rFonts w:ascii="宋体" w:hAnsi="宋体"/>
                <w:color w:val="auto"/>
                <w:sz w:val="24"/>
                <w:szCs w:val="24"/>
              </w:rPr>
            </w:pPr>
          </w:p>
        </w:tc>
        <w:tc>
          <w:tcPr>
            <w:tcW w:w="1071" w:type="dxa"/>
            <w:tcBorders>
              <w:left w:val="single" w:color="auto" w:sz="4" w:space="0"/>
            </w:tcBorders>
          </w:tcPr>
          <w:p>
            <w:pPr>
              <w:adjustRightInd w:val="0"/>
              <w:snapToGrid w:val="0"/>
              <w:spacing w:line="360" w:lineRule="auto"/>
              <w:jc w:val="center"/>
              <w:rPr>
                <w:rFonts w:ascii="宋体" w:hAnsi="宋体"/>
                <w:color w:val="auto"/>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1552" w:type="dxa"/>
            <w:tcBorders>
              <w:left w:val="single" w:color="auto" w:sz="4" w:space="0"/>
            </w:tcBorders>
          </w:tcPr>
          <w:p>
            <w:pPr>
              <w:adjustRightInd w:val="0"/>
              <w:snapToGrid w:val="0"/>
              <w:spacing w:line="36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color w:val="auto"/>
                <w:sz w:val="24"/>
                <w:szCs w:val="24"/>
              </w:rPr>
            </w:pPr>
            <w:r>
              <w:rPr>
                <w:rFonts w:hint="eastAsia" w:ascii="宋体" w:hAnsi="宋体"/>
                <w:color w:val="auto"/>
                <w:sz w:val="24"/>
                <w:szCs w:val="24"/>
              </w:rPr>
              <w:t>…</w:t>
            </w:r>
          </w:p>
        </w:tc>
        <w:tc>
          <w:tcPr>
            <w:tcW w:w="1651" w:type="dxa"/>
            <w:vAlign w:val="center"/>
          </w:tcPr>
          <w:p>
            <w:pPr>
              <w:adjustRightInd w:val="0"/>
              <w:snapToGrid w:val="0"/>
              <w:spacing w:line="360" w:lineRule="auto"/>
              <w:ind w:left="-118" w:leftChars="-42"/>
              <w:jc w:val="center"/>
              <w:rPr>
                <w:rFonts w:ascii="宋体" w:hAnsi="宋体"/>
                <w:color w:val="auto"/>
                <w:sz w:val="24"/>
                <w:szCs w:val="24"/>
              </w:rPr>
            </w:pPr>
          </w:p>
        </w:tc>
        <w:tc>
          <w:tcPr>
            <w:tcW w:w="988" w:type="dxa"/>
            <w:tcBorders>
              <w:right w:val="single" w:color="auto" w:sz="4" w:space="0"/>
            </w:tcBorders>
          </w:tcPr>
          <w:p>
            <w:pPr>
              <w:adjustRightInd w:val="0"/>
              <w:snapToGrid w:val="0"/>
              <w:spacing w:line="360" w:lineRule="auto"/>
              <w:jc w:val="center"/>
              <w:rPr>
                <w:rFonts w:ascii="宋体" w:hAnsi="宋体"/>
                <w:color w:val="auto"/>
                <w:sz w:val="24"/>
                <w:szCs w:val="24"/>
              </w:rPr>
            </w:pPr>
          </w:p>
        </w:tc>
        <w:tc>
          <w:tcPr>
            <w:tcW w:w="1071" w:type="dxa"/>
            <w:tcBorders>
              <w:left w:val="single" w:color="auto" w:sz="4" w:space="0"/>
            </w:tcBorders>
          </w:tcPr>
          <w:p>
            <w:pPr>
              <w:adjustRightInd w:val="0"/>
              <w:snapToGrid w:val="0"/>
              <w:spacing w:line="360" w:lineRule="auto"/>
              <w:jc w:val="center"/>
              <w:rPr>
                <w:rFonts w:ascii="宋体" w:hAnsi="宋体"/>
                <w:color w:val="auto"/>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1552" w:type="dxa"/>
            <w:tcBorders>
              <w:left w:val="single" w:color="auto" w:sz="4" w:space="0"/>
            </w:tcBorders>
          </w:tcPr>
          <w:p>
            <w:pPr>
              <w:adjustRightInd w:val="0"/>
              <w:snapToGrid w:val="0"/>
              <w:spacing w:line="360" w:lineRule="auto"/>
              <w:jc w:val="center"/>
              <w:rPr>
                <w:rFonts w:ascii="宋体" w:hAnsi="宋体"/>
                <w:color w:val="auto"/>
                <w:sz w:val="24"/>
                <w:szCs w:val="24"/>
              </w:rPr>
            </w:pPr>
          </w:p>
        </w:tc>
      </w:tr>
    </w:tbl>
    <w:p>
      <w:pPr>
        <w:spacing w:line="360" w:lineRule="auto"/>
        <w:rPr>
          <w:rFonts w:ascii="宋体" w:hAnsi="宋体"/>
          <w:color w:val="auto"/>
          <w:sz w:val="24"/>
          <w:szCs w:val="24"/>
        </w:rPr>
      </w:pPr>
      <w:r>
        <w:rPr>
          <w:rFonts w:hint="eastAsia" w:ascii="宋体" w:hAnsi="宋体"/>
          <w:color w:val="auto"/>
          <w:sz w:val="24"/>
          <w:szCs w:val="24"/>
        </w:rPr>
        <w:t>说明：</w:t>
      </w:r>
    </w:p>
    <w:p>
      <w:pPr>
        <w:spacing w:line="360" w:lineRule="auto"/>
        <w:rPr>
          <w:rFonts w:ascii="宋体" w:hAnsi="宋体"/>
          <w:color w:val="auto"/>
          <w:sz w:val="24"/>
          <w:szCs w:val="24"/>
        </w:rPr>
      </w:pPr>
      <w:r>
        <w:rPr>
          <w:rFonts w:hint="eastAsia" w:ascii="宋体" w:hAnsi="宋体"/>
          <w:color w:val="auto"/>
          <w:sz w:val="24"/>
          <w:szCs w:val="24"/>
        </w:rPr>
        <w:t xml:space="preserve">    1.供应商需按采购文件要求内容如实填写此表。</w:t>
      </w:r>
      <w:r>
        <w:rPr>
          <w:rFonts w:ascii="宋体" w:hAnsi="宋体"/>
          <w:color w:val="auto"/>
          <w:sz w:val="24"/>
          <w:szCs w:val="24"/>
        </w:rPr>
        <w:br w:type="page"/>
      </w:r>
    </w:p>
    <w:p>
      <w:pPr>
        <w:spacing w:line="360" w:lineRule="auto"/>
        <w:jc w:val="left"/>
        <w:rPr>
          <w:rFonts w:ascii="宋体" w:hAnsi="宋体"/>
          <w:b/>
          <w:color w:val="auto"/>
          <w:sz w:val="24"/>
          <w:szCs w:val="24"/>
        </w:rPr>
      </w:pPr>
    </w:p>
    <w:p>
      <w:pPr>
        <w:spacing w:line="360" w:lineRule="auto"/>
        <w:jc w:val="center"/>
        <w:rPr>
          <w:rFonts w:ascii="宋体" w:hAnsi="宋体"/>
          <w:color w:val="auto"/>
          <w:sz w:val="24"/>
          <w:szCs w:val="24"/>
        </w:rPr>
      </w:pPr>
      <w:bookmarkStart w:id="70" w:name="_Toc25576_WPSOffice_Level1"/>
      <w:r>
        <w:rPr>
          <w:rFonts w:hint="eastAsia" w:ascii="宋体" w:hAnsi="宋体"/>
          <w:color w:val="auto"/>
          <w:sz w:val="24"/>
          <w:szCs w:val="24"/>
        </w:rPr>
        <w:t>十．技术规格响应表</w:t>
      </w:r>
      <w:bookmarkEnd w:id="70"/>
    </w:p>
    <w:p>
      <w:pPr>
        <w:spacing w:line="360" w:lineRule="auto"/>
        <w:rPr>
          <w:rFonts w:ascii="宋体" w:hAnsi="宋体"/>
          <w:color w:val="auto"/>
          <w:sz w:val="24"/>
          <w:szCs w:val="24"/>
        </w:rPr>
      </w:pPr>
      <w:bookmarkStart w:id="71" w:name="_Toc27651_WPSOffice_Level1"/>
      <w:r>
        <w:rPr>
          <w:rFonts w:hint="eastAsia" w:ascii="宋体" w:hAnsi="宋体" w:cs="宋体"/>
          <w:color w:val="auto"/>
          <w:kern w:val="0"/>
          <w:sz w:val="24"/>
          <w:szCs w:val="24"/>
        </w:rPr>
        <w:t>1.货物名称：</w:t>
      </w:r>
      <w:bookmarkEnd w:id="71"/>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732"/>
        <w:gridCol w:w="1732"/>
        <w:gridCol w:w="1732"/>
        <w:gridCol w:w="2294"/>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83"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编号</w:t>
            </w:r>
          </w:p>
        </w:tc>
        <w:tc>
          <w:tcPr>
            <w:tcW w:w="1732"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招标文件要求技术参数、性能指标</w:t>
            </w:r>
          </w:p>
        </w:tc>
        <w:tc>
          <w:tcPr>
            <w:tcW w:w="1732"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投标人提供技术参数、性能指标</w:t>
            </w:r>
          </w:p>
        </w:tc>
        <w:tc>
          <w:tcPr>
            <w:tcW w:w="1732"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响应</w:t>
            </w:r>
          </w:p>
          <w:p>
            <w:pPr>
              <w:spacing w:line="360" w:lineRule="auto"/>
              <w:jc w:val="center"/>
              <w:rPr>
                <w:rFonts w:ascii="宋体" w:hAnsi="宋体"/>
                <w:color w:val="auto"/>
                <w:sz w:val="24"/>
                <w:szCs w:val="24"/>
              </w:rPr>
            </w:pPr>
            <w:r>
              <w:rPr>
                <w:rFonts w:hint="eastAsia" w:ascii="宋体" w:hAnsi="宋体"/>
                <w:color w:val="auto"/>
                <w:sz w:val="24"/>
                <w:szCs w:val="24"/>
              </w:rPr>
              <w:t>程度</w:t>
            </w:r>
          </w:p>
        </w:tc>
        <w:tc>
          <w:tcPr>
            <w:tcW w:w="2294"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佐证材料名称并标明页码</w:t>
            </w:r>
          </w:p>
        </w:tc>
        <w:tc>
          <w:tcPr>
            <w:tcW w:w="1155"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3"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1</w:t>
            </w:r>
          </w:p>
        </w:tc>
        <w:tc>
          <w:tcPr>
            <w:tcW w:w="1732" w:type="dxa"/>
            <w:vAlign w:val="center"/>
          </w:tcPr>
          <w:p>
            <w:pPr>
              <w:spacing w:line="360" w:lineRule="auto"/>
              <w:rPr>
                <w:rFonts w:ascii="宋体" w:hAnsi="宋体"/>
                <w:color w:val="auto"/>
                <w:sz w:val="24"/>
                <w:szCs w:val="24"/>
              </w:rPr>
            </w:pPr>
          </w:p>
        </w:tc>
        <w:tc>
          <w:tcPr>
            <w:tcW w:w="1732" w:type="dxa"/>
            <w:vAlign w:val="center"/>
          </w:tcPr>
          <w:p>
            <w:pPr>
              <w:spacing w:line="360" w:lineRule="auto"/>
              <w:rPr>
                <w:rFonts w:ascii="宋体" w:hAnsi="宋体"/>
                <w:color w:val="auto"/>
                <w:sz w:val="24"/>
                <w:szCs w:val="24"/>
              </w:rPr>
            </w:pPr>
          </w:p>
        </w:tc>
        <w:tc>
          <w:tcPr>
            <w:tcW w:w="1732" w:type="dxa"/>
            <w:vAlign w:val="center"/>
          </w:tcPr>
          <w:p>
            <w:pPr>
              <w:spacing w:line="360" w:lineRule="auto"/>
              <w:rPr>
                <w:rFonts w:ascii="宋体" w:hAnsi="宋体"/>
                <w:color w:val="auto"/>
                <w:sz w:val="24"/>
                <w:szCs w:val="24"/>
              </w:rPr>
            </w:pPr>
          </w:p>
        </w:tc>
        <w:tc>
          <w:tcPr>
            <w:tcW w:w="2294" w:type="dxa"/>
            <w:vAlign w:val="center"/>
          </w:tcPr>
          <w:p>
            <w:pPr>
              <w:spacing w:line="360" w:lineRule="auto"/>
              <w:ind w:left="2201" w:leftChars="786"/>
              <w:rPr>
                <w:rFonts w:ascii="宋体" w:hAnsi="宋体"/>
                <w:color w:val="auto"/>
                <w:sz w:val="24"/>
                <w:szCs w:val="24"/>
              </w:rPr>
            </w:pPr>
          </w:p>
        </w:tc>
        <w:tc>
          <w:tcPr>
            <w:tcW w:w="1155" w:type="dxa"/>
          </w:tcPr>
          <w:p>
            <w:pPr>
              <w:spacing w:line="360" w:lineRule="auto"/>
              <w:ind w:left="2201" w:leftChars="786"/>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83"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2</w:t>
            </w:r>
          </w:p>
        </w:tc>
        <w:tc>
          <w:tcPr>
            <w:tcW w:w="1732" w:type="dxa"/>
            <w:vAlign w:val="center"/>
          </w:tcPr>
          <w:p>
            <w:pPr>
              <w:spacing w:line="360" w:lineRule="auto"/>
              <w:rPr>
                <w:rFonts w:ascii="宋体" w:hAnsi="宋体"/>
                <w:color w:val="auto"/>
                <w:sz w:val="24"/>
                <w:szCs w:val="24"/>
              </w:rPr>
            </w:pPr>
          </w:p>
        </w:tc>
        <w:tc>
          <w:tcPr>
            <w:tcW w:w="1732" w:type="dxa"/>
            <w:vAlign w:val="center"/>
          </w:tcPr>
          <w:p>
            <w:pPr>
              <w:spacing w:line="360" w:lineRule="auto"/>
              <w:rPr>
                <w:rFonts w:ascii="宋体" w:hAnsi="宋体"/>
                <w:color w:val="auto"/>
                <w:sz w:val="24"/>
                <w:szCs w:val="24"/>
              </w:rPr>
            </w:pPr>
          </w:p>
        </w:tc>
        <w:tc>
          <w:tcPr>
            <w:tcW w:w="1732" w:type="dxa"/>
            <w:vAlign w:val="center"/>
          </w:tcPr>
          <w:p>
            <w:pPr>
              <w:spacing w:line="360" w:lineRule="auto"/>
              <w:rPr>
                <w:rFonts w:ascii="宋体" w:hAnsi="宋体"/>
                <w:color w:val="auto"/>
                <w:sz w:val="24"/>
                <w:szCs w:val="24"/>
              </w:rPr>
            </w:pPr>
          </w:p>
        </w:tc>
        <w:tc>
          <w:tcPr>
            <w:tcW w:w="2294" w:type="dxa"/>
            <w:vAlign w:val="center"/>
          </w:tcPr>
          <w:p>
            <w:pPr>
              <w:spacing w:line="360" w:lineRule="auto"/>
              <w:rPr>
                <w:rFonts w:ascii="宋体" w:hAnsi="宋体"/>
                <w:color w:val="auto"/>
                <w:sz w:val="24"/>
                <w:szCs w:val="24"/>
              </w:rPr>
            </w:pPr>
          </w:p>
        </w:tc>
        <w:tc>
          <w:tcPr>
            <w:tcW w:w="1155" w:type="dxa"/>
          </w:tcPr>
          <w:p>
            <w:pPr>
              <w:spacing w:line="360" w:lineRule="auto"/>
              <w:rPr>
                <w:rFonts w:ascii="宋体" w:hAnsi="宋体"/>
                <w:color w:val="auto"/>
                <w:sz w:val="24"/>
                <w:szCs w:val="24"/>
              </w:rPr>
            </w:pPr>
          </w:p>
        </w:tc>
      </w:tr>
    </w:tbl>
    <w:p>
      <w:pPr>
        <w:spacing w:line="360" w:lineRule="auto"/>
        <w:ind w:right="57"/>
        <w:rPr>
          <w:rFonts w:ascii="宋体" w:hAnsi="宋体"/>
          <w:bCs/>
          <w:color w:val="auto"/>
          <w:sz w:val="24"/>
          <w:szCs w:val="24"/>
        </w:rPr>
      </w:pPr>
    </w:p>
    <w:p>
      <w:pPr>
        <w:spacing w:line="360" w:lineRule="auto"/>
        <w:ind w:right="57"/>
        <w:rPr>
          <w:rFonts w:ascii="宋体" w:hAnsi="宋体"/>
          <w:color w:val="auto"/>
          <w:sz w:val="24"/>
          <w:szCs w:val="24"/>
        </w:rPr>
      </w:pPr>
      <w:r>
        <w:rPr>
          <w:rFonts w:hint="eastAsia" w:ascii="宋体" w:hAnsi="宋体"/>
          <w:b/>
          <w:bCs/>
          <w:color w:val="auto"/>
          <w:sz w:val="24"/>
          <w:szCs w:val="24"/>
        </w:rPr>
        <w:t>说明</w:t>
      </w:r>
      <w:r>
        <w:rPr>
          <w:rFonts w:hint="eastAsia" w:ascii="宋体" w:hAnsi="宋体"/>
          <w:b/>
          <w:color w:val="auto"/>
          <w:sz w:val="24"/>
          <w:szCs w:val="24"/>
        </w:rPr>
        <w:t>：</w:t>
      </w:r>
    </w:p>
    <w:p>
      <w:pPr>
        <w:spacing w:line="360" w:lineRule="auto"/>
        <w:ind w:right="57" w:firstLine="360" w:firstLineChars="150"/>
        <w:rPr>
          <w:rFonts w:ascii="宋体" w:hAnsi="宋体" w:cs="宋体"/>
          <w:color w:val="auto"/>
          <w:sz w:val="24"/>
          <w:szCs w:val="24"/>
        </w:rPr>
      </w:pPr>
      <w:r>
        <w:rPr>
          <w:rFonts w:hint="eastAsia" w:ascii="宋体" w:hAnsi="宋体" w:cs="宋体"/>
          <w:color w:val="auto"/>
          <w:sz w:val="24"/>
          <w:szCs w:val="24"/>
        </w:rPr>
        <w:t>1. 供应商应按照本谈判文件第四章“货物需求一览表”中确定的技术参数与性能要求，将投标产品的技术参数和性能指标逐一列出，以证明投标产品对谈判文件要求的技术参数和性能指标做出实质性响应。</w:t>
      </w:r>
    </w:p>
    <w:p>
      <w:pPr>
        <w:spacing w:line="360" w:lineRule="auto"/>
        <w:ind w:right="57" w:firstLine="360" w:firstLineChars="150"/>
        <w:rPr>
          <w:rFonts w:ascii="宋体" w:hAnsi="宋体" w:cs="宋体"/>
          <w:color w:val="auto"/>
          <w:sz w:val="24"/>
          <w:szCs w:val="24"/>
        </w:rPr>
      </w:pPr>
      <w:r>
        <w:rPr>
          <w:rFonts w:hint="eastAsia" w:ascii="宋体" w:hAnsi="宋体" w:cs="宋体"/>
          <w:color w:val="auto"/>
          <w:kern w:val="0"/>
          <w:sz w:val="24"/>
          <w:szCs w:val="24"/>
        </w:rPr>
        <w:t>响应文件中设备的性能指标应达到或优于谈判文件中所列技术指标。谈判文件中所列技术指标仅列出了最低限度，供应商在提供的技术参数、性能指标中必须列出具体数值或内容。对谈判文件原文复制或只注明符合、满足等无具体内容的表述，将视为不符合谈判文件要求。</w:t>
      </w:r>
    </w:p>
    <w:p>
      <w:pPr>
        <w:spacing w:line="360" w:lineRule="auto"/>
        <w:ind w:right="57" w:firstLine="360" w:firstLineChars="150"/>
        <w:rPr>
          <w:rFonts w:ascii="宋体" w:hAnsi="宋体" w:cs="宋体"/>
          <w:color w:val="auto"/>
          <w:sz w:val="24"/>
          <w:szCs w:val="24"/>
        </w:rPr>
      </w:pPr>
      <w:r>
        <w:rPr>
          <w:rFonts w:hint="eastAsia" w:ascii="宋体" w:hAnsi="宋体" w:cs="宋体"/>
          <w:color w:val="auto"/>
          <w:sz w:val="24"/>
          <w:szCs w:val="24"/>
        </w:rPr>
        <w:t>2. 此表按照货物分别填写，填写时注明所投货物名称、品牌、型号。（每一种货物须分别填写此表）</w:t>
      </w:r>
    </w:p>
    <w:p>
      <w:pPr>
        <w:spacing w:line="360" w:lineRule="auto"/>
        <w:ind w:right="57" w:firstLine="360" w:firstLineChars="150"/>
        <w:rPr>
          <w:rFonts w:ascii="宋体" w:hAnsi="宋体" w:cs="宋体"/>
          <w:color w:val="auto"/>
          <w:sz w:val="24"/>
          <w:szCs w:val="24"/>
        </w:rPr>
      </w:pPr>
      <w:r>
        <w:rPr>
          <w:rFonts w:hint="eastAsia" w:ascii="宋体" w:hAnsi="宋体" w:cs="宋体"/>
          <w:color w:val="auto"/>
          <w:sz w:val="24"/>
          <w:szCs w:val="24"/>
        </w:rPr>
        <w:t>3.“响应程度”处可填写满足、响应或正偏离、负偏离。</w:t>
      </w:r>
    </w:p>
    <w:p>
      <w:pPr>
        <w:spacing w:line="360" w:lineRule="auto"/>
        <w:ind w:right="57" w:firstLine="360" w:firstLineChars="150"/>
        <w:rPr>
          <w:rFonts w:ascii="宋体" w:hAnsi="宋体"/>
          <w:color w:val="auto"/>
          <w:sz w:val="24"/>
          <w:szCs w:val="24"/>
        </w:rPr>
      </w:pPr>
      <w:r>
        <w:rPr>
          <w:rFonts w:hint="eastAsia" w:ascii="宋体" w:hAnsi="宋体" w:cs="宋体"/>
          <w:color w:val="auto"/>
          <w:sz w:val="24"/>
          <w:szCs w:val="24"/>
        </w:rPr>
        <w:t>4.“备注”处可填写偏离情况的具体说明。</w:t>
      </w:r>
    </w:p>
    <w:p>
      <w:pPr>
        <w:pStyle w:val="4"/>
        <w:keepNext w:val="0"/>
        <w:keepLines w:val="0"/>
        <w:spacing w:line="360" w:lineRule="auto"/>
        <w:rPr>
          <w:rFonts w:ascii="宋体" w:hAnsi="宋体" w:eastAsia="宋体"/>
          <w:b w:val="0"/>
          <w:color w:val="auto"/>
          <w:sz w:val="24"/>
          <w:szCs w:val="24"/>
        </w:rPr>
      </w:pPr>
      <w:r>
        <w:rPr>
          <w:rFonts w:ascii="宋体" w:hAnsi="宋体" w:eastAsia="宋体"/>
          <w:b w:val="0"/>
          <w:color w:val="auto"/>
          <w:sz w:val="24"/>
          <w:szCs w:val="24"/>
        </w:rPr>
        <w:br w:type="page"/>
      </w:r>
    </w:p>
    <w:p>
      <w:pPr>
        <w:ind w:firstLine="3240" w:firstLineChars="1350"/>
        <w:rPr>
          <w:rFonts w:ascii="宋体" w:hAnsi="宋体" w:cs="Courier New"/>
          <w:color w:val="auto"/>
          <w:kern w:val="0"/>
          <w:sz w:val="24"/>
          <w:szCs w:val="24"/>
        </w:rPr>
      </w:pPr>
      <w:r>
        <w:rPr>
          <w:rFonts w:hint="eastAsia" w:ascii="宋体" w:hAnsi="宋体" w:cs="Courier New"/>
          <w:color w:val="auto"/>
          <w:kern w:val="0"/>
          <w:sz w:val="24"/>
          <w:szCs w:val="24"/>
        </w:rPr>
        <w:t>十一．售后服务承诺及方案</w:t>
      </w:r>
    </w:p>
    <w:p>
      <w:pPr>
        <w:ind w:firstLine="3240" w:firstLineChars="1350"/>
        <w:rPr>
          <w:rFonts w:ascii="宋体" w:hAnsi="宋体"/>
          <w:color w:val="auto"/>
          <w:sz w:val="24"/>
          <w:szCs w:val="24"/>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一．售后服务承诺</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1.在年的质保期内，供应商对所投产品在使用过程中出现的故障和零配件磨损问题，免费提供维修和更换服务。</w:t>
      </w:r>
    </w:p>
    <w:p>
      <w:pPr>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2.质保期过后年内，供应商将继续为</w:t>
      </w:r>
      <w:r>
        <w:rPr>
          <w:rFonts w:hint="eastAsia" w:ascii="宋体" w:hAnsi="宋体"/>
          <w:color w:val="auto"/>
          <w:sz w:val="24"/>
          <w:szCs w:val="24"/>
          <w:u w:val="single"/>
        </w:rPr>
        <w:t xml:space="preserve"> （货物名称） </w:t>
      </w:r>
      <w:r>
        <w:rPr>
          <w:rFonts w:hint="eastAsia" w:ascii="宋体" w:hAnsi="宋体"/>
          <w:color w:val="auto"/>
          <w:sz w:val="24"/>
          <w:szCs w:val="24"/>
        </w:rPr>
        <w:t>提供免费维修服务，在此期间不收取维护费，如需更换零配件，只收取零配件的成本费。</w:t>
      </w:r>
    </w:p>
    <w:p>
      <w:pPr>
        <w:pStyle w:val="14"/>
        <w:spacing w:line="360" w:lineRule="auto"/>
        <w:ind w:left="560" w:firstLine="480" w:firstLineChars="200"/>
        <w:rPr>
          <w:rFonts w:ascii="宋体" w:hAnsi="宋体"/>
          <w:color w:val="auto"/>
          <w:sz w:val="24"/>
          <w:szCs w:val="24"/>
        </w:rPr>
      </w:pPr>
      <w:r>
        <w:rPr>
          <w:rFonts w:hint="eastAsia" w:ascii="宋体" w:hAnsi="宋体"/>
          <w:color w:val="auto"/>
          <w:sz w:val="24"/>
          <w:szCs w:val="24"/>
        </w:rPr>
        <w:t>3.质保期过后年内，供应商将继续为</w:t>
      </w:r>
      <w:r>
        <w:rPr>
          <w:rFonts w:hint="eastAsia" w:ascii="宋体" w:hAnsi="宋体"/>
          <w:color w:val="auto"/>
          <w:sz w:val="24"/>
          <w:szCs w:val="24"/>
          <w:u w:val="single"/>
        </w:rPr>
        <w:t xml:space="preserve"> （货物名称） </w:t>
      </w:r>
      <w:r>
        <w:rPr>
          <w:rFonts w:hint="eastAsia" w:ascii="宋体" w:hAnsi="宋体"/>
          <w:color w:val="auto"/>
          <w:sz w:val="24"/>
          <w:szCs w:val="24"/>
        </w:rPr>
        <w:t>提供维修服务，除收取交通费.住宿费和所更换部件的成本费外，不再收取任何维修费用。</w:t>
      </w:r>
    </w:p>
    <w:p>
      <w:pPr>
        <w:pStyle w:val="14"/>
        <w:spacing w:line="360" w:lineRule="auto"/>
        <w:ind w:left="560" w:firstLine="480" w:firstLineChars="200"/>
        <w:rPr>
          <w:rFonts w:ascii="宋体" w:hAnsi="宋体"/>
          <w:color w:val="auto"/>
          <w:sz w:val="24"/>
          <w:szCs w:val="24"/>
        </w:rPr>
      </w:pPr>
      <w:r>
        <w:rPr>
          <w:rFonts w:hint="eastAsia" w:ascii="宋体" w:hAnsi="宋体"/>
          <w:color w:val="auto"/>
          <w:sz w:val="24"/>
          <w:szCs w:val="24"/>
        </w:rPr>
        <w:t>4．供应商在接到用户维修通知后小时内响应，个工作日内排除故障（节假日照常服务）。</w:t>
      </w:r>
    </w:p>
    <w:p>
      <w:pPr>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5．在设备的设计使用寿命期内，供应商必须保证零部件的正常供应，对所有部件终身维修服务，对设备定期维护保养，确保设备正常使用。 </w:t>
      </w:r>
    </w:p>
    <w:p>
      <w:pPr>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6.免费安装调试、人员培训、技术支持。</w:t>
      </w:r>
    </w:p>
    <w:p>
      <w:pPr>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7.定期进行用户回访，及时处理用户意见。</w:t>
      </w:r>
    </w:p>
    <w:p>
      <w:pPr>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二．技术培训</w:t>
      </w:r>
    </w:p>
    <w:p>
      <w:pPr>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1.免费培训内容：</w:t>
      </w:r>
    </w:p>
    <w:p>
      <w:pPr>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2.培训日期及地点：</w:t>
      </w:r>
    </w:p>
    <w:p>
      <w:pPr>
        <w:adjustRightInd w:val="0"/>
        <w:spacing w:line="360" w:lineRule="auto"/>
        <w:ind w:firstLine="480" w:firstLineChars="200"/>
        <w:rPr>
          <w:rFonts w:ascii="宋体"/>
          <w:bCs/>
          <w:color w:val="auto"/>
          <w:sz w:val="24"/>
          <w:szCs w:val="24"/>
        </w:rPr>
      </w:pPr>
      <w:r>
        <w:rPr>
          <w:rFonts w:hint="eastAsia" w:ascii="宋体" w:hAnsi="宋体" w:cs="宋体"/>
          <w:bCs/>
          <w:color w:val="auto"/>
          <w:sz w:val="24"/>
          <w:szCs w:val="24"/>
        </w:rPr>
        <w:t>三．售后服务机构和服务体系</w:t>
      </w:r>
    </w:p>
    <w:p>
      <w:pPr>
        <w:spacing w:line="360" w:lineRule="auto"/>
        <w:ind w:firstLine="480" w:firstLineChars="200"/>
        <w:rPr>
          <w:rFonts w:ascii="宋体"/>
          <w:color w:val="auto"/>
          <w:sz w:val="24"/>
          <w:szCs w:val="24"/>
        </w:rPr>
      </w:pPr>
      <w:bookmarkStart w:id="72" w:name="_Toc266431151"/>
      <w:r>
        <w:rPr>
          <w:rFonts w:ascii="宋体" w:hAnsi="宋体" w:cs="宋体"/>
          <w:color w:val="auto"/>
          <w:sz w:val="24"/>
          <w:szCs w:val="24"/>
        </w:rPr>
        <w:t>1.</w:t>
      </w:r>
      <w:r>
        <w:rPr>
          <w:rFonts w:hint="eastAsia" w:ascii="宋体" w:hAnsi="宋体" w:cs="宋体"/>
          <w:color w:val="auto"/>
          <w:sz w:val="24"/>
          <w:szCs w:val="24"/>
        </w:rPr>
        <w:t>生产厂家售后服务机构、联系人、联系电话</w:t>
      </w:r>
      <w:bookmarkEnd w:id="72"/>
      <w:r>
        <w:rPr>
          <w:rFonts w:hint="eastAsia" w:ascii="宋体" w:hAnsi="宋体" w:cs="宋体"/>
          <w:color w:val="auto"/>
          <w:sz w:val="24"/>
          <w:szCs w:val="24"/>
        </w:rPr>
        <w:t>。</w:t>
      </w:r>
    </w:p>
    <w:p>
      <w:pPr>
        <w:pStyle w:val="16"/>
        <w:spacing w:line="360" w:lineRule="auto"/>
        <w:ind w:firstLine="480" w:firstLineChars="200"/>
        <w:rPr>
          <w:color w:val="auto"/>
          <w:sz w:val="24"/>
          <w:szCs w:val="24"/>
        </w:rPr>
      </w:pPr>
      <w:bookmarkStart w:id="73" w:name="_Toc266431152"/>
      <w:r>
        <w:rPr>
          <w:color w:val="auto"/>
          <w:sz w:val="24"/>
          <w:szCs w:val="24"/>
        </w:rPr>
        <w:t>2.</w:t>
      </w:r>
      <w:r>
        <w:rPr>
          <w:rFonts w:hint="eastAsia"/>
          <w:color w:val="auto"/>
          <w:sz w:val="24"/>
          <w:szCs w:val="24"/>
        </w:rPr>
        <w:t>本地化售后服务网点分布、机构名称、联系人、联系电话。</w:t>
      </w:r>
      <w:bookmarkEnd w:id="73"/>
    </w:p>
    <w:p>
      <w:pPr>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四．售后方案（自拟）</w:t>
      </w:r>
    </w:p>
    <w:p>
      <w:pPr>
        <w:spacing w:line="360" w:lineRule="auto"/>
        <w:ind w:firstLine="482" w:firstLineChars="200"/>
        <w:rPr>
          <w:rFonts w:ascii="宋体" w:hAnsi="宋体"/>
          <w:color w:val="auto"/>
          <w:sz w:val="24"/>
          <w:szCs w:val="24"/>
          <w:lang w:val="zh-CN"/>
        </w:rPr>
      </w:pPr>
      <w:r>
        <w:rPr>
          <w:rFonts w:hint="eastAsia" w:ascii="宋体" w:hAnsi="宋体"/>
          <w:b/>
          <w:color w:val="auto"/>
          <w:sz w:val="24"/>
          <w:szCs w:val="24"/>
          <w:lang w:val="zh-CN"/>
        </w:rPr>
        <w:t>注</w:t>
      </w:r>
      <w:r>
        <w:rPr>
          <w:rFonts w:hint="eastAsia" w:ascii="宋体" w:hAnsi="宋体"/>
          <w:color w:val="auto"/>
          <w:sz w:val="24"/>
          <w:szCs w:val="24"/>
          <w:lang w:val="zh-CN"/>
        </w:rPr>
        <w:t>：供应商提供售后服务承诺及方案不少于以上内容。</w:t>
      </w:r>
    </w:p>
    <w:p>
      <w:pPr>
        <w:spacing w:line="360" w:lineRule="auto"/>
        <w:rPr>
          <w:rFonts w:ascii="宋体" w:hAnsi="宋体"/>
          <w:bCs/>
          <w:color w:val="auto"/>
          <w:kern w:val="0"/>
          <w:sz w:val="24"/>
          <w:szCs w:val="24"/>
          <w:lang w:val="zh-CN"/>
        </w:rPr>
      </w:pPr>
      <w:r>
        <w:rPr>
          <w:rFonts w:ascii="宋体" w:hAnsi="宋体"/>
          <w:bCs/>
          <w:color w:val="auto"/>
          <w:kern w:val="0"/>
          <w:sz w:val="24"/>
          <w:szCs w:val="24"/>
          <w:lang w:val="zh-CN"/>
        </w:rPr>
        <w:br w:type="page"/>
      </w:r>
    </w:p>
    <w:p>
      <w:pPr>
        <w:spacing w:line="360" w:lineRule="auto"/>
        <w:jc w:val="center"/>
        <w:rPr>
          <w:rFonts w:ascii="宋体" w:hAnsi="宋体"/>
          <w:bCs/>
          <w:color w:val="auto"/>
          <w:sz w:val="24"/>
          <w:szCs w:val="24"/>
        </w:rPr>
      </w:pPr>
      <w:bookmarkStart w:id="74" w:name="_Toc28975_WPSOffice_Level1"/>
      <w:r>
        <w:rPr>
          <w:rFonts w:hint="eastAsia" w:ascii="宋体" w:hAnsi="宋体"/>
          <w:color w:val="auto"/>
          <w:sz w:val="24"/>
          <w:szCs w:val="24"/>
          <w:lang w:val="zh-CN"/>
        </w:rPr>
        <w:t>十二．商务规格响应表</w:t>
      </w:r>
      <w:bookmarkEnd w:id="74"/>
    </w:p>
    <w:tbl>
      <w:tblPr>
        <w:tblStyle w:val="27"/>
        <w:tblW w:w="8609"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
        <w:gridCol w:w="2209"/>
        <w:gridCol w:w="2202"/>
        <w:gridCol w:w="1476"/>
        <w:gridCol w:w="1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序号</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招标文件商务</w:t>
            </w:r>
          </w:p>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要求的项目</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投标人响应的</w:t>
            </w:r>
          </w:p>
          <w:p>
            <w:pPr>
              <w:spacing w:line="360" w:lineRule="auto"/>
              <w:jc w:val="center"/>
              <w:rPr>
                <w:rFonts w:ascii="宋体" w:hAnsi="宋体"/>
                <w:color w:val="auto"/>
                <w:sz w:val="24"/>
                <w:szCs w:val="24"/>
              </w:rPr>
            </w:pPr>
            <w:r>
              <w:rPr>
                <w:rFonts w:hint="eastAsia" w:ascii="宋体" w:hAnsi="宋体"/>
                <w:color w:val="auto"/>
                <w:sz w:val="24"/>
                <w:szCs w:val="24"/>
              </w:rPr>
              <w:t>商务项目</w:t>
            </w: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响应程度</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交付使用时间</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2</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交付使用地点</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3</w:t>
            </w:r>
          </w:p>
        </w:tc>
        <w:tc>
          <w:tcPr>
            <w:tcW w:w="2209" w:type="dxa"/>
            <w:tcBorders>
              <w:top w:val="single" w:color="auto" w:sz="4" w:space="0"/>
              <w:left w:val="single" w:color="auto" w:sz="4" w:space="0"/>
              <w:bottom w:val="single" w:color="auto" w:sz="4" w:space="0"/>
              <w:right w:val="single" w:color="auto" w:sz="4" w:space="0"/>
            </w:tcBorders>
            <w:vAlign w:val="center"/>
          </w:tcPr>
          <w:p>
            <w:pPr>
              <w:pStyle w:val="59"/>
              <w:ind w:firstLine="0" w:firstLineChars="0"/>
              <w:jc w:val="center"/>
              <w:rPr>
                <w:rFonts w:ascii="宋体" w:hAnsi="宋体"/>
                <w:color w:val="auto"/>
                <w:sz w:val="24"/>
                <w:szCs w:val="24"/>
              </w:rPr>
            </w:pPr>
            <w:r>
              <w:rPr>
                <w:rFonts w:hint="eastAsia" w:ascii="宋体" w:hAnsi="宋体"/>
                <w:color w:val="auto"/>
                <w:sz w:val="24"/>
                <w:szCs w:val="24"/>
              </w:rPr>
              <w:t>投标有效期</w:t>
            </w:r>
          </w:p>
        </w:tc>
        <w:tc>
          <w:tcPr>
            <w:tcW w:w="2202" w:type="dxa"/>
            <w:tcBorders>
              <w:top w:val="single" w:color="auto" w:sz="4" w:space="0"/>
              <w:left w:val="single" w:color="auto" w:sz="4" w:space="0"/>
              <w:bottom w:val="single" w:color="auto" w:sz="4" w:space="0"/>
              <w:right w:val="single" w:color="auto" w:sz="4" w:space="0"/>
            </w:tcBorders>
            <w:vAlign w:val="center"/>
          </w:tcPr>
          <w:p>
            <w:pPr>
              <w:pStyle w:val="59"/>
              <w:ind w:firstLine="0" w:firstLineChars="0"/>
              <w:rPr>
                <w:rFonts w:ascii="宋体" w:hAnsi="宋体"/>
                <w:color w:val="auto"/>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4</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质保期</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5</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付款方式</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 w:hRule="atLeast"/>
        </w:trPr>
        <w:tc>
          <w:tcPr>
            <w:tcW w:w="918"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6</w:t>
            </w:r>
          </w:p>
        </w:tc>
        <w:tc>
          <w:tcPr>
            <w:tcW w:w="2209"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其他</w:t>
            </w:r>
          </w:p>
        </w:tc>
        <w:tc>
          <w:tcPr>
            <w:tcW w:w="2202"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c>
          <w:tcPr>
            <w:tcW w:w="1476"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c>
          <w:tcPr>
            <w:tcW w:w="1804"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r>
    </w:tbl>
    <w:p>
      <w:pPr>
        <w:spacing w:line="360" w:lineRule="auto"/>
        <w:ind w:right="57" w:firstLine="360" w:firstLineChars="150"/>
        <w:rPr>
          <w:rFonts w:ascii="宋体" w:hAnsi="宋体"/>
          <w:color w:val="auto"/>
          <w:sz w:val="24"/>
          <w:szCs w:val="24"/>
        </w:rPr>
      </w:pPr>
      <w:r>
        <w:rPr>
          <w:rFonts w:hint="eastAsia" w:ascii="宋体" w:hAnsi="宋体"/>
          <w:color w:val="auto"/>
          <w:sz w:val="24"/>
          <w:szCs w:val="24"/>
        </w:rPr>
        <w:t>说明：</w:t>
      </w:r>
      <w:r>
        <w:rPr>
          <w:rFonts w:hint="eastAsia" w:ascii="宋体" w:hAnsi="宋体" w:cs="宋体"/>
          <w:color w:val="auto"/>
          <w:sz w:val="24"/>
          <w:szCs w:val="24"/>
        </w:rPr>
        <w:t>“响应程度”处可填写满足、响应或正偏离、负偏离。</w:t>
      </w:r>
    </w:p>
    <w:p>
      <w:pPr>
        <w:spacing w:line="360" w:lineRule="auto"/>
        <w:rPr>
          <w:rFonts w:ascii="宋体" w:hAnsi="宋体"/>
          <w:color w:val="auto"/>
          <w:sz w:val="24"/>
          <w:szCs w:val="24"/>
        </w:rPr>
      </w:pPr>
      <w:r>
        <w:rPr>
          <w:rFonts w:ascii="宋体" w:hAnsi="宋体"/>
          <w:color w:val="auto"/>
          <w:sz w:val="24"/>
          <w:szCs w:val="24"/>
        </w:rPr>
        <w:br w:type="page"/>
      </w:r>
    </w:p>
    <w:p>
      <w:pPr>
        <w:spacing w:line="360" w:lineRule="auto"/>
        <w:rPr>
          <w:rFonts w:ascii="宋体" w:hAnsi="宋体"/>
          <w:b/>
          <w:color w:val="auto"/>
          <w:sz w:val="24"/>
          <w:szCs w:val="24"/>
        </w:rPr>
      </w:pPr>
    </w:p>
    <w:p>
      <w:pPr>
        <w:spacing w:line="360" w:lineRule="auto"/>
        <w:jc w:val="center"/>
        <w:rPr>
          <w:rFonts w:ascii="宋体" w:hAnsi="宋体"/>
          <w:color w:val="auto"/>
          <w:sz w:val="24"/>
          <w:szCs w:val="24"/>
        </w:rPr>
      </w:pPr>
      <w:bookmarkStart w:id="75" w:name="_Toc29123_WPSOffice_Level1"/>
      <w:r>
        <w:rPr>
          <w:rFonts w:hint="eastAsia" w:ascii="宋体" w:hAnsi="宋体"/>
          <w:color w:val="auto"/>
          <w:sz w:val="24"/>
          <w:szCs w:val="24"/>
        </w:rPr>
        <w:t>十三．投标人业绩情况表</w:t>
      </w:r>
      <w:bookmarkEnd w:id="75"/>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57"/>
        <w:gridCol w:w="3539"/>
        <w:gridCol w:w="1708"/>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8" w:type="dxa"/>
            <w:shd w:val="clear" w:color="auto" w:fill="auto"/>
            <w:vAlign w:val="center"/>
          </w:tcPr>
          <w:p>
            <w:pPr>
              <w:spacing w:line="360" w:lineRule="auto"/>
              <w:jc w:val="center"/>
              <w:rPr>
                <w:rFonts w:ascii="宋体" w:hAnsi="宋体"/>
                <w:color w:val="auto"/>
                <w:sz w:val="24"/>
                <w:szCs w:val="24"/>
              </w:rPr>
            </w:pPr>
            <w:r>
              <w:rPr>
                <w:rFonts w:hint="eastAsia" w:ascii="宋体" w:hAnsi="宋体"/>
                <w:color w:val="auto"/>
                <w:sz w:val="24"/>
                <w:szCs w:val="24"/>
              </w:rPr>
              <w:t>序号</w:t>
            </w:r>
          </w:p>
        </w:tc>
        <w:tc>
          <w:tcPr>
            <w:tcW w:w="2057" w:type="dxa"/>
            <w:shd w:val="clear" w:color="auto" w:fill="auto"/>
            <w:vAlign w:val="center"/>
          </w:tcPr>
          <w:p>
            <w:pPr>
              <w:spacing w:line="360" w:lineRule="auto"/>
              <w:jc w:val="center"/>
              <w:rPr>
                <w:rFonts w:ascii="宋体" w:hAnsi="宋体"/>
                <w:color w:val="auto"/>
                <w:sz w:val="24"/>
                <w:szCs w:val="24"/>
              </w:rPr>
            </w:pPr>
            <w:r>
              <w:rPr>
                <w:rFonts w:hint="eastAsia" w:ascii="宋体" w:hAnsi="宋体"/>
                <w:color w:val="auto"/>
                <w:sz w:val="24"/>
                <w:szCs w:val="24"/>
              </w:rPr>
              <w:t>使用单位</w:t>
            </w:r>
          </w:p>
        </w:tc>
        <w:tc>
          <w:tcPr>
            <w:tcW w:w="3539" w:type="dxa"/>
            <w:shd w:val="clear" w:color="auto" w:fill="auto"/>
            <w:vAlign w:val="center"/>
          </w:tcPr>
          <w:p>
            <w:pPr>
              <w:spacing w:line="360" w:lineRule="auto"/>
              <w:jc w:val="center"/>
              <w:rPr>
                <w:rFonts w:ascii="宋体" w:hAnsi="宋体"/>
                <w:color w:val="auto"/>
                <w:sz w:val="24"/>
                <w:szCs w:val="24"/>
              </w:rPr>
            </w:pPr>
            <w:r>
              <w:rPr>
                <w:rFonts w:hint="eastAsia" w:ascii="宋体" w:hAnsi="宋体"/>
                <w:color w:val="auto"/>
                <w:sz w:val="24"/>
                <w:szCs w:val="24"/>
              </w:rPr>
              <w:t>业绩名称</w:t>
            </w:r>
          </w:p>
        </w:tc>
        <w:tc>
          <w:tcPr>
            <w:tcW w:w="1708" w:type="dxa"/>
            <w:shd w:val="clear" w:color="auto" w:fill="auto"/>
            <w:vAlign w:val="center"/>
          </w:tcPr>
          <w:p>
            <w:pPr>
              <w:spacing w:line="360" w:lineRule="auto"/>
              <w:jc w:val="center"/>
              <w:rPr>
                <w:rFonts w:ascii="宋体" w:hAnsi="宋体"/>
                <w:color w:val="auto"/>
                <w:sz w:val="24"/>
                <w:szCs w:val="24"/>
              </w:rPr>
            </w:pPr>
            <w:r>
              <w:rPr>
                <w:rFonts w:hint="eastAsia" w:ascii="宋体" w:hAnsi="宋体"/>
                <w:color w:val="auto"/>
                <w:sz w:val="24"/>
                <w:szCs w:val="24"/>
              </w:rPr>
              <w:t>合同总价</w:t>
            </w:r>
          </w:p>
        </w:tc>
        <w:tc>
          <w:tcPr>
            <w:tcW w:w="1706" w:type="dxa"/>
            <w:shd w:val="clear" w:color="auto" w:fill="auto"/>
            <w:vAlign w:val="center"/>
          </w:tcPr>
          <w:p>
            <w:pPr>
              <w:spacing w:line="360" w:lineRule="auto"/>
              <w:jc w:val="center"/>
              <w:rPr>
                <w:rFonts w:ascii="宋体" w:hAnsi="宋体"/>
                <w:color w:val="auto"/>
                <w:sz w:val="24"/>
                <w:szCs w:val="24"/>
              </w:rPr>
            </w:pPr>
            <w:r>
              <w:rPr>
                <w:rFonts w:hint="eastAsia" w:ascii="宋体" w:hAnsi="宋体"/>
                <w:color w:val="auto"/>
                <w:sz w:val="24"/>
                <w:szCs w:val="24"/>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color w:val="auto"/>
                <w:kern w:val="0"/>
                <w:sz w:val="24"/>
                <w:szCs w:val="24"/>
                <w:lang w:val="zh-CN"/>
              </w:rPr>
            </w:pPr>
            <w:r>
              <w:rPr>
                <w:rFonts w:hint="eastAsia" w:ascii="宋体" w:hAnsi="宋体"/>
                <w:color w:val="auto"/>
                <w:kern w:val="0"/>
                <w:sz w:val="24"/>
                <w:szCs w:val="24"/>
                <w:lang w:val="zh-CN"/>
              </w:rPr>
              <w:t>1</w:t>
            </w:r>
          </w:p>
        </w:tc>
        <w:tc>
          <w:tcPr>
            <w:tcW w:w="2057" w:type="dxa"/>
            <w:shd w:val="clear" w:color="auto" w:fill="auto"/>
          </w:tcPr>
          <w:p>
            <w:pPr>
              <w:spacing w:line="360" w:lineRule="auto"/>
              <w:jc w:val="center"/>
              <w:rPr>
                <w:rFonts w:ascii="宋体" w:hAnsi="宋体"/>
                <w:color w:val="auto"/>
                <w:kern w:val="0"/>
                <w:sz w:val="24"/>
                <w:szCs w:val="24"/>
                <w:lang w:val="zh-CN"/>
              </w:rPr>
            </w:pPr>
          </w:p>
        </w:tc>
        <w:tc>
          <w:tcPr>
            <w:tcW w:w="3539" w:type="dxa"/>
            <w:shd w:val="clear" w:color="auto" w:fill="auto"/>
            <w:vAlign w:val="center"/>
          </w:tcPr>
          <w:p>
            <w:pPr>
              <w:spacing w:line="360" w:lineRule="auto"/>
              <w:jc w:val="center"/>
              <w:rPr>
                <w:rFonts w:ascii="宋体" w:hAnsi="宋体"/>
                <w:color w:val="auto"/>
                <w:kern w:val="0"/>
                <w:sz w:val="24"/>
                <w:szCs w:val="24"/>
                <w:lang w:val="zh-CN"/>
              </w:rPr>
            </w:pPr>
          </w:p>
        </w:tc>
        <w:tc>
          <w:tcPr>
            <w:tcW w:w="1708" w:type="dxa"/>
            <w:shd w:val="clear" w:color="auto" w:fill="auto"/>
            <w:vAlign w:val="center"/>
          </w:tcPr>
          <w:p>
            <w:pPr>
              <w:spacing w:line="360" w:lineRule="auto"/>
              <w:jc w:val="center"/>
              <w:rPr>
                <w:rFonts w:ascii="宋体" w:hAnsi="宋体"/>
                <w:color w:val="auto"/>
                <w:kern w:val="0"/>
                <w:sz w:val="24"/>
                <w:szCs w:val="24"/>
                <w:lang w:val="zh-CN"/>
              </w:rPr>
            </w:pPr>
          </w:p>
        </w:tc>
        <w:tc>
          <w:tcPr>
            <w:tcW w:w="1706" w:type="dxa"/>
            <w:shd w:val="clear" w:color="auto" w:fill="auto"/>
            <w:vAlign w:val="center"/>
          </w:tcPr>
          <w:p>
            <w:pPr>
              <w:spacing w:line="360" w:lineRule="auto"/>
              <w:jc w:val="center"/>
              <w:rPr>
                <w:rFonts w:ascii="宋体" w:hAnsi="宋体"/>
                <w:color w:val="auto"/>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color w:val="auto"/>
                <w:kern w:val="0"/>
                <w:sz w:val="24"/>
                <w:szCs w:val="24"/>
                <w:lang w:val="zh-CN"/>
              </w:rPr>
            </w:pPr>
            <w:r>
              <w:rPr>
                <w:rFonts w:hint="eastAsia" w:ascii="宋体" w:hAnsi="宋体"/>
                <w:color w:val="auto"/>
                <w:kern w:val="0"/>
                <w:sz w:val="24"/>
                <w:szCs w:val="24"/>
                <w:lang w:val="zh-CN"/>
              </w:rPr>
              <w:t>2</w:t>
            </w:r>
          </w:p>
        </w:tc>
        <w:tc>
          <w:tcPr>
            <w:tcW w:w="2057" w:type="dxa"/>
            <w:shd w:val="clear" w:color="auto" w:fill="auto"/>
          </w:tcPr>
          <w:p>
            <w:pPr>
              <w:spacing w:line="360" w:lineRule="auto"/>
              <w:jc w:val="center"/>
              <w:rPr>
                <w:rFonts w:ascii="宋体" w:hAnsi="宋体"/>
                <w:color w:val="auto"/>
                <w:kern w:val="0"/>
                <w:sz w:val="24"/>
                <w:szCs w:val="24"/>
                <w:lang w:val="zh-CN"/>
              </w:rPr>
            </w:pPr>
          </w:p>
        </w:tc>
        <w:tc>
          <w:tcPr>
            <w:tcW w:w="3539" w:type="dxa"/>
            <w:shd w:val="clear" w:color="auto" w:fill="auto"/>
            <w:vAlign w:val="center"/>
          </w:tcPr>
          <w:p>
            <w:pPr>
              <w:spacing w:line="360" w:lineRule="auto"/>
              <w:jc w:val="center"/>
              <w:rPr>
                <w:rFonts w:ascii="宋体" w:hAnsi="宋体"/>
                <w:color w:val="auto"/>
                <w:kern w:val="0"/>
                <w:sz w:val="24"/>
                <w:szCs w:val="24"/>
                <w:lang w:val="zh-CN"/>
              </w:rPr>
            </w:pPr>
          </w:p>
        </w:tc>
        <w:tc>
          <w:tcPr>
            <w:tcW w:w="1708" w:type="dxa"/>
            <w:shd w:val="clear" w:color="auto" w:fill="auto"/>
            <w:vAlign w:val="center"/>
          </w:tcPr>
          <w:p>
            <w:pPr>
              <w:spacing w:line="360" w:lineRule="auto"/>
              <w:jc w:val="center"/>
              <w:rPr>
                <w:rFonts w:ascii="宋体" w:hAnsi="宋体"/>
                <w:color w:val="auto"/>
                <w:kern w:val="0"/>
                <w:sz w:val="24"/>
                <w:szCs w:val="24"/>
                <w:lang w:val="zh-CN"/>
              </w:rPr>
            </w:pPr>
          </w:p>
        </w:tc>
        <w:tc>
          <w:tcPr>
            <w:tcW w:w="1706" w:type="dxa"/>
            <w:shd w:val="clear" w:color="auto" w:fill="auto"/>
            <w:vAlign w:val="center"/>
          </w:tcPr>
          <w:p>
            <w:pPr>
              <w:spacing w:line="360" w:lineRule="auto"/>
              <w:jc w:val="center"/>
              <w:rPr>
                <w:rFonts w:ascii="宋体" w:hAnsi="宋体"/>
                <w:color w:val="auto"/>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color w:val="auto"/>
                <w:kern w:val="0"/>
                <w:sz w:val="24"/>
                <w:szCs w:val="24"/>
                <w:lang w:val="zh-CN"/>
              </w:rPr>
            </w:pPr>
            <w:r>
              <w:rPr>
                <w:rFonts w:hint="eastAsia" w:ascii="宋体" w:hAnsi="宋体"/>
                <w:color w:val="auto"/>
                <w:kern w:val="0"/>
                <w:sz w:val="24"/>
                <w:szCs w:val="24"/>
                <w:lang w:val="zh-CN"/>
              </w:rPr>
              <w:t>3</w:t>
            </w:r>
          </w:p>
        </w:tc>
        <w:tc>
          <w:tcPr>
            <w:tcW w:w="2057" w:type="dxa"/>
            <w:shd w:val="clear" w:color="auto" w:fill="auto"/>
          </w:tcPr>
          <w:p>
            <w:pPr>
              <w:spacing w:line="360" w:lineRule="auto"/>
              <w:jc w:val="center"/>
              <w:rPr>
                <w:rFonts w:ascii="宋体" w:hAnsi="宋体"/>
                <w:color w:val="auto"/>
                <w:kern w:val="0"/>
                <w:sz w:val="24"/>
                <w:szCs w:val="24"/>
                <w:lang w:val="zh-CN"/>
              </w:rPr>
            </w:pPr>
          </w:p>
        </w:tc>
        <w:tc>
          <w:tcPr>
            <w:tcW w:w="3539" w:type="dxa"/>
            <w:shd w:val="clear" w:color="auto" w:fill="auto"/>
            <w:vAlign w:val="center"/>
          </w:tcPr>
          <w:p>
            <w:pPr>
              <w:spacing w:line="360" w:lineRule="auto"/>
              <w:jc w:val="center"/>
              <w:rPr>
                <w:rFonts w:ascii="宋体" w:hAnsi="宋体"/>
                <w:color w:val="auto"/>
                <w:kern w:val="0"/>
                <w:sz w:val="24"/>
                <w:szCs w:val="24"/>
                <w:lang w:val="zh-CN"/>
              </w:rPr>
            </w:pPr>
          </w:p>
        </w:tc>
        <w:tc>
          <w:tcPr>
            <w:tcW w:w="1708" w:type="dxa"/>
            <w:shd w:val="clear" w:color="auto" w:fill="auto"/>
            <w:vAlign w:val="center"/>
          </w:tcPr>
          <w:p>
            <w:pPr>
              <w:spacing w:line="360" w:lineRule="auto"/>
              <w:jc w:val="center"/>
              <w:rPr>
                <w:rFonts w:ascii="宋体" w:hAnsi="宋体"/>
                <w:color w:val="auto"/>
                <w:kern w:val="0"/>
                <w:sz w:val="24"/>
                <w:szCs w:val="24"/>
                <w:lang w:val="zh-CN"/>
              </w:rPr>
            </w:pPr>
          </w:p>
        </w:tc>
        <w:tc>
          <w:tcPr>
            <w:tcW w:w="1706" w:type="dxa"/>
            <w:shd w:val="clear" w:color="auto" w:fill="auto"/>
            <w:vAlign w:val="center"/>
          </w:tcPr>
          <w:p>
            <w:pPr>
              <w:spacing w:line="360" w:lineRule="auto"/>
              <w:jc w:val="center"/>
              <w:rPr>
                <w:rFonts w:ascii="宋体" w:hAnsi="宋体"/>
                <w:color w:val="auto"/>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color w:val="auto"/>
                <w:kern w:val="0"/>
                <w:sz w:val="24"/>
                <w:szCs w:val="24"/>
                <w:lang w:val="zh-CN"/>
              </w:rPr>
            </w:pPr>
            <w:r>
              <w:rPr>
                <w:rFonts w:hint="eastAsia" w:ascii="宋体" w:hAnsi="宋体"/>
                <w:color w:val="auto"/>
                <w:kern w:val="0"/>
                <w:sz w:val="24"/>
                <w:szCs w:val="24"/>
                <w:lang w:val="zh-CN"/>
              </w:rPr>
              <w:t>4</w:t>
            </w:r>
          </w:p>
        </w:tc>
        <w:tc>
          <w:tcPr>
            <w:tcW w:w="2057" w:type="dxa"/>
            <w:shd w:val="clear" w:color="auto" w:fill="auto"/>
          </w:tcPr>
          <w:p>
            <w:pPr>
              <w:spacing w:line="360" w:lineRule="auto"/>
              <w:jc w:val="center"/>
              <w:rPr>
                <w:rFonts w:ascii="宋体" w:hAnsi="宋体"/>
                <w:color w:val="auto"/>
                <w:kern w:val="0"/>
                <w:sz w:val="24"/>
                <w:szCs w:val="24"/>
                <w:lang w:val="zh-CN"/>
              </w:rPr>
            </w:pPr>
          </w:p>
        </w:tc>
        <w:tc>
          <w:tcPr>
            <w:tcW w:w="3539" w:type="dxa"/>
            <w:shd w:val="clear" w:color="auto" w:fill="auto"/>
            <w:vAlign w:val="center"/>
          </w:tcPr>
          <w:p>
            <w:pPr>
              <w:spacing w:line="360" w:lineRule="auto"/>
              <w:jc w:val="center"/>
              <w:rPr>
                <w:rFonts w:ascii="宋体" w:hAnsi="宋体"/>
                <w:color w:val="auto"/>
                <w:kern w:val="0"/>
                <w:sz w:val="24"/>
                <w:szCs w:val="24"/>
                <w:lang w:val="zh-CN"/>
              </w:rPr>
            </w:pPr>
          </w:p>
        </w:tc>
        <w:tc>
          <w:tcPr>
            <w:tcW w:w="1708" w:type="dxa"/>
            <w:shd w:val="clear" w:color="auto" w:fill="auto"/>
            <w:vAlign w:val="center"/>
          </w:tcPr>
          <w:p>
            <w:pPr>
              <w:spacing w:line="360" w:lineRule="auto"/>
              <w:jc w:val="center"/>
              <w:rPr>
                <w:rFonts w:ascii="宋体" w:hAnsi="宋体"/>
                <w:color w:val="auto"/>
                <w:kern w:val="0"/>
                <w:sz w:val="24"/>
                <w:szCs w:val="24"/>
                <w:lang w:val="zh-CN"/>
              </w:rPr>
            </w:pPr>
          </w:p>
        </w:tc>
        <w:tc>
          <w:tcPr>
            <w:tcW w:w="1706" w:type="dxa"/>
            <w:shd w:val="clear" w:color="auto" w:fill="auto"/>
            <w:vAlign w:val="center"/>
          </w:tcPr>
          <w:p>
            <w:pPr>
              <w:spacing w:line="360" w:lineRule="auto"/>
              <w:jc w:val="center"/>
              <w:rPr>
                <w:rFonts w:ascii="宋体" w:hAnsi="宋体"/>
                <w:color w:val="auto"/>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color w:val="auto"/>
                <w:kern w:val="0"/>
                <w:sz w:val="24"/>
                <w:szCs w:val="24"/>
                <w:lang w:val="zh-CN"/>
              </w:rPr>
            </w:pPr>
            <w:r>
              <w:rPr>
                <w:rFonts w:ascii="宋体" w:hAnsi="宋体"/>
                <w:color w:val="auto"/>
                <w:kern w:val="0"/>
                <w:sz w:val="24"/>
                <w:szCs w:val="24"/>
                <w:lang w:val="zh-CN"/>
              </w:rPr>
              <w:t>…</w:t>
            </w:r>
          </w:p>
        </w:tc>
        <w:tc>
          <w:tcPr>
            <w:tcW w:w="2057" w:type="dxa"/>
            <w:shd w:val="clear" w:color="auto" w:fill="auto"/>
          </w:tcPr>
          <w:p>
            <w:pPr>
              <w:spacing w:line="360" w:lineRule="auto"/>
              <w:jc w:val="center"/>
              <w:rPr>
                <w:rFonts w:ascii="宋体" w:hAnsi="宋体"/>
                <w:color w:val="auto"/>
                <w:kern w:val="0"/>
                <w:sz w:val="24"/>
                <w:szCs w:val="24"/>
                <w:lang w:val="zh-CN"/>
              </w:rPr>
            </w:pPr>
          </w:p>
        </w:tc>
        <w:tc>
          <w:tcPr>
            <w:tcW w:w="3539" w:type="dxa"/>
            <w:shd w:val="clear" w:color="auto" w:fill="auto"/>
            <w:vAlign w:val="center"/>
          </w:tcPr>
          <w:p>
            <w:pPr>
              <w:spacing w:line="360" w:lineRule="auto"/>
              <w:jc w:val="center"/>
              <w:rPr>
                <w:rFonts w:ascii="宋体" w:hAnsi="宋体"/>
                <w:color w:val="auto"/>
                <w:kern w:val="0"/>
                <w:sz w:val="24"/>
                <w:szCs w:val="24"/>
                <w:lang w:val="zh-CN"/>
              </w:rPr>
            </w:pPr>
          </w:p>
        </w:tc>
        <w:tc>
          <w:tcPr>
            <w:tcW w:w="1708" w:type="dxa"/>
            <w:shd w:val="clear" w:color="auto" w:fill="auto"/>
            <w:vAlign w:val="center"/>
          </w:tcPr>
          <w:p>
            <w:pPr>
              <w:spacing w:line="360" w:lineRule="auto"/>
              <w:jc w:val="center"/>
              <w:rPr>
                <w:rFonts w:ascii="宋体" w:hAnsi="宋体"/>
                <w:color w:val="auto"/>
                <w:kern w:val="0"/>
                <w:sz w:val="24"/>
                <w:szCs w:val="24"/>
                <w:lang w:val="zh-CN"/>
              </w:rPr>
            </w:pPr>
          </w:p>
        </w:tc>
        <w:tc>
          <w:tcPr>
            <w:tcW w:w="1706" w:type="dxa"/>
            <w:shd w:val="clear" w:color="auto" w:fill="auto"/>
            <w:vAlign w:val="center"/>
          </w:tcPr>
          <w:p>
            <w:pPr>
              <w:spacing w:line="360" w:lineRule="auto"/>
              <w:jc w:val="center"/>
              <w:rPr>
                <w:rFonts w:ascii="宋体" w:hAnsi="宋体"/>
                <w:color w:val="auto"/>
                <w:kern w:val="0"/>
                <w:sz w:val="24"/>
                <w:szCs w:val="24"/>
                <w:lang w:val="zh-CN"/>
              </w:rPr>
            </w:pPr>
          </w:p>
        </w:tc>
      </w:tr>
    </w:tbl>
    <w:p>
      <w:pPr>
        <w:rPr>
          <w:rFonts w:ascii="宋体" w:hAnsi="宋体"/>
          <w:color w:val="auto"/>
          <w:sz w:val="24"/>
          <w:szCs w:val="24"/>
          <w:lang w:val="zh-CN"/>
        </w:rPr>
      </w:pPr>
      <w:r>
        <w:rPr>
          <w:rFonts w:hint="eastAsia" w:ascii="宋体" w:hAnsi="宋体"/>
          <w:color w:val="auto"/>
          <w:sz w:val="24"/>
          <w:szCs w:val="24"/>
          <w:lang w:val="zh-CN"/>
        </w:rPr>
        <w:t>注：投标人根据上述业绩情况后附</w:t>
      </w:r>
      <w:r>
        <w:rPr>
          <w:rFonts w:hint="eastAsia" w:ascii="宋体" w:hAnsi="宋体"/>
          <w:bCs/>
          <w:color w:val="auto"/>
          <w:sz w:val="24"/>
        </w:rPr>
        <w:t>中标通知书复印件、合同协议书复印件。</w:t>
      </w:r>
    </w:p>
    <w:p>
      <w:pPr>
        <w:spacing w:line="360" w:lineRule="auto"/>
        <w:rPr>
          <w:rFonts w:ascii="宋体" w:hAnsi="宋体"/>
          <w:b/>
          <w:color w:val="auto"/>
          <w:sz w:val="24"/>
          <w:szCs w:val="24"/>
        </w:rPr>
      </w:pPr>
      <w:r>
        <w:rPr>
          <w:rFonts w:ascii="宋体" w:hAnsi="宋体"/>
          <w:color w:val="auto"/>
          <w:sz w:val="24"/>
          <w:szCs w:val="24"/>
        </w:rPr>
        <w:br w:type="page"/>
      </w:r>
    </w:p>
    <w:p>
      <w:pPr>
        <w:spacing w:line="360" w:lineRule="auto"/>
        <w:jc w:val="center"/>
        <w:rPr>
          <w:rFonts w:ascii="宋体" w:hAnsi="宋体"/>
          <w:color w:val="auto"/>
          <w:sz w:val="24"/>
          <w:szCs w:val="24"/>
        </w:rPr>
      </w:pPr>
      <w:bookmarkStart w:id="76" w:name="_Toc14044_WPSOffice_Level1"/>
      <w:r>
        <w:rPr>
          <w:rFonts w:hint="eastAsia" w:ascii="宋体" w:hAnsi="宋体"/>
          <w:color w:val="auto"/>
          <w:sz w:val="24"/>
          <w:szCs w:val="24"/>
          <w:lang w:val="zh-CN"/>
        </w:rPr>
        <w:t>十四．投标人基本情况表</w:t>
      </w:r>
      <w:bookmarkEnd w:id="76"/>
    </w:p>
    <w:tbl>
      <w:tblPr>
        <w:tblStyle w:val="27"/>
        <w:tblW w:w="94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72"/>
        <w:gridCol w:w="2261"/>
        <w:gridCol w:w="1441"/>
        <w:gridCol w:w="34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ind w:firstLine="360" w:firstLineChars="150"/>
              <w:rPr>
                <w:rFonts w:ascii="宋体" w:hAnsi="宋体"/>
                <w:color w:val="auto"/>
                <w:sz w:val="24"/>
                <w:szCs w:val="24"/>
              </w:rPr>
            </w:pPr>
            <w:r>
              <w:rPr>
                <w:rFonts w:hint="eastAsia" w:ascii="宋体" w:hAnsi="宋体"/>
                <w:color w:val="auto"/>
                <w:sz w:val="24"/>
                <w:szCs w:val="24"/>
              </w:rPr>
              <w:t xml:space="preserve">   投标人名称</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注册资金</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注册地</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注册时间</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法定代表人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技术负责人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开户银行</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开户银行账号</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7" w:hRule="atLeast"/>
          <w:jc w:val="center"/>
        </w:trPr>
        <w:tc>
          <w:tcPr>
            <w:tcW w:w="942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宋体" w:hAnsi="宋体"/>
                <w:color w:val="auto"/>
                <w:sz w:val="24"/>
                <w:szCs w:val="24"/>
              </w:rPr>
            </w:pPr>
            <w:r>
              <w:rPr>
                <w:rFonts w:hint="eastAsia" w:ascii="宋体" w:hAnsi="宋体"/>
                <w:color w:val="auto"/>
                <w:sz w:val="24"/>
                <w:szCs w:val="24"/>
              </w:rPr>
              <w:t>主营范围：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3" w:hRule="atLeast"/>
          <w:jc w:val="center"/>
        </w:trPr>
        <w:tc>
          <w:tcPr>
            <w:tcW w:w="9428" w:type="dxa"/>
            <w:gridSpan w:val="4"/>
            <w:tcBorders>
              <w:top w:val="single" w:color="auto" w:sz="6" w:space="0"/>
              <w:left w:val="single" w:color="auto" w:sz="6" w:space="0"/>
              <w:bottom w:val="single" w:color="auto" w:sz="4" w:space="0"/>
              <w:right w:val="single" w:color="auto" w:sz="6" w:space="0"/>
            </w:tcBorders>
            <w:vAlign w:val="center"/>
          </w:tcPr>
          <w:p>
            <w:pPr>
              <w:spacing w:line="360" w:lineRule="auto"/>
              <w:jc w:val="left"/>
              <w:rPr>
                <w:rFonts w:ascii="宋体" w:hAnsi="宋体"/>
                <w:color w:val="auto"/>
                <w:sz w:val="24"/>
                <w:szCs w:val="24"/>
              </w:rPr>
            </w:pPr>
            <w:r>
              <w:rPr>
                <w:rFonts w:hint="eastAsia" w:ascii="宋体" w:hAnsi="宋体"/>
                <w:color w:val="auto"/>
                <w:sz w:val="24"/>
                <w:szCs w:val="24"/>
              </w:rPr>
              <w:t>企业资质：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2" w:hRule="atLeast"/>
          <w:jc w:val="center"/>
        </w:trPr>
        <w:tc>
          <w:tcPr>
            <w:tcW w:w="9428" w:type="dxa"/>
            <w:gridSpan w:val="4"/>
            <w:tcBorders>
              <w:top w:val="single" w:color="auto" w:sz="4" w:space="0"/>
              <w:left w:val="single" w:color="auto" w:sz="6" w:space="0"/>
              <w:bottom w:val="single" w:color="auto" w:sz="6" w:space="0"/>
              <w:right w:val="single" w:color="auto" w:sz="6" w:space="0"/>
            </w:tcBorders>
            <w:vAlign w:val="center"/>
          </w:tcPr>
          <w:p>
            <w:pPr>
              <w:spacing w:line="360" w:lineRule="auto"/>
              <w:rPr>
                <w:rFonts w:ascii="宋体" w:hAnsi="宋体"/>
                <w:color w:val="auto"/>
                <w:sz w:val="24"/>
                <w:szCs w:val="24"/>
                <w:lang w:val="zh-CN"/>
              </w:rPr>
            </w:pPr>
            <w:r>
              <w:rPr>
                <w:rFonts w:hint="eastAsia" w:ascii="宋体" w:hAnsi="宋体"/>
                <w:color w:val="auto"/>
                <w:sz w:val="24"/>
                <w:szCs w:val="24"/>
              </w:rPr>
              <w:t>注：投标单位须在该表后附</w:t>
            </w:r>
            <w:r>
              <w:rPr>
                <w:rFonts w:hint="eastAsia" w:ascii="宋体" w:hAnsi="宋体" w:cs="宋体"/>
                <w:bCs/>
                <w:color w:val="auto"/>
                <w:sz w:val="24"/>
                <w:szCs w:val="24"/>
              </w:rPr>
              <w:t>法人或其他组织的营业执照副本、自然人的身份证明</w:t>
            </w:r>
            <w:r>
              <w:rPr>
                <w:rFonts w:hint="eastAsia" w:ascii="宋体" w:hAnsi="宋体"/>
                <w:color w:val="auto"/>
                <w:sz w:val="24"/>
                <w:szCs w:val="24"/>
              </w:rPr>
              <w:t>及招标公告中投标人资质要求的其他资质证明等</w:t>
            </w:r>
            <w:r>
              <w:rPr>
                <w:rFonts w:hint="eastAsia" w:ascii="宋体" w:hAnsi="宋体"/>
                <w:color w:val="auto"/>
                <w:sz w:val="24"/>
                <w:szCs w:val="24"/>
                <w:lang w:val="zh-CN"/>
              </w:rPr>
              <w:t>。</w:t>
            </w:r>
          </w:p>
        </w:tc>
      </w:tr>
    </w:tbl>
    <w:p>
      <w:pPr>
        <w:spacing w:line="360" w:lineRule="auto"/>
        <w:rPr>
          <w:rFonts w:ascii="宋体" w:hAnsi="宋体"/>
          <w:color w:val="auto"/>
          <w:sz w:val="24"/>
          <w:szCs w:val="24"/>
        </w:rPr>
      </w:pPr>
      <w:r>
        <w:rPr>
          <w:rFonts w:hint="eastAsia" w:ascii="宋体" w:hAnsi="宋体"/>
          <w:color w:val="auto"/>
          <w:sz w:val="24"/>
          <w:szCs w:val="24"/>
        </w:rPr>
        <w:t>说明：</w:t>
      </w:r>
    </w:p>
    <w:p>
      <w:pPr>
        <w:ind w:firstLine="480" w:firstLineChars="200"/>
        <w:rPr>
          <w:rFonts w:ascii="宋体" w:hAnsi="宋体"/>
          <w:color w:val="auto"/>
          <w:sz w:val="24"/>
          <w:szCs w:val="24"/>
        </w:rPr>
      </w:pPr>
      <w:r>
        <w:rPr>
          <w:rFonts w:hint="eastAsia" w:ascii="宋体" w:hAnsi="宋体"/>
          <w:color w:val="auto"/>
          <w:sz w:val="24"/>
          <w:szCs w:val="24"/>
        </w:rPr>
        <w:t>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spacing w:line="360" w:lineRule="auto"/>
        <w:rPr>
          <w:rFonts w:ascii="宋体" w:hAnsi="宋体"/>
          <w:b/>
          <w:color w:val="auto"/>
          <w:sz w:val="24"/>
          <w:szCs w:val="24"/>
        </w:rPr>
      </w:pPr>
      <w:r>
        <w:rPr>
          <w:rFonts w:ascii="宋体" w:hAnsi="宋体"/>
          <w:b/>
          <w:color w:val="auto"/>
          <w:sz w:val="24"/>
          <w:szCs w:val="24"/>
        </w:rPr>
        <w:br w:type="page"/>
      </w:r>
    </w:p>
    <w:p>
      <w:pPr>
        <w:spacing w:line="360" w:lineRule="auto"/>
        <w:jc w:val="center"/>
        <w:rPr>
          <w:rFonts w:ascii="宋体" w:hAnsi="宋体"/>
          <w:color w:val="auto"/>
          <w:sz w:val="24"/>
          <w:szCs w:val="24"/>
        </w:rPr>
      </w:pPr>
      <w:bookmarkStart w:id="77" w:name="_Toc438714732"/>
      <w:bookmarkStart w:id="78" w:name="_Toc438655702"/>
      <w:bookmarkStart w:id="79" w:name="_Toc482026556"/>
      <w:r>
        <w:rPr>
          <w:rFonts w:hint="eastAsia" w:ascii="宋体" w:hAnsi="宋体"/>
          <w:color w:val="auto"/>
          <w:sz w:val="24"/>
          <w:szCs w:val="24"/>
        </w:rPr>
        <w:t>十五．商业信誉报告</w:t>
      </w:r>
    </w:p>
    <w:p>
      <w:pPr>
        <w:autoSpaceDE w:val="0"/>
        <w:autoSpaceDN w:val="0"/>
        <w:spacing w:line="360" w:lineRule="auto"/>
        <w:ind w:firstLine="570"/>
        <w:jc w:val="left"/>
        <w:rPr>
          <w:rFonts w:ascii="宋体" w:hAnsi="宋体"/>
          <w:color w:val="auto"/>
          <w:sz w:val="24"/>
          <w:szCs w:val="24"/>
        </w:rPr>
      </w:pPr>
      <w:r>
        <w:rPr>
          <w:rFonts w:hint="eastAsia" w:ascii="宋体" w:hAnsi="宋体"/>
          <w:color w:val="auto"/>
          <w:sz w:val="24"/>
          <w:szCs w:val="24"/>
        </w:rPr>
        <w:t>按照本招标文件第六章资格性审查的要求，提供供应商的具有良好的商业信誉的佐证材料。</w:t>
      </w:r>
    </w:p>
    <w:p>
      <w:pPr>
        <w:spacing w:line="360" w:lineRule="auto"/>
        <w:rPr>
          <w:rFonts w:ascii="宋体" w:hAnsi="宋体"/>
          <w:b/>
          <w:color w:val="auto"/>
          <w:sz w:val="24"/>
          <w:szCs w:val="24"/>
        </w:rPr>
      </w:pPr>
      <w:r>
        <w:rPr>
          <w:rFonts w:hint="eastAsia" w:ascii="宋体" w:hAnsi="宋体"/>
          <w:b/>
          <w:color w:val="auto"/>
          <w:sz w:val="24"/>
          <w:szCs w:val="24"/>
        </w:rPr>
        <w:t>说明：</w:t>
      </w:r>
    </w:p>
    <w:p>
      <w:pPr>
        <w:rPr>
          <w:rFonts w:ascii="宋体" w:hAnsi="宋体"/>
          <w:color w:val="auto"/>
          <w:sz w:val="24"/>
          <w:szCs w:val="24"/>
        </w:rPr>
      </w:pPr>
      <w:r>
        <w:rPr>
          <w:rFonts w:hint="eastAsia" w:ascii="宋体" w:hAnsi="宋体"/>
          <w:color w:val="auto"/>
          <w:sz w:val="24"/>
          <w:szCs w:val="24"/>
        </w:rPr>
        <w:t>1.供应商需提供由“征信中心网”（https://ipcrs.pbccrc.org.cn/）查询的信用报告。</w:t>
      </w:r>
    </w:p>
    <w:p>
      <w:pPr>
        <w:autoSpaceDE w:val="0"/>
        <w:autoSpaceDN w:val="0"/>
        <w:spacing w:line="360" w:lineRule="auto"/>
        <w:rPr>
          <w:rFonts w:ascii="宋体" w:hAnsi="宋体"/>
          <w:b/>
          <w:color w:val="auto"/>
          <w:sz w:val="24"/>
          <w:szCs w:val="24"/>
        </w:rPr>
      </w:pPr>
      <w:r>
        <w:rPr>
          <w:rFonts w:hint="eastAsia" w:ascii="宋体" w:hAnsi="宋体"/>
          <w:color w:val="auto"/>
          <w:sz w:val="24"/>
          <w:szCs w:val="24"/>
        </w:rPr>
        <w:t>2.供应商是企业或个体经营户的需带公司法人身份证及公司营业执照和公章去项目所在地或当地中国人民银行出具信用报告。</w:t>
      </w:r>
      <w:r>
        <w:rPr>
          <w:rFonts w:ascii="宋体" w:hAnsi="宋体"/>
          <w:b/>
          <w:color w:val="auto"/>
          <w:sz w:val="24"/>
          <w:szCs w:val="24"/>
        </w:rPr>
        <w:br w:type="page"/>
      </w:r>
      <w:bookmarkEnd w:id="77"/>
      <w:bookmarkEnd w:id="78"/>
      <w:bookmarkEnd w:id="79"/>
    </w:p>
    <w:p>
      <w:pPr>
        <w:autoSpaceDE w:val="0"/>
        <w:autoSpaceDN w:val="0"/>
        <w:spacing w:line="360" w:lineRule="auto"/>
        <w:jc w:val="center"/>
        <w:rPr>
          <w:rFonts w:ascii="宋体" w:hAnsi="宋体"/>
          <w:color w:val="auto"/>
          <w:sz w:val="24"/>
          <w:szCs w:val="24"/>
        </w:rPr>
      </w:pPr>
      <w:bookmarkStart w:id="80" w:name="_Toc3179_WPSOffice_Level1"/>
      <w:bookmarkStart w:id="81" w:name="_Toc438655703"/>
      <w:bookmarkStart w:id="82" w:name="_Toc438714733"/>
      <w:bookmarkStart w:id="83" w:name="_Toc482026557"/>
      <w:r>
        <w:rPr>
          <w:rFonts w:hint="eastAsia" w:ascii="宋体" w:hAnsi="宋体"/>
          <w:color w:val="auto"/>
          <w:sz w:val="24"/>
          <w:szCs w:val="24"/>
        </w:rPr>
        <w:t>十六．缴纳增值税、营业税或企业所得税的凭据</w:t>
      </w:r>
      <w:bookmarkEnd w:id="80"/>
    </w:p>
    <w:p>
      <w:pPr>
        <w:autoSpaceDE w:val="0"/>
        <w:autoSpaceDN w:val="0"/>
        <w:spacing w:line="360" w:lineRule="auto"/>
        <w:jc w:val="center"/>
        <w:rPr>
          <w:rFonts w:ascii="宋体" w:hAnsi="宋体"/>
          <w:b/>
          <w:color w:val="auto"/>
          <w:sz w:val="24"/>
          <w:szCs w:val="24"/>
        </w:rPr>
      </w:pPr>
    </w:p>
    <w:p>
      <w:pPr>
        <w:autoSpaceDE w:val="0"/>
        <w:autoSpaceDN w:val="0"/>
        <w:spacing w:line="360" w:lineRule="auto"/>
        <w:ind w:firstLine="570"/>
        <w:jc w:val="left"/>
        <w:rPr>
          <w:rFonts w:ascii="宋体" w:hAnsi="宋体"/>
          <w:color w:val="auto"/>
          <w:sz w:val="24"/>
          <w:szCs w:val="24"/>
        </w:rPr>
      </w:pPr>
      <w:r>
        <w:rPr>
          <w:rFonts w:hint="eastAsia" w:ascii="宋体" w:hAnsi="宋体"/>
          <w:color w:val="auto"/>
          <w:sz w:val="24"/>
          <w:szCs w:val="24"/>
        </w:rPr>
        <w:t>按照本招标文件第六章资格性审查的要求，提供投标人的缴纳增值税或营业税或企业所得税的凭据。（至少提供任意一项税种的凭据）</w:t>
      </w:r>
    </w:p>
    <w:p>
      <w:pPr>
        <w:autoSpaceDE w:val="0"/>
        <w:autoSpaceDN w:val="0"/>
        <w:spacing w:line="360" w:lineRule="auto"/>
        <w:ind w:firstLine="570"/>
        <w:jc w:val="left"/>
        <w:rPr>
          <w:rFonts w:ascii="宋体" w:hAnsi="宋体"/>
          <w:color w:val="auto"/>
          <w:sz w:val="24"/>
          <w:szCs w:val="24"/>
        </w:rPr>
      </w:pPr>
      <w:r>
        <w:rPr>
          <w:rFonts w:hint="eastAsia" w:ascii="宋体" w:hAnsi="宋体"/>
          <w:b/>
          <w:color w:val="auto"/>
          <w:sz w:val="24"/>
          <w:szCs w:val="24"/>
        </w:rPr>
        <w:t>说明：</w:t>
      </w:r>
      <w:r>
        <w:rPr>
          <w:rFonts w:hint="eastAsia"/>
          <w:color w:val="auto"/>
          <w:sz w:val="24"/>
          <w:szCs w:val="24"/>
        </w:rPr>
        <w:t>依法免税的投标人，应提供相应文件证明其依法免税。</w:t>
      </w:r>
    </w:p>
    <w:p>
      <w:pPr>
        <w:autoSpaceDE w:val="0"/>
        <w:autoSpaceDN w:val="0"/>
        <w:spacing w:line="360" w:lineRule="auto"/>
        <w:rPr>
          <w:rFonts w:ascii="宋体" w:hAnsi="宋体"/>
          <w:b/>
          <w:color w:val="auto"/>
          <w:sz w:val="24"/>
          <w:szCs w:val="24"/>
        </w:rPr>
      </w:pPr>
      <w:r>
        <w:rPr>
          <w:rFonts w:ascii="宋体" w:hAnsi="宋体"/>
          <w:b/>
          <w:color w:val="auto"/>
          <w:sz w:val="24"/>
          <w:szCs w:val="24"/>
        </w:rPr>
        <w:br w:type="page"/>
      </w:r>
      <w:bookmarkEnd w:id="81"/>
      <w:bookmarkEnd w:id="82"/>
      <w:bookmarkEnd w:id="83"/>
    </w:p>
    <w:p>
      <w:pPr>
        <w:autoSpaceDE w:val="0"/>
        <w:autoSpaceDN w:val="0"/>
        <w:spacing w:line="360" w:lineRule="auto"/>
        <w:jc w:val="center"/>
        <w:rPr>
          <w:rFonts w:ascii="宋体" w:hAnsi="宋体"/>
          <w:color w:val="auto"/>
          <w:sz w:val="24"/>
          <w:szCs w:val="24"/>
        </w:rPr>
      </w:pPr>
      <w:bookmarkStart w:id="84" w:name="_Toc14866_WPSOffice_Level1"/>
      <w:r>
        <w:rPr>
          <w:rFonts w:hint="eastAsia" w:ascii="宋体" w:hAnsi="宋体"/>
          <w:color w:val="auto"/>
          <w:sz w:val="24"/>
          <w:szCs w:val="24"/>
        </w:rPr>
        <w:t>十七．缴纳社会保险的凭据</w:t>
      </w:r>
      <w:bookmarkEnd w:id="84"/>
    </w:p>
    <w:p>
      <w:pPr>
        <w:autoSpaceDE w:val="0"/>
        <w:autoSpaceDN w:val="0"/>
        <w:spacing w:line="360" w:lineRule="auto"/>
        <w:rPr>
          <w:rFonts w:ascii="宋体" w:hAnsi="宋体"/>
          <w:b/>
          <w:color w:val="auto"/>
          <w:sz w:val="24"/>
          <w:szCs w:val="24"/>
        </w:rPr>
      </w:pPr>
    </w:p>
    <w:p>
      <w:pPr>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按照本招标文件第六章资格性审查的要求，提供投标人的缴纳社会保险的凭据（专用收据或社保缴纳清单）。</w:t>
      </w:r>
    </w:p>
    <w:p>
      <w:pPr>
        <w:spacing w:line="360" w:lineRule="auto"/>
        <w:ind w:firstLine="482" w:firstLineChars="200"/>
        <w:rPr>
          <w:color w:val="auto"/>
          <w:sz w:val="24"/>
          <w:szCs w:val="24"/>
        </w:rPr>
      </w:pPr>
      <w:r>
        <w:rPr>
          <w:rFonts w:hint="eastAsia" w:ascii="宋体" w:hAnsi="宋体"/>
          <w:b/>
          <w:color w:val="auto"/>
          <w:sz w:val="24"/>
          <w:szCs w:val="24"/>
        </w:rPr>
        <w:t>说明：</w:t>
      </w:r>
      <w:r>
        <w:rPr>
          <w:rFonts w:hint="eastAsia"/>
          <w:color w:val="auto"/>
          <w:sz w:val="24"/>
          <w:szCs w:val="24"/>
        </w:rPr>
        <w:t>提供</w:t>
      </w:r>
      <w:r>
        <w:rPr>
          <w:rFonts w:hint="eastAsia" w:ascii="宋体" w:hAnsi="宋体"/>
          <w:color w:val="auto"/>
          <w:sz w:val="24"/>
          <w:szCs w:val="24"/>
        </w:rPr>
        <w:t>社保缴纳清单的须加盖相关社保部门的公章；</w:t>
      </w:r>
      <w:r>
        <w:rPr>
          <w:rFonts w:hint="eastAsia"/>
          <w:color w:val="auto"/>
          <w:sz w:val="24"/>
          <w:szCs w:val="24"/>
        </w:rPr>
        <w:t>依法不需要缴纳社会保障资金的投标人，应提供相应文件证明其依法不需要缴纳社会保障资金。</w:t>
      </w:r>
    </w:p>
    <w:p>
      <w:pPr>
        <w:ind w:firstLine="480" w:firstLineChars="200"/>
        <w:rPr>
          <w:color w:val="auto"/>
          <w:sz w:val="24"/>
          <w:szCs w:val="24"/>
        </w:rPr>
      </w:pPr>
      <w:r>
        <w:rPr>
          <w:color w:val="auto"/>
          <w:sz w:val="24"/>
          <w:szCs w:val="24"/>
        </w:rPr>
        <w:br w:type="page"/>
      </w:r>
    </w:p>
    <w:p>
      <w:pPr>
        <w:rPr>
          <w:color w:val="auto"/>
          <w:sz w:val="24"/>
          <w:szCs w:val="24"/>
        </w:rPr>
      </w:pPr>
    </w:p>
    <w:p>
      <w:pPr>
        <w:autoSpaceDE w:val="0"/>
        <w:autoSpaceDN w:val="0"/>
        <w:spacing w:line="360" w:lineRule="auto"/>
        <w:jc w:val="center"/>
        <w:rPr>
          <w:rFonts w:ascii="宋体" w:hAnsi="宋体"/>
          <w:color w:val="auto"/>
          <w:sz w:val="24"/>
          <w:szCs w:val="24"/>
        </w:rPr>
      </w:pPr>
      <w:r>
        <w:rPr>
          <w:rFonts w:hint="eastAsia" w:ascii="宋体" w:hAnsi="宋体"/>
          <w:color w:val="auto"/>
          <w:sz w:val="24"/>
          <w:szCs w:val="24"/>
        </w:rPr>
        <w:t>十八．参加政府采购近三年内在经营活动中无</w:t>
      </w:r>
    </w:p>
    <w:p>
      <w:pPr>
        <w:autoSpaceDE w:val="0"/>
        <w:autoSpaceDN w:val="0"/>
        <w:spacing w:line="360" w:lineRule="auto"/>
        <w:jc w:val="center"/>
        <w:rPr>
          <w:rFonts w:ascii="宋体" w:hAnsi="宋体"/>
          <w:color w:val="auto"/>
          <w:sz w:val="24"/>
          <w:szCs w:val="24"/>
        </w:rPr>
      </w:pPr>
      <w:r>
        <w:rPr>
          <w:rFonts w:hint="eastAsia" w:ascii="宋体" w:hAnsi="宋体"/>
          <w:color w:val="auto"/>
          <w:sz w:val="24"/>
          <w:szCs w:val="24"/>
        </w:rPr>
        <w:t>重大违法记录书面声明</w:t>
      </w:r>
    </w:p>
    <w:p>
      <w:pPr>
        <w:autoSpaceDE w:val="0"/>
        <w:autoSpaceDN w:val="0"/>
        <w:spacing w:line="360" w:lineRule="auto"/>
        <w:rPr>
          <w:rFonts w:ascii="宋体" w:hAnsi="宋体"/>
          <w:b/>
          <w:bCs/>
          <w:color w:val="auto"/>
          <w:sz w:val="24"/>
          <w:szCs w:val="24"/>
        </w:rPr>
      </w:pPr>
      <w:r>
        <w:rPr>
          <w:rFonts w:hint="eastAsia" w:ascii="宋体" w:hAnsi="宋体"/>
          <w:color w:val="auto"/>
          <w:sz w:val="24"/>
          <w:szCs w:val="24"/>
        </w:rPr>
        <w:t>（采购单位）：</w:t>
      </w:r>
    </w:p>
    <w:p>
      <w:pPr>
        <w:tabs>
          <w:tab w:val="left" w:pos="8820"/>
        </w:tabs>
        <w:autoSpaceDE w:val="0"/>
        <w:autoSpaceDN w:val="0"/>
        <w:spacing w:line="360" w:lineRule="auto"/>
        <w:ind w:firstLine="560"/>
        <w:rPr>
          <w:rFonts w:ascii="宋体" w:hAnsi="宋体" w:cs="宋体"/>
          <w:color w:val="auto"/>
          <w:kern w:val="0"/>
          <w:sz w:val="24"/>
          <w:szCs w:val="24"/>
        </w:rPr>
      </w:pPr>
      <w:r>
        <w:rPr>
          <w:rFonts w:hint="eastAsia" w:ascii="宋体" w:hAnsi="宋体" w:cs="宋体"/>
          <w:color w:val="auto"/>
          <w:kern w:val="0"/>
          <w:sz w:val="24"/>
          <w:szCs w:val="24"/>
        </w:rPr>
        <w:t>我公司自愿参加本次政府采购活动（项目名称，项目编号：），严格遵守《中华人民共和国政府采购法》、《政府采购法实施条例》及所有相关法律.法规和规定，同时郑重承诺：</w:t>
      </w:r>
    </w:p>
    <w:p>
      <w:pPr>
        <w:tabs>
          <w:tab w:val="left" w:pos="8820"/>
        </w:tabs>
        <w:autoSpaceDE w:val="0"/>
        <w:autoSpaceDN w:val="0"/>
        <w:spacing w:line="360" w:lineRule="auto"/>
        <w:ind w:firstLine="560"/>
        <w:rPr>
          <w:rFonts w:ascii="宋体" w:hAnsi="宋体"/>
          <w:color w:val="auto"/>
          <w:sz w:val="24"/>
          <w:szCs w:val="24"/>
        </w:rPr>
      </w:pPr>
      <w:r>
        <w:rPr>
          <w:rFonts w:hint="eastAsia" w:ascii="宋体" w:hAnsi="宋体"/>
          <w:color w:val="auto"/>
          <w:sz w:val="24"/>
          <w:szCs w:val="24"/>
        </w:rPr>
        <w:t>在参加此次政府采购活动近3年内，本公司在经营活动中无重大违法记录，并在企业工商注册所在地或项目所在地信用管理中心出具的《信用信息查询结果》、“中国政府采购网”网站（www.ccgp.gov.cn）上均无任何违法违规行为的纪录。</w:t>
      </w:r>
    </w:p>
    <w:p>
      <w:pPr>
        <w:tabs>
          <w:tab w:val="left" w:pos="8820"/>
        </w:tabs>
        <w:autoSpaceDE w:val="0"/>
        <w:autoSpaceDN w:val="0"/>
        <w:spacing w:line="360" w:lineRule="auto"/>
        <w:ind w:firstLine="560"/>
        <w:rPr>
          <w:rFonts w:ascii="宋体" w:hAnsi="宋体"/>
          <w:color w:val="auto"/>
          <w:sz w:val="24"/>
          <w:szCs w:val="24"/>
        </w:rPr>
      </w:pPr>
      <w:r>
        <w:rPr>
          <w:rFonts w:hint="eastAsia" w:ascii="宋体" w:hAnsi="宋体"/>
          <w:color w:val="auto"/>
          <w:sz w:val="24"/>
          <w:szCs w:val="24"/>
        </w:rPr>
        <w:t>特此声明。</w:t>
      </w:r>
    </w:p>
    <w:p>
      <w:pPr>
        <w:tabs>
          <w:tab w:val="left" w:pos="8820"/>
        </w:tabs>
        <w:autoSpaceDE w:val="0"/>
        <w:autoSpaceDN w:val="0"/>
        <w:spacing w:line="360" w:lineRule="auto"/>
        <w:ind w:firstLine="560"/>
        <w:rPr>
          <w:rFonts w:ascii="宋体" w:hAnsi="宋体"/>
          <w:color w:val="auto"/>
          <w:sz w:val="24"/>
          <w:szCs w:val="24"/>
        </w:rPr>
      </w:pPr>
    </w:p>
    <w:p>
      <w:pPr>
        <w:tabs>
          <w:tab w:val="left" w:pos="8820"/>
        </w:tabs>
        <w:autoSpaceDE w:val="0"/>
        <w:autoSpaceDN w:val="0"/>
        <w:spacing w:line="360" w:lineRule="auto"/>
        <w:ind w:firstLine="560"/>
        <w:rPr>
          <w:rFonts w:ascii="宋体" w:hAnsi="宋体"/>
          <w:color w:val="auto"/>
          <w:sz w:val="24"/>
          <w:szCs w:val="24"/>
        </w:rPr>
      </w:pPr>
    </w:p>
    <w:p>
      <w:pPr>
        <w:tabs>
          <w:tab w:val="left" w:pos="8820"/>
        </w:tabs>
        <w:autoSpaceDE w:val="0"/>
        <w:autoSpaceDN w:val="0"/>
        <w:spacing w:line="360" w:lineRule="auto"/>
        <w:ind w:firstLine="560"/>
        <w:rPr>
          <w:rFonts w:ascii="宋体" w:hAnsi="宋体"/>
          <w:color w:val="auto"/>
          <w:sz w:val="24"/>
          <w:szCs w:val="24"/>
        </w:rPr>
      </w:pPr>
      <w:r>
        <w:rPr>
          <w:rFonts w:hint="eastAsia" w:ascii="宋体" w:hAnsi="宋体"/>
          <w:color w:val="auto"/>
          <w:sz w:val="24"/>
          <w:szCs w:val="24"/>
        </w:rPr>
        <w:t xml:space="preserve">                                年  月  日</w:t>
      </w:r>
    </w:p>
    <w:p>
      <w:pPr>
        <w:spacing w:line="360" w:lineRule="auto"/>
        <w:rPr>
          <w:rFonts w:ascii="宋体" w:hAnsi="宋体"/>
          <w:color w:val="auto"/>
          <w:sz w:val="24"/>
          <w:szCs w:val="24"/>
        </w:rPr>
      </w:pPr>
    </w:p>
    <w:p>
      <w:pPr>
        <w:spacing w:line="360" w:lineRule="auto"/>
        <w:ind w:firstLine="480" w:firstLineChars="200"/>
        <w:rPr>
          <w:rFonts w:ascii="宋体" w:hAnsi="宋体"/>
          <w:color w:val="auto"/>
          <w:sz w:val="24"/>
          <w:szCs w:val="24"/>
          <w:u w:val="single"/>
        </w:rPr>
      </w:pPr>
      <w:r>
        <w:rPr>
          <w:rFonts w:hint="eastAsia" w:ascii="宋体" w:hAnsi="宋体"/>
          <w:color w:val="auto"/>
          <w:sz w:val="24"/>
          <w:szCs w:val="24"/>
        </w:rPr>
        <w:t xml:space="preserve">            供应商名称（公章）：</w:t>
      </w:r>
    </w:p>
    <w:p>
      <w:pPr>
        <w:spacing w:line="360" w:lineRule="auto"/>
        <w:ind w:firstLine="480" w:firstLineChars="200"/>
        <w:rPr>
          <w:rFonts w:ascii="宋体" w:hAnsi="宋体"/>
          <w:color w:val="auto"/>
          <w:sz w:val="24"/>
          <w:szCs w:val="24"/>
          <w:u w:val="single"/>
        </w:rPr>
      </w:pPr>
      <w:r>
        <w:rPr>
          <w:rFonts w:hint="eastAsia" w:ascii="宋体" w:hAnsi="宋体"/>
          <w:color w:val="auto"/>
          <w:sz w:val="24"/>
          <w:szCs w:val="24"/>
        </w:rPr>
        <w:t xml:space="preserve">            法定代表或其授权人（签字）：</w:t>
      </w:r>
    </w:p>
    <w:p>
      <w:pPr>
        <w:autoSpaceDE w:val="0"/>
        <w:autoSpaceDN w:val="0"/>
        <w:spacing w:line="360" w:lineRule="auto"/>
        <w:rPr>
          <w:rFonts w:ascii="宋体" w:hAnsi="宋体"/>
          <w:b/>
          <w:bCs/>
          <w:color w:val="auto"/>
          <w:kern w:val="0"/>
          <w:sz w:val="24"/>
          <w:szCs w:val="24"/>
        </w:rPr>
      </w:pPr>
    </w:p>
    <w:p>
      <w:pPr>
        <w:autoSpaceDE w:val="0"/>
        <w:autoSpaceDN w:val="0"/>
        <w:spacing w:line="360" w:lineRule="auto"/>
        <w:rPr>
          <w:rFonts w:ascii="宋体" w:hAnsi="宋体"/>
          <w:b/>
          <w:bCs/>
          <w:color w:val="auto"/>
          <w:kern w:val="0"/>
          <w:sz w:val="24"/>
          <w:szCs w:val="24"/>
          <w:lang w:val="zh-CN"/>
        </w:rPr>
      </w:pPr>
    </w:p>
    <w:p>
      <w:pPr>
        <w:autoSpaceDE w:val="0"/>
        <w:autoSpaceDN w:val="0"/>
        <w:spacing w:line="360" w:lineRule="auto"/>
        <w:rPr>
          <w:rFonts w:ascii="宋体" w:hAnsi="宋体"/>
          <w:b/>
          <w:bCs/>
          <w:color w:val="auto"/>
          <w:kern w:val="0"/>
          <w:sz w:val="24"/>
          <w:szCs w:val="24"/>
          <w:lang w:val="zh-CN"/>
        </w:rPr>
      </w:pPr>
      <w:r>
        <w:rPr>
          <w:rFonts w:hint="eastAsia" w:ascii="宋体" w:hAnsi="宋体"/>
          <w:color w:val="auto"/>
          <w:sz w:val="24"/>
          <w:szCs w:val="24"/>
        </w:rPr>
        <w:t>说明：供应商应提供《信用信息查询结果》和“中国政府采购网”查询截图。</w:t>
      </w:r>
    </w:p>
    <w:p>
      <w:pPr>
        <w:autoSpaceDE w:val="0"/>
        <w:autoSpaceDN w:val="0"/>
        <w:spacing w:line="360" w:lineRule="auto"/>
        <w:rPr>
          <w:rFonts w:ascii="宋体" w:hAnsi="宋体"/>
          <w:b/>
          <w:bCs/>
          <w:color w:val="auto"/>
          <w:kern w:val="0"/>
          <w:sz w:val="24"/>
          <w:szCs w:val="24"/>
          <w:lang w:val="zh-CN"/>
        </w:rPr>
      </w:pPr>
    </w:p>
    <w:p>
      <w:pPr>
        <w:autoSpaceDE w:val="0"/>
        <w:autoSpaceDN w:val="0"/>
        <w:spacing w:line="360" w:lineRule="auto"/>
        <w:rPr>
          <w:rFonts w:ascii="宋体" w:hAnsi="宋体"/>
          <w:b/>
          <w:bCs/>
          <w:color w:val="auto"/>
          <w:kern w:val="0"/>
          <w:sz w:val="24"/>
          <w:szCs w:val="24"/>
          <w:lang w:val="zh-CN"/>
        </w:rPr>
      </w:pPr>
    </w:p>
    <w:p>
      <w:pPr>
        <w:autoSpaceDE w:val="0"/>
        <w:autoSpaceDN w:val="0"/>
        <w:spacing w:line="360" w:lineRule="auto"/>
        <w:rPr>
          <w:rFonts w:ascii="宋体" w:hAnsi="宋体"/>
          <w:b/>
          <w:bCs/>
          <w:color w:val="auto"/>
          <w:kern w:val="0"/>
          <w:sz w:val="24"/>
          <w:szCs w:val="24"/>
          <w:lang w:val="zh-CN"/>
        </w:rPr>
      </w:pPr>
    </w:p>
    <w:p>
      <w:pPr>
        <w:autoSpaceDE w:val="0"/>
        <w:autoSpaceDN w:val="0"/>
        <w:spacing w:line="360" w:lineRule="auto"/>
        <w:rPr>
          <w:rFonts w:ascii="宋体" w:hAnsi="宋体"/>
          <w:b/>
          <w:bCs/>
          <w:color w:val="auto"/>
          <w:kern w:val="0"/>
          <w:sz w:val="24"/>
          <w:szCs w:val="24"/>
          <w:lang w:val="zh-CN"/>
        </w:rPr>
      </w:pPr>
    </w:p>
    <w:p>
      <w:pPr>
        <w:autoSpaceDE w:val="0"/>
        <w:autoSpaceDN w:val="0"/>
        <w:spacing w:line="360" w:lineRule="auto"/>
        <w:rPr>
          <w:rFonts w:ascii="宋体" w:hAnsi="宋体"/>
          <w:b/>
          <w:bCs/>
          <w:color w:val="auto"/>
          <w:kern w:val="0"/>
          <w:sz w:val="24"/>
          <w:szCs w:val="24"/>
          <w:lang w:val="zh-CN"/>
        </w:rPr>
      </w:pPr>
    </w:p>
    <w:p>
      <w:pPr>
        <w:autoSpaceDE w:val="0"/>
        <w:autoSpaceDN w:val="0"/>
        <w:spacing w:line="360" w:lineRule="auto"/>
        <w:rPr>
          <w:rFonts w:ascii="宋体" w:hAnsi="宋体"/>
          <w:b/>
          <w:bCs/>
          <w:color w:val="auto"/>
          <w:kern w:val="0"/>
          <w:sz w:val="24"/>
          <w:szCs w:val="24"/>
          <w:lang w:val="zh-CN"/>
        </w:rPr>
      </w:pPr>
    </w:p>
    <w:p>
      <w:pPr>
        <w:autoSpaceDE w:val="0"/>
        <w:autoSpaceDN w:val="0"/>
        <w:spacing w:line="360" w:lineRule="auto"/>
        <w:rPr>
          <w:rFonts w:ascii="宋体" w:hAnsi="宋体"/>
          <w:b/>
          <w:bCs/>
          <w:color w:val="auto"/>
          <w:kern w:val="0"/>
          <w:sz w:val="24"/>
          <w:szCs w:val="24"/>
          <w:lang w:val="zh-CN"/>
        </w:rPr>
      </w:pPr>
    </w:p>
    <w:p>
      <w:pPr>
        <w:autoSpaceDE w:val="0"/>
        <w:autoSpaceDN w:val="0"/>
        <w:spacing w:line="360" w:lineRule="auto"/>
        <w:rPr>
          <w:rFonts w:ascii="宋体" w:hAnsi="宋体"/>
          <w:b/>
          <w:bCs/>
          <w:color w:val="auto"/>
          <w:kern w:val="0"/>
          <w:sz w:val="24"/>
          <w:szCs w:val="24"/>
          <w:lang w:val="zh-CN"/>
        </w:rPr>
      </w:pPr>
    </w:p>
    <w:p>
      <w:pPr>
        <w:autoSpaceDE w:val="0"/>
        <w:autoSpaceDN w:val="0"/>
        <w:spacing w:line="360" w:lineRule="auto"/>
        <w:rPr>
          <w:rFonts w:ascii="宋体" w:hAnsi="宋体"/>
          <w:b/>
          <w:bCs/>
          <w:color w:val="auto"/>
          <w:kern w:val="0"/>
          <w:sz w:val="24"/>
          <w:szCs w:val="24"/>
          <w:lang w:val="zh-CN"/>
        </w:rPr>
      </w:pPr>
    </w:p>
    <w:p>
      <w:pPr>
        <w:autoSpaceDE w:val="0"/>
        <w:autoSpaceDN w:val="0"/>
        <w:spacing w:line="360" w:lineRule="auto"/>
        <w:rPr>
          <w:rFonts w:ascii="宋体" w:hAnsi="宋体"/>
          <w:b/>
          <w:bCs/>
          <w:color w:val="auto"/>
          <w:kern w:val="0"/>
          <w:sz w:val="24"/>
          <w:szCs w:val="24"/>
          <w:lang w:val="zh-CN"/>
        </w:rPr>
      </w:pPr>
    </w:p>
    <w:p>
      <w:pPr>
        <w:autoSpaceDE w:val="0"/>
        <w:autoSpaceDN w:val="0"/>
        <w:spacing w:line="360" w:lineRule="auto"/>
        <w:rPr>
          <w:rFonts w:ascii="宋体" w:hAnsi="宋体"/>
          <w:b/>
          <w:bCs/>
          <w:color w:val="auto"/>
          <w:kern w:val="0"/>
          <w:sz w:val="24"/>
          <w:szCs w:val="24"/>
          <w:lang w:val="zh-CN"/>
        </w:rPr>
      </w:pPr>
    </w:p>
    <w:p>
      <w:pPr>
        <w:autoSpaceDE w:val="0"/>
        <w:autoSpaceDN w:val="0"/>
        <w:spacing w:line="500" w:lineRule="exact"/>
        <w:ind w:firstLine="480" w:firstLineChars="200"/>
        <w:jc w:val="center"/>
        <w:rPr>
          <w:rFonts w:ascii="宋体" w:hAnsi="宋体"/>
          <w:color w:val="auto"/>
          <w:sz w:val="24"/>
          <w:szCs w:val="24"/>
        </w:rPr>
      </w:pPr>
      <w:r>
        <w:rPr>
          <w:rFonts w:hint="eastAsia" w:ascii="宋体" w:hAnsi="宋体"/>
          <w:bCs/>
          <w:color w:val="auto"/>
          <w:sz w:val="24"/>
          <w:szCs w:val="24"/>
        </w:rPr>
        <w:t>十九．《信用信息查询结果》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bCs/>
          <w:color w:val="auto"/>
          <w:kern w:val="0"/>
          <w:sz w:val="24"/>
          <w:szCs w:val="24"/>
          <w:lang w:val="zh-C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华文中宋" w:eastAsia="黑体"/>
          <w:b/>
          <w:color w:val="auto"/>
          <w:sz w:val="24"/>
          <w:szCs w:val="24"/>
        </w:rPr>
      </w:pPr>
      <w:r>
        <w:rPr>
          <w:rFonts w:hint="eastAsia" w:ascii="宋体" w:hAnsi="宋体"/>
          <w:b/>
          <w:bCs/>
          <w:color w:val="auto"/>
          <w:sz w:val="24"/>
          <w:szCs w:val="24"/>
        </w:rPr>
        <w:t>鄂托克前旗企业信用信息查询申请表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right"/>
        <w:rPr>
          <w:rFonts w:ascii="仿宋_GB2312" w:hAnsi="华文中宋" w:eastAsia="仿宋_GB2312"/>
          <w:color w:val="auto"/>
          <w:sz w:val="24"/>
          <w:szCs w:val="24"/>
        </w:rPr>
      </w:pPr>
      <w:r>
        <w:rPr>
          <w:rFonts w:hint="eastAsia" w:ascii="宋体" w:hAnsi="宋体" w:cs="Arial"/>
          <w:color w:val="auto"/>
          <w:sz w:val="24"/>
          <w:szCs w:val="24"/>
        </w:rPr>
        <w:t xml:space="preserve">编号：           </w:t>
      </w:r>
    </w:p>
    <w:tbl>
      <w:tblPr>
        <w:tblStyle w:val="27"/>
        <w:tblW w:w="1082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98"/>
        <w:gridCol w:w="3009"/>
        <w:gridCol w:w="465"/>
        <w:gridCol w:w="1513"/>
        <w:gridCol w:w="288"/>
        <w:gridCol w:w="31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03" w:type="dxa"/>
            <w:gridSpan w:val="2"/>
            <w:tcBorders>
              <w:top w:val="single" w:color="auto" w:sz="8" w:space="0"/>
              <w:bottom w:val="single" w:color="auto" w:sz="8"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申请企业</w:t>
            </w:r>
          </w:p>
        </w:tc>
        <w:tc>
          <w:tcPr>
            <w:tcW w:w="8424" w:type="dxa"/>
            <w:gridSpan w:val="5"/>
            <w:tcBorders>
              <w:top w:val="single" w:color="auto" w:sz="8" w:space="0"/>
              <w:bottom w:val="single" w:color="auto" w:sz="8" w:space="0"/>
            </w:tcBorders>
            <w:vAlign w:val="center"/>
          </w:tcPr>
          <w:p>
            <w:pPr>
              <w:spacing w:line="360" w:lineRule="auto"/>
              <w:ind w:firstLine="360" w:firstLineChars="150"/>
              <w:rPr>
                <w:rFonts w:ascii="宋体"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705" w:type="dxa"/>
            <w:vMerge w:val="restart"/>
            <w:tcBorders>
              <w:top w:val="single" w:color="auto" w:sz="8"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查询企业</w:t>
            </w:r>
          </w:p>
        </w:tc>
        <w:tc>
          <w:tcPr>
            <w:tcW w:w="1698" w:type="dxa"/>
            <w:tcBorders>
              <w:top w:val="single" w:color="auto" w:sz="8" w:space="0"/>
              <w:bottom w:val="single" w:color="auto" w:sz="4" w:space="0"/>
            </w:tcBorders>
            <w:vAlign w:val="center"/>
          </w:tcPr>
          <w:p>
            <w:pPr>
              <w:spacing w:line="400" w:lineRule="exact"/>
              <w:jc w:val="left"/>
              <w:rPr>
                <w:rFonts w:ascii="宋体" w:hAnsi="宋体"/>
                <w:color w:val="auto"/>
                <w:sz w:val="24"/>
                <w:szCs w:val="24"/>
              </w:rPr>
            </w:pPr>
            <w:r>
              <w:rPr>
                <w:rFonts w:hint="eastAsia" w:ascii="宋体" w:hAnsi="宋体"/>
                <w:color w:val="auto"/>
                <w:sz w:val="24"/>
                <w:szCs w:val="24"/>
              </w:rPr>
              <w:t>所查询企业</w:t>
            </w:r>
          </w:p>
          <w:p>
            <w:pPr>
              <w:spacing w:line="400" w:lineRule="exact"/>
              <w:jc w:val="left"/>
              <w:rPr>
                <w:rFonts w:ascii="宋体" w:hAnsi="宋体"/>
                <w:color w:val="auto"/>
                <w:sz w:val="24"/>
                <w:szCs w:val="24"/>
              </w:rPr>
            </w:pPr>
            <w:r>
              <w:rPr>
                <w:rFonts w:hint="eastAsia" w:ascii="宋体" w:hAnsi="宋体"/>
                <w:color w:val="auto"/>
                <w:sz w:val="24"/>
                <w:szCs w:val="24"/>
              </w:rPr>
              <w:t>全称</w:t>
            </w:r>
          </w:p>
        </w:tc>
        <w:tc>
          <w:tcPr>
            <w:tcW w:w="8424" w:type="dxa"/>
            <w:gridSpan w:val="5"/>
            <w:tcBorders>
              <w:top w:val="single" w:color="auto" w:sz="8" w:space="0"/>
            </w:tcBorders>
            <w:vAlign w:val="center"/>
          </w:tcPr>
          <w:p>
            <w:pPr>
              <w:spacing w:line="360" w:lineRule="auto"/>
              <w:rPr>
                <w:rFonts w:ascii="宋体"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5" w:type="dxa"/>
            <w:vMerge w:val="continue"/>
            <w:vAlign w:val="center"/>
          </w:tcPr>
          <w:p>
            <w:pPr>
              <w:spacing w:line="360" w:lineRule="auto"/>
              <w:jc w:val="left"/>
              <w:rPr>
                <w:color w:val="auto"/>
                <w:sz w:val="24"/>
                <w:szCs w:val="24"/>
              </w:rPr>
            </w:pPr>
          </w:p>
        </w:tc>
        <w:tc>
          <w:tcPr>
            <w:tcW w:w="1698" w:type="dxa"/>
            <w:tcBorders>
              <w:top w:val="single" w:color="auto" w:sz="8" w:space="0"/>
              <w:bottom w:val="single" w:color="auto" w:sz="4" w:space="0"/>
            </w:tcBorders>
            <w:vAlign w:val="center"/>
          </w:tcPr>
          <w:p>
            <w:pPr>
              <w:spacing w:line="400" w:lineRule="exact"/>
              <w:jc w:val="left"/>
              <w:rPr>
                <w:rFonts w:ascii="宋体" w:hAnsi="宋体"/>
                <w:color w:val="auto"/>
                <w:sz w:val="24"/>
                <w:szCs w:val="24"/>
              </w:rPr>
            </w:pPr>
            <w:r>
              <w:rPr>
                <w:rFonts w:hint="eastAsia" w:ascii="宋体" w:hAnsi="宋体"/>
                <w:color w:val="auto"/>
                <w:sz w:val="24"/>
                <w:szCs w:val="24"/>
              </w:rPr>
              <w:t>企业统一社会信用代码</w:t>
            </w:r>
          </w:p>
        </w:tc>
        <w:tc>
          <w:tcPr>
            <w:tcW w:w="8424" w:type="dxa"/>
            <w:gridSpan w:val="5"/>
            <w:tcBorders>
              <w:bottom w:val="single" w:color="auto" w:sz="4" w:space="0"/>
            </w:tcBorders>
            <w:vAlign w:val="center"/>
          </w:tcPr>
          <w:p>
            <w:pPr>
              <w:spacing w:line="360" w:lineRule="auto"/>
              <w:jc w:val="left"/>
              <w:rPr>
                <w:rFonts w:ascii="宋体"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05" w:type="dxa"/>
            <w:vMerge w:val="continue"/>
            <w:vAlign w:val="center"/>
          </w:tcPr>
          <w:p>
            <w:pPr>
              <w:spacing w:line="360" w:lineRule="auto"/>
              <w:jc w:val="center"/>
              <w:rPr>
                <w:rFonts w:ascii="宋体" w:hAnsi="宋体"/>
                <w:color w:val="auto"/>
                <w:sz w:val="24"/>
                <w:szCs w:val="24"/>
              </w:rPr>
            </w:pPr>
          </w:p>
        </w:tc>
        <w:tc>
          <w:tcPr>
            <w:tcW w:w="1698" w:type="dxa"/>
            <w:tcBorders>
              <w:top w:val="single" w:color="auto" w:sz="8" w:space="0"/>
              <w:bottom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法人姓名</w:t>
            </w:r>
          </w:p>
        </w:tc>
        <w:tc>
          <w:tcPr>
            <w:tcW w:w="8424" w:type="dxa"/>
            <w:gridSpan w:val="5"/>
            <w:tcBorders>
              <w:top w:val="single" w:color="auto" w:sz="8" w:space="0"/>
            </w:tcBorders>
            <w:vAlign w:val="center"/>
          </w:tcPr>
          <w:p>
            <w:pPr>
              <w:spacing w:line="360" w:lineRule="auto"/>
              <w:rPr>
                <w:rFonts w:ascii="宋体"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705" w:type="dxa"/>
            <w:vMerge w:val="continue"/>
            <w:tcBorders>
              <w:bottom w:val="single" w:color="auto" w:sz="4" w:space="0"/>
            </w:tcBorders>
            <w:vAlign w:val="center"/>
          </w:tcPr>
          <w:p>
            <w:pPr>
              <w:spacing w:line="360" w:lineRule="auto"/>
              <w:jc w:val="center"/>
              <w:rPr>
                <w:color w:val="auto"/>
                <w:sz w:val="24"/>
                <w:szCs w:val="24"/>
              </w:rPr>
            </w:pPr>
          </w:p>
        </w:tc>
        <w:tc>
          <w:tcPr>
            <w:tcW w:w="1698" w:type="dxa"/>
            <w:tcBorders>
              <w:top w:val="single" w:color="auto" w:sz="8" w:space="0"/>
              <w:bottom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身份证号码</w:t>
            </w:r>
          </w:p>
        </w:tc>
        <w:tc>
          <w:tcPr>
            <w:tcW w:w="8424" w:type="dxa"/>
            <w:gridSpan w:val="5"/>
            <w:tcBorders>
              <w:bottom w:val="single" w:color="auto" w:sz="4" w:space="0"/>
            </w:tcBorders>
            <w:vAlign w:val="center"/>
          </w:tcPr>
          <w:tbl>
            <w:tblPr>
              <w:tblStyle w:val="27"/>
              <w:tblpPr w:leftFromText="180" w:rightFromText="180" w:vertAnchor="text" w:horzAnchor="page" w:tblpX="193" w:tblpY="172"/>
              <w:tblOverlap w:val="never"/>
              <w:tblW w:w="6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spacing w:line="360" w:lineRule="auto"/>
                    <w:rPr>
                      <w:rFonts w:ascii="宋体" w:hAnsi="宋体"/>
                      <w:color w:val="auto"/>
                      <w:sz w:val="24"/>
                      <w:szCs w:val="24"/>
                    </w:rPr>
                  </w:pPr>
                </w:p>
              </w:tc>
              <w:tc>
                <w:tcPr>
                  <w:tcW w:w="360" w:type="dxa"/>
                </w:tcPr>
                <w:p>
                  <w:pPr>
                    <w:spacing w:line="360" w:lineRule="auto"/>
                    <w:rPr>
                      <w:rFonts w:ascii="宋体" w:hAnsi="宋体"/>
                      <w:color w:val="auto"/>
                      <w:sz w:val="24"/>
                      <w:szCs w:val="24"/>
                    </w:rPr>
                  </w:pPr>
                </w:p>
              </w:tc>
              <w:tc>
                <w:tcPr>
                  <w:tcW w:w="360" w:type="dxa"/>
                </w:tcPr>
                <w:p>
                  <w:pPr>
                    <w:spacing w:line="360" w:lineRule="auto"/>
                    <w:rPr>
                      <w:rFonts w:ascii="宋体" w:hAnsi="宋体"/>
                      <w:color w:val="auto"/>
                      <w:sz w:val="24"/>
                      <w:szCs w:val="24"/>
                    </w:rPr>
                  </w:pPr>
                </w:p>
              </w:tc>
              <w:tc>
                <w:tcPr>
                  <w:tcW w:w="360" w:type="dxa"/>
                </w:tcPr>
                <w:p>
                  <w:pPr>
                    <w:spacing w:line="360" w:lineRule="auto"/>
                    <w:rPr>
                      <w:rFonts w:ascii="宋体" w:hAnsi="宋体"/>
                      <w:color w:val="auto"/>
                      <w:sz w:val="24"/>
                      <w:szCs w:val="24"/>
                    </w:rPr>
                  </w:pPr>
                </w:p>
              </w:tc>
              <w:tc>
                <w:tcPr>
                  <w:tcW w:w="360" w:type="dxa"/>
                </w:tcPr>
                <w:p>
                  <w:pPr>
                    <w:spacing w:line="360" w:lineRule="auto"/>
                    <w:rPr>
                      <w:rFonts w:ascii="宋体" w:hAnsi="宋体"/>
                      <w:color w:val="auto"/>
                      <w:sz w:val="24"/>
                      <w:szCs w:val="24"/>
                    </w:rPr>
                  </w:pPr>
                </w:p>
              </w:tc>
              <w:tc>
                <w:tcPr>
                  <w:tcW w:w="360" w:type="dxa"/>
                </w:tcPr>
                <w:p>
                  <w:pPr>
                    <w:spacing w:line="360" w:lineRule="auto"/>
                    <w:rPr>
                      <w:rFonts w:ascii="宋体" w:hAnsi="宋体"/>
                      <w:color w:val="auto"/>
                      <w:sz w:val="24"/>
                      <w:szCs w:val="24"/>
                    </w:rPr>
                  </w:pPr>
                </w:p>
              </w:tc>
              <w:tc>
                <w:tcPr>
                  <w:tcW w:w="360" w:type="dxa"/>
                </w:tcPr>
                <w:p>
                  <w:pPr>
                    <w:spacing w:line="360" w:lineRule="auto"/>
                    <w:rPr>
                      <w:rFonts w:ascii="宋体" w:hAnsi="宋体"/>
                      <w:color w:val="auto"/>
                      <w:sz w:val="24"/>
                      <w:szCs w:val="24"/>
                    </w:rPr>
                  </w:pPr>
                </w:p>
              </w:tc>
              <w:tc>
                <w:tcPr>
                  <w:tcW w:w="360" w:type="dxa"/>
                </w:tcPr>
                <w:p>
                  <w:pPr>
                    <w:spacing w:line="360" w:lineRule="auto"/>
                    <w:rPr>
                      <w:rFonts w:ascii="宋体" w:hAnsi="宋体"/>
                      <w:color w:val="auto"/>
                      <w:sz w:val="24"/>
                      <w:szCs w:val="24"/>
                    </w:rPr>
                  </w:pPr>
                </w:p>
              </w:tc>
              <w:tc>
                <w:tcPr>
                  <w:tcW w:w="360" w:type="dxa"/>
                </w:tcPr>
                <w:p>
                  <w:pPr>
                    <w:spacing w:line="360" w:lineRule="auto"/>
                    <w:rPr>
                      <w:rFonts w:ascii="宋体" w:hAnsi="宋体"/>
                      <w:color w:val="auto"/>
                      <w:sz w:val="24"/>
                      <w:szCs w:val="24"/>
                    </w:rPr>
                  </w:pPr>
                </w:p>
              </w:tc>
              <w:tc>
                <w:tcPr>
                  <w:tcW w:w="360" w:type="dxa"/>
                </w:tcPr>
                <w:p>
                  <w:pPr>
                    <w:spacing w:line="360" w:lineRule="auto"/>
                    <w:rPr>
                      <w:rFonts w:ascii="宋体" w:hAnsi="宋体"/>
                      <w:color w:val="auto"/>
                      <w:sz w:val="24"/>
                      <w:szCs w:val="24"/>
                    </w:rPr>
                  </w:pPr>
                </w:p>
              </w:tc>
              <w:tc>
                <w:tcPr>
                  <w:tcW w:w="360" w:type="dxa"/>
                </w:tcPr>
                <w:p>
                  <w:pPr>
                    <w:spacing w:line="360" w:lineRule="auto"/>
                    <w:rPr>
                      <w:rFonts w:ascii="宋体" w:hAnsi="宋体"/>
                      <w:color w:val="auto"/>
                      <w:sz w:val="24"/>
                      <w:szCs w:val="24"/>
                    </w:rPr>
                  </w:pPr>
                </w:p>
              </w:tc>
              <w:tc>
                <w:tcPr>
                  <w:tcW w:w="360" w:type="dxa"/>
                </w:tcPr>
                <w:p>
                  <w:pPr>
                    <w:spacing w:line="360" w:lineRule="auto"/>
                    <w:rPr>
                      <w:rFonts w:ascii="宋体" w:hAnsi="宋体"/>
                      <w:color w:val="auto"/>
                      <w:sz w:val="24"/>
                      <w:szCs w:val="24"/>
                    </w:rPr>
                  </w:pPr>
                </w:p>
              </w:tc>
              <w:tc>
                <w:tcPr>
                  <w:tcW w:w="360" w:type="dxa"/>
                </w:tcPr>
                <w:p>
                  <w:pPr>
                    <w:spacing w:line="360" w:lineRule="auto"/>
                    <w:rPr>
                      <w:rFonts w:ascii="宋体" w:hAnsi="宋体"/>
                      <w:color w:val="auto"/>
                      <w:sz w:val="24"/>
                      <w:szCs w:val="24"/>
                    </w:rPr>
                  </w:pPr>
                </w:p>
              </w:tc>
              <w:tc>
                <w:tcPr>
                  <w:tcW w:w="360" w:type="dxa"/>
                </w:tcPr>
                <w:p>
                  <w:pPr>
                    <w:spacing w:line="360" w:lineRule="auto"/>
                    <w:rPr>
                      <w:rFonts w:ascii="宋体" w:hAnsi="宋体"/>
                      <w:color w:val="auto"/>
                      <w:sz w:val="24"/>
                      <w:szCs w:val="24"/>
                    </w:rPr>
                  </w:pPr>
                </w:p>
              </w:tc>
              <w:tc>
                <w:tcPr>
                  <w:tcW w:w="360" w:type="dxa"/>
                </w:tcPr>
                <w:p>
                  <w:pPr>
                    <w:spacing w:line="360" w:lineRule="auto"/>
                    <w:rPr>
                      <w:rFonts w:ascii="宋体" w:hAnsi="宋体"/>
                      <w:color w:val="auto"/>
                      <w:sz w:val="24"/>
                      <w:szCs w:val="24"/>
                    </w:rPr>
                  </w:pPr>
                </w:p>
              </w:tc>
              <w:tc>
                <w:tcPr>
                  <w:tcW w:w="360" w:type="dxa"/>
                </w:tcPr>
                <w:p>
                  <w:pPr>
                    <w:spacing w:line="360" w:lineRule="auto"/>
                    <w:rPr>
                      <w:rFonts w:ascii="宋体" w:hAnsi="宋体"/>
                      <w:color w:val="auto"/>
                      <w:sz w:val="24"/>
                      <w:szCs w:val="24"/>
                    </w:rPr>
                  </w:pPr>
                </w:p>
              </w:tc>
              <w:tc>
                <w:tcPr>
                  <w:tcW w:w="360" w:type="dxa"/>
                </w:tcPr>
                <w:p>
                  <w:pPr>
                    <w:spacing w:line="360" w:lineRule="auto"/>
                    <w:rPr>
                      <w:rFonts w:ascii="宋体" w:hAnsi="宋体"/>
                      <w:color w:val="auto"/>
                      <w:sz w:val="24"/>
                      <w:szCs w:val="24"/>
                    </w:rPr>
                  </w:pPr>
                </w:p>
              </w:tc>
              <w:tc>
                <w:tcPr>
                  <w:tcW w:w="360" w:type="dxa"/>
                </w:tcPr>
                <w:p>
                  <w:pPr>
                    <w:spacing w:line="360" w:lineRule="auto"/>
                    <w:rPr>
                      <w:rFonts w:ascii="宋体" w:hAnsi="宋体"/>
                      <w:color w:val="auto"/>
                      <w:sz w:val="24"/>
                      <w:szCs w:val="24"/>
                    </w:rPr>
                  </w:pPr>
                </w:p>
              </w:tc>
            </w:tr>
          </w:tbl>
          <w:p>
            <w:pPr>
              <w:spacing w:line="360" w:lineRule="auto"/>
              <w:jc w:val="center"/>
              <w:rPr>
                <w:rFonts w:ascii="宋体"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2403"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b/>
                <w:bCs/>
                <w:color w:val="auto"/>
                <w:sz w:val="24"/>
                <w:szCs w:val="24"/>
              </w:rPr>
            </w:pPr>
            <w:r>
              <w:rPr>
                <w:rFonts w:hint="eastAsia" w:ascii="宋体" w:hAnsi="宋体"/>
                <w:color w:val="auto"/>
                <w:sz w:val="24"/>
                <w:szCs w:val="24"/>
              </w:rPr>
              <w:t>电子邮箱</w:t>
            </w:r>
          </w:p>
        </w:tc>
        <w:tc>
          <w:tcPr>
            <w:tcW w:w="3009"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宋体" w:hAnsi="宋体"/>
                <w:color w:val="auto"/>
                <w:sz w:val="24"/>
                <w:szCs w:val="24"/>
              </w:rPr>
            </w:pPr>
          </w:p>
        </w:tc>
        <w:tc>
          <w:tcPr>
            <w:tcW w:w="2266"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联系电话</w:t>
            </w:r>
          </w:p>
        </w:tc>
        <w:tc>
          <w:tcPr>
            <w:tcW w:w="3149"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宋体"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2403"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宋体" w:hAnsi="宋体"/>
                <w:bCs/>
                <w:color w:val="auto"/>
                <w:sz w:val="24"/>
                <w:szCs w:val="24"/>
              </w:rPr>
            </w:pPr>
            <w:r>
              <w:rPr>
                <w:rFonts w:hint="eastAsia" w:ascii="宋体" w:hAnsi="宋体" w:cs="宋体"/>
                <w:color w:val="auto"/>
                <w:kern w:val="0"/>
                <w:sz w:val="24"/>
                <w:szCs w:val="24"/>
              </w:rPr>
              <w:t>申请查询企业信用信息事由及用途</w:t>
            </w:r>
          </w:p>
        </w:tc>
        <w:tc>
          <w:tcPr>
            <w:tcW w:w="8424" w:type="dxa"/>
            <w:gridSpan w:val="5"/>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□办理相关业务。</w:t>
            </w:r>
          </w:p>
          <w:p>
            <w:pPr>
              <w:spacing w:line="360" w:lineRule="auto"/>
              <w:jc w:val="left"/>
              <w:rPr>
                <w:rFonts w:ascii="宋体" w:hAnsi="宋体"/>
                <w:bCs/>
                <w:color w:val="auto"/>
                <w:sz w:val="24"/>
                <w:szCs w:val="24"/>
              </w:rPr>
            </w:pPr>
            <w:r>
              <w:rPr>
                <w:rFonts w:hint="eastAsia" w:ascii="宋体" w:hAnsi="宋体" w:cs="宋体"/>
                <w:color w:val="auto"/>
                <w:kern w:val="0"/>
                <w:sz w:val="24"/>
                <w:szCs w:val="24"/>
              </w:rPr>
              <w:t>□</w:t>
            </w:r>
            <w:r>
              <w:rPr>
                <w:rFonts w:hint="eastAsia" w:ascii="宋体" w:hAnsi="宋体"/>
                <w:color w:val="auto"/>
                <w:sz w:val="24"/>
                <w:szCs w:val="24"/>
              </w:rPr>
              <w:t>其他</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0827" w:type="dxa"/>
            <w:gridSpan w:val="7"/>
            <w:tcBorders>
              <w:top w:val="single" w:color="auto" w:sz="8" w:space="0"/>
              <w:left w:val="single" w:color="auto" w:sz="8" w:space="0"/>
              <w:bottom w:val="single" w:color="auto" w:sz="8" w:space="0"/>
              <w:right w:val="single" w:color="auto" w:sz="8" w:space="0"/>
            </w:tcBorders>
            <w:vAlign w:val="center"/>
          </w:tcPr>
          <w:p>
            <w:pPr>
              <w:spacing w:line="360" w:lineRule="auto"/>
              <w:ind w:firstLine="5570" w:firstLineChars="2321"/>
              <w:rPr>
                <w:rFonts w:ascii="宋体" w:hAnsi="宋体"/>
                <w:color w:val="auto"/>
                <w:sz w:val="24"/>
                <w:szCs w:val="24"/>
              </w:rPr>
            </w:pPr>
          </w:p>
          <w:p>
            <w:pPr>
              <w:spacing w:line="360" w:lineRule="auto"/>
              <w:jc w:val="right"/>
              <w:rPr>
                <w:rFonts w:ascii="宋体" w:hAnsi="宋体"/>
                <w:bCs/>
                <w:color w:val="auto"/>
                <w:sz w:val="24"/>
                <w:szCs w:val="24"/>
              </w:rPr>
            </w:pPr>
            <w:r>
              <w:rPr>
                <w:rFonts w:hint="eastAsia" w:ascii="宋体" w:hAnsi="宋体"/>
                <w:color w:val="auto"/>
                <w:sz w:val="24"/>
                <w:szCs w:val="24"/>
              </w:rPr>
              <w:t>申请人签名：</w:t>
            </w:r>
            <w:r>
              <w:rPr>
                <w:rFonts w:hint="eastAsia" w:ascii="宋体" w:hAnsi="宋体"/>
                <w:bCs/>
                <w:color w:val="auto"/>
                <w:sz w:val="24"/>
                <w:szCs w:val="24"/>
              </w:rPr>
              <w:t xml:space="preserve">                       年      月    日</w:t>
            </w:r>
          </w:p>
          <w:p>
            <w:pPr>
              <w:spacing w:line="360" w:lineRule="auto"/>
              <w:jc w:val="right"/>
              <w:rPr>
                <w:rFonts w:ascii="宋体" w:hAnsi="宋体"/>
                <w:bCs/>
                <w:color w:val="auto"/>
                <w:sz w:val="24"/>
                <w:szCs w:val="24"/>
              </w:rPr>
            </w:pPr>
          </w:p>
          <w:p>
            <w:pPr>
              <w:spacing w:line="360" w:lineRule="auto"/>
              <w:ind w:firstLine="4560" w:firstLineChars="1900"/>
              <w:rPr>
                <w:rFonts w:ascii="宋体" w:hAnsi="宋体" w:cs="宋体"/>
                <w:color w:val="auto"/>
                <w:kern w:val="0"/>
                <w:sz w:val="24"/>
                <w:szCs w:val="24"/>
              </w:rPr>
            </w:pPr>
            <w:r>
              <w:rPr>
                <w:rFonts w:hint="eastAsia" w:ascii="宋体" w:hAnsi="宋体"/>
                <w:bCs/>
                <w:color w:val="auto"/>
                <w:sz w:val="24"/>
                <w:szCs w:val="24"/>
              </w:rPr>
              <w:t>公     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2403"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受理人签名</w:t>
            </w:r>
          </w:p>
        </w:tc>
        <w:tc>
          <w:tcPr>
            <w:tcW w:w="3474"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ind w:firstLine="480" w:firstLineChars="200"/>
              <w:rPr>
                <w:rFonts w:ascii="宋体" w:hAnsi="宋体" w:cs="宋体"/>
                <w:color w:val="auto"/>
                <w:kern w:val="0"/>
                <w:sz w:val="24"/>
                <w:szCs w:val="24"/>
              </w:rPr>
            </w:pPr>
          </w:p>
        </w:tc>
        <w:tc>
          <w:tcPr>
            <w:tcW w:w="1513"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color w:val="auto"/>
                <w:kern w:val="0"/>
                <w:sz w:val="24"/>
                <w:szCs w:val="24"/>
              </w:rPr>
            </w:pPr>
            <w:r>
              <w:rPr>
                <w:rFonts w:hint="eastAsia" w:ascii="宋体" w:hAnsi="宋体" w:cs="宋体"/>
                <w:color w:val="auto"/>
                <w:kern w:val="0"/>
                <w:sz w:val="24"/>
                <w:szCs w:val="24"/>
              </w:rPr>
              <w:t>审核人意见：</w:t>
            </w:r>
          </w:p>
        </w:tc>
        <w:tc>
          <w:tcPr>
            <w:tcW w:w="3437"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color w:val="auto"/>
                <w:kern w:val="0"/>
                <w:sz w:val="24"/>
                <w:szCs w:val="24"/>
              </w:rPr>
            </w:pPr>
          </w:p>
          <w:p>
            <w:pPr>
              <w:spacing w:line="360" w:lineRule="auto"/>
              <w:rPr>
                <w:rFonts w:ascii="宋体" w:hAnsi="宋体" w:cs="宋体"/>
                <w:color w:val="auto"/>
                <w:kern w:val="0"/>
                <w:sz w:val="24"/>
                <w:szCs w:val="24"/>
              </w:rPr>
            </w:pPr>
            <w:r>
              <w:rPr>
                <w:rFonts w:hint="eastAsia" w:ascii="宋体" w:hAnsi="宋体" w:cs="宋体"/>
                <w:color w:val="auto"/>
                <w:kern w:val="0"/>
                <w:sz w:val="24"/>
                <w:szCs w:val="24"/>
              </w:rPr>
              <w:t>签名：</w:t>
            </w:r>
          </w:p>
        </w:tc>
      </w:tr>
    </w:tbl>
    <w:p>
      <w:pPr>
        <w:spacing w:line="0" w:lineRule="atLeast"/>
        <w:rPr>
          <w:rFonts w:ascii="宋体" w:hAnsi="宋体"/>
          <w:b/>
          <w:color w:val="auto"/>
          <w:szCs w:val="21"/>
        </w:rPr>
      </w:pPr>
      <w:r>
        <w:rPr>
          <w:rFonts w:hint="eastAsia" w:ascii="宋体" w:hAnsi="宋体"/>
          <w:b/>
          <w:color w:val="auto"/>
          <w:szCs w:val="21"/>
        </w:rPr>
        <w:t xml:space="preserve">　　　　　　　　　　　　　　　　　　　　 </w:t>
      </w:r>
    </w:p>
    <w:p>
      <w:pPr>
        <w:spacing w:line="0" w:lineRule="atLeast"/>
        <w:rPr>
          <w:rFonts w:ascii="宋体" w:hAnsi="宋体"/>
          <w:color w:val="auto"/>
          <w:sz w:val="24"/>
          <w:szCs w:val="24"/>
        </w:rPr>
      </w:pPr>
    </w:p>
    <w:p>
      <w:pPr>
        <w:spacing w:line="0" w:lineRule="atLeast"/>
        <w:rPr>
          <w:rFonts w:ascii="宋体" w:hAnsi="宋体"/>
          <w:color w:val="auto"/>
          <w:sz w:val="24"/>
          <w:szCs w:val="24"/>
          <w:lang w:val="zh-CN"/>
        </w:rPr>
      </w:pPr>
      <w:r>
        <w:rPr>
          <w:rFonts w:hint="eastAsia" w:ascii="宋体" w:hAnsi="宋体"/>
          <w:b/>
          <w:color w:val="auto"/>
          <w:sz w:val="24"/>
          <w:szCs w:val="24"/>
        </w:rPr>
        <w:t>注：</w:t>
      </w:r>
      <w:r>
        <w:rPr>
          <w:rFonts w:hint="eastAsia" w:ascii="宋体" w:hAnsi="宋体"/>
          <w:color w:val="auto"/>
          <w:sz w:val="24"/>
          <w:szCs w:val="24"/>
        </w:rPr>
        <w:t>1.请</w:t>
      </w:r>
      <w:r>
        <w:rPr>
          <w:rFonts w:hint="eastAsia" w:ascii="宋体" w:hAnsi="宋体"/>
          <w:color w:val="auto"/>
          <w:sz w:val="24"/>
          <w:szCs w:val="24"/>
          <w:lang w:val="zh-CN"/>
        </w:rPr>
        <w:t>如实、完整地填写有关内容。</w:t>
      </w:r>
    </w:p>
    <w:p>
      <w:pPr>
        <w:spacing w:line="0" w:lineRule="atLeast"/>
        <w:ind w:firstLine="420"/>
        <w:rPr>
          <w:rFonts w:ascii="宋体" w:hAnsi="宋体"/>
          <w:color w:val="auto"/>
          <w:sz w:val="24"/>
          <w:szCs w:val="24"/>
          <w:lang w:val="zh-CN"/>
        </w:rPr>
      </w:pPr>
      <w:r>
        <w:rPr>
          <w:rFonts w:hint="eastAsia" w:ascii="宋体" w:hAnsi="宋体"/>
          <w:color w:val="auto"/>
          <w:sz w:val="24"/>
          <w:szCs w:val="24"/>
        </w:rPr>
        <w:t>2.</w:t>
      </w:r>
      <w:r>
        <w:rPr>
          <w:rFonts w:hint="eastAsia" w:ascii="宋体" w:hAnsi="宋体"/>
          <w:color w:val="auto"/>
          <w:sz w:val="24"/>
          <w:szCs w:val="24"/>
          <w:lang w:val="zh-CN"/>
        </w:rPr>
        <w:t>请使用黑色钢笔、中性笔签字。</w:t>
      </w:r>
    </w:p>
    <w:p>
      <w:pPr>
        <w:spacing w:line="0" w:lineRule="atLeast"/>
        <w:ind w:firstLine="480" w:firstLineChars="200"/>
        <w:rPr>
          <w:rFonts w:ascii="宋体" w:hAnsi="宋体"/>
          <w:color w:val="auto"/>
          <w:sz w:val="24"/>
          <w:szCs w:val="24"/>
          <w:lang w:val="zh-CN"/>
        </w:rPr>
      </w:pPr>
      <w:r>
        <w:rPr>
          <w:rFonts w:hint="eastAsia" w:ascii="宋体" w:hAnsi="宋体"/>
          <w:color w:val="auto"/>
          <w:sz w:val="24"/>
          <w:szCs w:val="24"/>
        </w:rPr>
        <w:t>3.</w:t>
      </w:r>
      <w:r>
        <w:rPr>
          <w:rFonts w:hint="eastAsia" w:ascii="宋体" w:hAnsi="宋体"/>
          <w:color w:val="auto"/>
          <w:sz w:val="24"/>
          <w:szCs w:val="24"/>
          <w:lang w:val="zh-CN"/>
        </w:rPr>
        <w:t>受理查询后</w:t>
      </w:r>
      <w:r>
        <w:rPr>
          <w:rFonts w:hint="eastAsia" w:ascii="宋体" w:hAnsi="宋体"/>
          <w:color w:val="auto"/>
          <w:sz w:val="24"/>
          <w:szCs w:val="24"/>
        </w:rPr>
        <w:t>5个工作日</w:t>
      </w:r>
      <w:r>
        <w:rPr>
          <w:rFonts w:hint="eastAsia" w:ascii="宋体" w:hAnsi="宋体"/>
          <w:color w:val="auto"/>
          <w:sz w:val="24"/>
          <w:szCs w:val="24"/>
          <w:lang w:val="zh-CN"/>
        </w:rPr>
        <w:t>提供所申请的企业信用信息情况。</w:t>
      </w:r>
    </w:p>
    <w:p>
      <w:pPr>
        <w:spacing w:line="0" w:lineRule="atLeast"/>
        <w:rPr>
          <w:rFonts w:ascii="宋体" w:hAnsi="宋体"/>
          <w:color w:val="auto"/>
          <w:szCs w:val="21"/>
          <w:lang w:val="zh-C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华文中宋" w:eastAsia="黑体"/>
          <w:color w:val="auto"/>
          <w:sz w:val="32"/>
          <w:szCs w:val="32"/>
        </w:rPr>
      </w:pPr>
      <w:r>
        <w:rPr>
          <w:rFonts w:hint="eastAsia" w:ascii="黑体" w:hAnsi="华文中宋" w:eastAsia="黑体"/>
          <w:color w:val="auto"/>
          <w:sz w:val="32"/>
          <w:szCs w:val="32"/>
        </w:rPr>
        <w:t>鄂托克前旗社会信用管理中心制表</w:t>
      </w:r>
    </w:p>
    <w:p>
      <w:pPr>
        <w:autoSpaceDE w:val="0"/>
        <w:autoSpaceDN w:val="0"/>
        <w:spacing w:line="500" w:lineRule="exact"/>
        <w:ind w:firstLine="480" w:firstLineChars="200"/>
        <w:rPr>
          <w:rFonts w:ascii="宋体" w:hAnsi="宋体"/>
          <w:color w:val="auto"/>
          <w:sz w:val="24"/>
          <w:szCs w:val="24"/>
        </w:rPr>
      </w:pPr>
    </w:p>
    <w:p>
      <w:pPr>
        <w:autoSpaceDE w:val="0"/>
        <w:autoSpaceDN w:val="0"/>
        <w:spacing w:line="500" w:lineRule="exact"/>
        <w:ind w:firstLine="480" w:firstLineChars="200"/>
        <w:rPr>
          <w:rFonts w:ascii="宋体" w:hAnsi="宋体"/>
          <w:color w:val="auto"/>
          <w:sz w:val="24"/>
          <w:szCs w:val="24"/>
        </w:rPr>
      </w:pPr>
    </w:p>
    <w:p>
      <w:pPr>
        <w:autoSpaceDE w:val="0"/>
        <w:autoSpaceDN w:val="0"/>
        <w:spacing w:line="500" w:lineRule="exact"/>
        <w:ind w:firstLine="480" w:firstLineChars="200"/>
        <w:rPr>
          <w:rFonts w:ascii="宋体" w:hAnsi="宋体"/>
          <w:b/>
          <w:bCs/>
          <w:color w:val="auto"/>
          <w:kern w:val="0"/>
          <w:sz w:val="24"/>
          <w:szCs w:val="24"/>
        </w:rPr>
      </w:pPr>
      <w:r>
        <w:rPr>
          <w:rFonts w:hint="eastAsia" w:ascii="宋体" w:hAnsi="宋体"/>
          <w:color w:val="auto"/>
          <w:sz w:val="24"/>
          <w:szCs w:val="24"/>
        </w:rPr>
        <w:t>供应商须在</w:t>
      </w:r>
      <w:r>
        <w:rPr>
          <w:rFonts w:hint="eastAsia" w:ascii="宋体" w:hAnsi="宋体"/>
          <w:color w:val="auto"/>
          <w:sz w:val="24"/>
          <w:szCs w:val="24"/>
          <w:lang w:eastAsia="zh-CN"/>
        </w:rPr>
        <w:t>响应文件</w:t>
      </w:r>
      <w:r>
        <w:rPr>
          <w:rFonts w:hint="eastAsia" w:ascii="宋体" w:hAnsi="宋体"/>
          <w:color w:val="auto"/>
          <w:sz w:val="24"/>
          <w:szCs w:val="24"/>
        </w:rPr>
        <w:t>中提供企业工商注册所在地或项目所在地信用管理中心出具的《信用信息查询结果》且在有效期范围内（注：鄂托克前旗社会信用管理中心：地址．</w:t>
      </w:r>
      <w:r>
        <w:rPr>
          <w:rFonts w:hint="eastAsia" w:ascii="宋体" w:hAnsi="宋体"/>
          <w:color w:val="auto"/>
          <w:sz w:val="24"/>
          <w:szCs w:val="24"/>
          <w:lang w:eastAsia="zh-CN"/>
        </w:rPr>
        <w:t>鄂托克前旗敖勒召其镇</w:t>
      </w:r>
      <w:r>
        <w:rPr>
          <w:rFonts w:hint="eastAsia" w:ascii="宋体" w:hAnsi="宋体"/>
          <w:color w:val="auto"/>
          <w:sz w:val="24"/>
          <w:szCs w:val="24"/>
        </w:rPr>
        <w:t>综合办公楼700</w:t>
      </w:r>
      <w:r>
        <w:rPr>
          <w:rFonts w:hint="eastAsia" w:ascii="宋体" w:hAnsi="宋体"/>
          <w:color w:val="auto"/>
          <w:sz w:val="24"/>
          <w:szCs w:val="24"/>
          <w:lang w:val="en-US" w:eastAsia="zh-CN"/>
        </w:rPr>
        <w:t>6</w:t>
      </w:r>
      <w:r>
        <w:rPr>
          <w:rFonts w:hint="eastAsia" w:ascii="宋体" w:hAnsi="宋体"/>
          <w:color w:val="auto"/>
          <w:sz w:val="24"/>
          <w:szCs w:val="24"/>
        </w:rPr>
        <w:t>房间；　电话：0477-7625899）。</w:t>
      </w:r>
    </w:p>
    <w:p>
      <w:pPr>
        <w:autoSpaceDE w:val="0"/>
        <w:autoSpaceDN w:val="0"/>
        <w:spacing w:line="500" w:lineRule="exact"/>
        <w:rPr>
          <w:rFonts w:ascii="宋体" w:hAnsi="宋体"/>
          <w:color w:val="auto"/>
          <w:sz w:val="24"/>
          <w:szCs w:val="24"/>
        </w:rPr>
      </w:pPr>
      <w:r>
        <w:rPr>
          <w:rFonts w:hint="eastAsia" w:ascii="宋体" w:hAnsi="宋体"/>
          <w:color w:val="auto"/>
          <w:sz w:val="24"/>
          <w:szCs w:val="24"/>
        </w:rPr>
        <w:t>办理步骤：</w:t>
      </w:r>
    </w:p>
    <w:p>
      <w:pPr>
        <w:autoSpaceDE w:val="0"/>
        <w:autoSpaceDN w:val="0"/>
        <w:spacing w:line="500" w:lineRule="exact"/>
        <w:rPr>
          <w:rFonts w:ascii="宋体" w:hAnsi="宋体"/>
          <w:color w:val="auto"/>
          <w:sz w:val="24"/>
          <w:szCs w:val="24"/>
        </w:rPr>
      </w:pPr>
      <w:r>
        <w:rPr>
          <w:rFonts w:hint="eastAsia" w:ascii="宋体" w:hAnsi="宋体"/>
          <w:color w:val="auto"/>
          <w:sz w:val="24"/>
          <w:szCs w:val="24"/>
        </w:rPr>
        <w:t>1.营业执照彩色扫描件jpeg图片格式。（必须能够清楚的分辨统一社会信用代码以及企业名称）。</w:t>
      </w:r>
    </w:p>
    <w:p>
      <w:pPr>
        <w:autoSpaceDE w:val="0"/>
        <w:autoSpaceDN w:val="0"/>
        <w:spacing w:line="500" w:lineRule="exact"/>
        <w:rPr>
          <w:rFonts w:ascii="宋体" w:hAnsi="宋体"/>
          <w:color w:val="auto"/>
          <w:sz w:val="24"/>
          <w:szCs w:val="24"/>
        </w:rPr>
      </w:pPr>
      <w:r>
        <w:rPr>
          <w:rFonts w:hint="eastAsia" w:ascii="宋体" w:hAnsi="宋体"/>
          <w:color w:val="auto"/>
          <w:sz w:val="24"/>
          <w:szCs w:val="24"/>
        </w:rPr>
        <w:t>2.法人身份证彩色扫描件jpeg图片格式（A4纸，正反面左右对齐，必须能够清楚的分辨出身份证及姓名）。</w:t>
      </w:r>
    </w:p>
    <w:p>
      <w:pPr>
        <w:autoSpaceDE w:val="0"/>
        <w:autoSpaceDN w:val="0"/>
        <w:spacing w:line="500" w:lineRule="exact"/>
        <w:rPr>
          <w:rFonts w:ascii="宋体" w:hAnsi="宋体"/>
          <w:color w:val="auto"/>
          <w:sz w:val="24"/>
          <w:szCs w:val="24"/>
        </w:rPr>
      </w:pPr>
      <w:r>
        <w:rPr>
          <w:rFonts w:hint="eastAsia" w:ascii="宋体" w:hAnsi="宋体"/>
          <w:color w:val="auto"/>
          <w:sz w:val="24"/>
          <w:szCs w:val="24"/>
        </w:rPr>
        <w:t>3.鄂托克前旗企业信用信息查询申请表盖章彩色扫描件jpeg图片格式。</w:t>
      </w:r>
      <w:r>
        <w:rPr>
          <w:rFonts w:hint="eastAsia" w:ascii="宋体" w:hAnsi="宋体"/>
          <w:color w:val="auto"/>
          <w:sz w:val="24"/>
          <w:szCs w:val="24"/>
          <w:lang w:val="en-US" w:eastAsia="zh-CN"/>
        </w:rPr>
        <w:t>（高清jpeg图片格式。右上角编号请勿填写，最后“受理人签名”一行请勿填写，“申请查询企业信用信息事由及用途”请填写“所投项目名称”，必须盖公章）</w:t>
      </w:r>
    </w:p>
    <w:p>
      <w:pPr>
        <w:autoSpaceDE w:val="0"/>
        <w:autoSpaceDN w:val="0"/>
        <w:spacing w:line="500" w:lineRule="exact"/>
        <w:rPr>
          <w:rFonts w:hint="eastAsia"/>
          <w:lang w:eastAsia="zh-CN"/>
        </w:rPr>
      </w:pPr>
      <w:r>
        <w:rPr>
          <w:rFonts w:hint="eastAsia" w:ascii="宋体" w:hAnsi="宋体"/>
          <w:color w:val="auto"/>
          <w:sz w:val="24"/>
          <w:szCs w:val="24"/>
        </w:rPr>
        <w:t xml:space="preserve">申请材料发送到  </w:t>
      </w:r>
      <w:r>
        <w:rPr>
          <w:rFonts w:hint="eastAsia" w:ascii="宋体" w:hAnsi="宋体"/>
          <w:color w:val="auto"/>
          <w:sz w:val="24"/>
          <w:szCs w:val="24"/>
        </w:rPr>
        <w:fldChar w:fldCharType="begin"/>
      </w:r>
      <w:r>
        <w:rPr>
          <w:rFonts w:hint="eastAsia" w:ascii="宋体" w:hAnsi="宋体"/>
          <w:color w:val="auto"/>
          <w:sz w:val="24"/>
          <w:szCs w:val="24"/>
        </w:rPr>
        <w:instrText xml:space="preserve"> HYPERLINK "mailto:eqqfgjxyglzx@163.com" </w:instrText>
      </w:r>
      <w:r>
        <w:rPr>
          <w:rFonts w:hint="eastAsia" w:ascii="宋体" w:hAnsi="宋体"/>
          <w:color w:val="auto"/>
          <w:sz w:val="24"/>
          <w:szCs w:val="24"/>
        </w:rPr>
        <w:fldChar w:fldCharType="separate"/>
      </w:r>
      <w:r>
        <w:rPr>
          <w:rStyle w:val="35"/>
          <w:rFonts w:hint="eastAsia" w:ascii="宋体" w:hAnsi="宋体"/>
          <w:sz w:val="24"/>
          <w:szCs w:val="24"/>
        </w:rPr>
        <w:t>eqqfgjxyglzx@163.com</w:t>
      </w:r>
      <w:r>
        <w:rPr>
          <w:rFonts w:hint="eastAsia" w:ascii="宋体" w:hAnsi="宋体"/>
          <w:color w:val="auto"/>
          <w:sz w:val="24"/>
          <w:szCs w:val="24"/>
        </w:rPr>
        <w:fldChar w:fldCharType="end"/>
      </w:r>
    </w:p>
    <w:p>
      <w:pPr>
        <w:widowControl/>
        <w:spacing w:line="360" w:lineRule="auto"/>
        <w:jc w:val="left"/>
        <w:rPr>
          <w:rFonts w:asciiTheme="minorEastAsia" w:hAnsiTheme="minorEastAsia" w:eastAsiaTheme="minorEastAsia"/>
          <w:color w:val="auto"/>
          <w:sz w:val="24"/>
          <w:szCs w:val="24"/>
        </w:rPr>
      </w:pPr>
    </w:p>
    <w:p>
      <w:pPr>
        <w:pStyle w:val="2"/>
        <w:rPr>
          <w:color w:val="auto"/>
        </w:rPr>
      </w:pPr>
    </w:p>
    <w:p>
      <w:pPr>
        <w:pStyle w:val="2"/>
        <w:rPr>
          <w:color w:val="auto"/>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bCs/>
          <w:color w:val="auto"/>
          <w:sz w:val="30"/>
          <w:szCs w:val="30"/>
        </w:rPr>
      </w:pPr>
      <w:r>
        <w:rPr>
          <w:rFonts w:hint="eastAsia" w:ascii="宋体" w:hAnsi="宋体"/>
          <w:b/>
          <w:bCs/>
          <w:color w:val="auto"/>
          <w:sz w:val="30"/>
          <w:szCs w:val="30"/>
        </w:rPr>
        <w:t>二、查询记录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2" w:firstLineChars="200"/>
        <w:rPr>
          <w:rFonts w:ascii="宋体" w:hAnsi="宋体"/>
          <w:b/>
          <w:bCs/>
          <w:color w:val="auto"/>
          <w:sz w:val="30"/>
          <w:szCs w:val="30"/>
        </w:rPr>
      </w:pPr>
      <w:r>
        <w:rPr>
          <w:rFonts w:hint="eastAsia" w:ascii="宋体" w:hAnsi="宋体"/>
          <w:b/>
          <w:bCs/>
          <w:color w:val="auto"/>
          <w:sz w:val="30"/>
          <w:szCs w:val="30"/>
        </w:rPr>
        <w:t>供应商需登录“中国政府采购网”网站（www.ccgp.gov.cn）查询，并提供近一个月内的任意一天的查询截图。</w:t>
      </w:r>
    </w:p>
    <w:p>
      <w:pPr>
        <w:autoSpaceDE w:val="0"/>
        <w:autoSpaceDN w:val="0"/>
        <w:spacing w:line="360" w:lineRule="auto"/>
        <w:rPr>
          <w:rFonts w:ascii="宋体" w:hAnsi="宋体"/>
          <w:bCs/>
          <w:color w:val="auto"/>
          <w:kern w:val="0"/>
          <w:sz w:val="24"/>
          <w:szCs w:val="24"/>
          <w:lang w:val="zh-CN"/>
        </w:rPr>
      </w:pPr>
      <w:r>
        <w:rPr>
          <w:rFonts w:hint="eastAsia" w:ascii="宋体" w:hAnsi="宋体"/>
          <w:bCs/>
          <w:color w:val="auto"/>
          <w:kern w:val="0"/>
          <w:sz w:val="24"/>
          <w:szCs w:val="24"/>
          <w:lang w:val="zh-CN"/>
        </w:rPr>
        <w:t>说明：</w:t>
      </w:r>
      <w:r>
        <w:rPr>
          <w:rFonts w:hint="eastAsia" w:ascii="宋体" w:hAnsi="宋体" w:cs="宋体"/>
          <w:bCs/>
          <w:color w:val="auto"/>
          <w:kern w:val="36"/>
          <w:sz w:val="24"/>
          <w:szCs w:val="24"/>
        </w:rPr>
        <w:t>如有不提供、失效的、弄虚作假等行为的，评标委员会有权否决其投标资格。</w:t>
      </w:r>
    </w:p>
    <w:p>
      <w:pPr>
        <w:pStyle w:val="2"/>
        <w:rPr>
          <w:rFonts w:ascii="宋体" w:hAnsi="宋体"/>
          <w:bCs/>
          <w:color w:val="auto"/>
          <w:kern w:val="0"/>
          <w:sz w:val="24"/>
          <w:szCs w:val="24"/>
          <w:lang w:val="zh-CN"/>
        </w:rPr>
      </w:pPr>
    </w:p>
    <w:p>
      <w:pPr>
        <w:pStyle w:val="2"/>
        <w:rPr>
          <w:rFonts w:ascii="宋体" w:hAnsi="宋体"/>
          <w:bCs/>
          <w:color w:val="auto"/>
          <w:kern w:val="0"/>
          <w:sz w:val="24"/>
          <w:szCs w:val="24"/>
          <w:lang w:val="zh-CN"/>
        </w:rPr>
      </w:pPr>
    </w:p>
    <w:p>
      <w:pPr>
        <w:pStyle w:val="2"/>
        <w:rPr>
          <w:rFonts w:ascii="宋体" w:hAnsi="宋体"/>
          <w:bCs/>
          <w:color w:val="auto"/>
          <w:kern w:val="0"/>
          <w:sz w:val="24"/>
          <w:szCs w:val="24"/>
          <w:lang w:val="zh-CN"/>
        </w:rPr>
      </w:pPr>
    </w:p>
    <w:p>
      <w:pPr>
        <w:pStyle w:val="2"/>
        <w:rPr>
          <w:rFonts w:ascii="宋体" w:hAnsi="宋体"/>
          <w:bCs/>
          <w:color w:val="auto"/>
          <w:kern w:val="0"/>
          <w:sz w:val="24"/>
          <w:szCs w:val="24"/>
          <w:lang w:val="zh-CN"/>
        </w:rPr>
      </w:pPr>
    </w:p>
    <w:p>
      <w:pPr>
        <w:pStyle w:val="2"/>
        <w:rPr>
          <w:rFonts w:ascii="宋体" w:hAnsi="宋体"/>
          <w:bCs/>
          <w:color w:val="auto"/>
          <w:kern w:val="0"/>
          <w:sz w:val="24"/>
          <w:szCs w:val="24"/>
          <w:lang w:val="zh-CN"/>
        </w:rPr>
      </w:pPr>
    </w:p>
    <w:p>
      <w:pPr>
        <w:pStyle w:val="2"/>
        <w:rPr>
          <w:rFonts w:ascii="宋体" w:hAnsi="宋体"/>
          <w:bCs/>
          <w:color w:val="auto"/>
          <w:kern w:val="0"/>
          <w:sz w:val="24"/>
          <w:szCs w:val="24"/>
          <w:lang w:val="zh-CN"/>
        </w:rPr>
      </w:pPr>
    </w:p>
    <w:p>
      <w:pPr>
        <w:pStyle w:val="2"/>
        <w:rPr>
          <w:rFonts w:ascii="宋体" w:hAnsi="宋体"/>
          <w:bCs/>
          <w:color w:val="auto"/>
          <w:kern w:val="0"/>
          <w:sz w:val="24"/>
          <w:szCs w:val="24"/>
          <w:lang w:val="zh-CN"/>
        </w:rPr>
      </w:pPr>
    </w:p>
    <w:p>
      <w:pPr>
        <w:pStyle w:val="2"/>
        <w:rPr>
          <w:rFonts w:ascii="宋体" w:hAnsi="宋体"/>
          <w:bCs/>
          <w:color w:val="auto"/>
          <w:kern w:val="0"/>
          <w:sz w:val="24"/>
          <w:szCs w:val="24"/>
          <w:lang w:val="zh-CN"/>
        </w:rPr>
      </w:pPr>
    </w:p>
    <w:p>
      <w:pPr>
        <w:autoSpaceDE w:val="0"/>
        <w:autoSpaceDN w:val="0"/>
        <w:spacing w:line="360" w:lineRule="auto"/>
        <w:jc w:val="center"/>
        <w:rPr>
          <w:rFonts w:ascii="宋体" w:hAnsi="宋体"/>
          <w:b/>
          <w:bCs/>
          <w:color w:val="auto"/>
          <w:kern w:val="0"/>
          <w:sz w:val="24"/>
          <w:szCs w:val="24"/>
          <w:lang w:val="zh-CN"/>
        </w:rPr>
      </w:pPr>
      <w:r>
        <w:rPr>
          <w:rFonts w:hint="eastAsia" w:ascii="宋体" w:hAnsi="宋体"/>
          <w:b/>
          <w:color w:val="auto"/>
          <w:sz w:val="21"/>
          <w:szCs w:val="21"/>
        </w:rPr>
        <w:t>二十.政府采购政策情况表</w:t>
      </w:r>
    </w:p>
    <w:tbl>
      <w:tblPr>
        <w:tblStyle w:val="27"/>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702"/>
        <w:gridCol w:w="1196"/>
        <w:gridCol w:w="1356"/>
        <w:gridCol w:w="1960"/>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restart"/>
            <w:shd w:val="clear" w:color="auto" w:fill="auto"/>
            <w:vAlign w:val="center"/>
          </w:tcPr>
          <w:p>
            <w:pPr>
              <w:pStyle w:val="67"/>
              <w:tabs>
                <w:tab w:val="left" w:pos="1260"/>
              </w:tabs>
              <w:spacing w:before="156" w:after="156"/>
              <w:rPr>
                <w:rFonts w:ascii="宋体" w:hAnsi="宋体" w:cs="宋体"/>
                <w:color w:val="auto"/>
                <w:kern w:val="0"/>
                <w:sz w:val="24"/>
              </w:rPr>
            </w:pPr>
            <w:r>
              <w:rPr>
                <w:rFonts w:hint="eastAsia" w:ascii="宋体" w:hAnsi="宋体" w:cs="宋体"/>
                <w:color w:val="auto"/>
                <w:kern w:val="0"/>
                <w:sz w:val="24"/>
              </w:rPr>
              <w:t>中小企业扶持政策</w:t>
            </w:r>
          </w:p>
          <w:p>
            <w:pPr>
              <w:pStyle w:val="67"/>
              <w:tabs>
                <w:tab w:val="left" w:pos="1260"/>
              </w:tabs>
              <w:spacing w:before="156" w:after="156"/>
              <w:ind w:firstLine="480"/>
              <w:jc w:val="center"/>
              <w:rPr>
                <w:rFonts w:ascii="宋体" w:hAnsi="宋体" w:cs="宋体"/>
                <w:color w:val="auto"/>
                <w:kern w:val="0"/>
                <w:sz w:val="24"/>
              </w:rPr>
            </w:pPr>
          </w:p>
        </w:tc>
        <w:tc>
          <w:tcPr>
            <w:tcW w:w="7899" w:type="dxa"/>
            <w:gridSpan w:val="5"/>
            <w:shd w:val="clear" w:color="auto" w:fill="auto"/>
            <w:vAlign w:val="center"/>
          </w:tcPr>
          <w:p>
            <w:pPr>
              <w:pStyle w:val="67"/>
              <w:tabs>
                <w:tab w:val="left" w:pos="1260"/>
              </w:tabs>
              <w:spacing w:before="40" w:after="40" w:line="360" w:lineRule="auto"/>
              <w:ind w:firstLine="480"/>
              <w:rPr>
                <w:rFonts w:ascii="宋体" w:hAnsi="宋体" w:cs="宋体"/>
                <w:color w:val="auto"/>
                <w:kern w:val="0"/>
                <w:sz w:val="24"/>
              </w:rPr>
            </w:pPr>
            <w:r>
              <w:rPr>
                <w:rFonts w:hint="eastAsia" w:ascii="宋体" w:hAnsi="宋体" w:cs="宋体"/>
                <w:color w:val="auto"/>
                <w:kern w:val="0"/>
                <w:sz w:val="24"/>
              </w:rPr>
              <w:t>如属所列情形的，请在括号内打“√”：</w:t>
            </w:r>
          </w:p>
          <w:p>
            <w:pPr>
              <w:pStyle w:val="67"/>
              <w:tabs>
                <w:tab w:val="left" w:pos="1260"/>
              </w:tabs>
              <w:spacing w:before="40" w:after="40" w:line="360" w:lineRule="auto"/>
              <w:rPr>
                <w:rFonts w:ascii="宋体" w:hAnsi="宋体" w:cs="宋体"/>
                <w:color w:val="auto"/>
                <w:kern w:val="0"/>
                <w:sz w:val="24"/>
              </w:rPr>
            </w:pPr>
            <w:r>
              <w:rPr>
                <w:rFonts w:hint="eastAsia" w:ascii="宋体" w:hAnsi="宋体" w:cs="宋体"/>
                <w:color w:val="auto"/>
                <w:kern w:val="0"/>
                <w:sz w:val="24"/>
              </w:rPr>
              <w:t>（  ）小型、微型企业投标且提供本企业制造的产品。</w:t>
            </w:r>
          </w:p>
          <w:p>
            <w:pPr>
              <w:pStyle w:val="67"/>
              <w:tabs>
                <w:tab w:val="left" w:pos="1260"/>
              </w:tabs>
              <w:spacing w:before="40" w:after="40" w:line="360" w:lineRule="auto"/>
              <w:rPr>
                <w:rFonts w:ascii="宋体" w:hAnsi="宋体" w:cs="宋体"/>
                <w:color w:val="auto"/>
                <w:kern w:val="0"/>
                <w:sz w:val="24"/>
              </w:rPr>
            </w:pPr>
            <w:r>
              <w:rPr>
                <w:rFonts w:hint="eastAsia" w:ascii="宋体" w:hAnsi="宋体" w:cs="宋体"/>
                <w:color w:val="auto"/>
                <w:kern w:val="0"/>
                <w:sz w:val="24"/>
              </w:rPr>
              <w:t>（  ）小微企业投标且提供其它小型、微型企业产品的，请填写下表内容：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continue"/>
            <w:shd w:val="clear" w:color="auto" w:fill="auto"/>
            <w:vAlign w:val="center"/>
          </w:tcPr>
          <w:p>
            <w:pPr>
              <w:pStyle w:val="67"/>
              <w:tabs>
                <w:tab w:val="left" w:pos="1260"/>
              </w:tabs>
              <w:spacing w:before="156" w:after="156"/>
              <w:ind w:firstLine="480"/>
              <w:jc w:val="center"/>
              <w:rPr>
                <w:rFonts w:ascii="宋体" w:hAnsi="宋体" w:cs="宋体"/>
                <w:color w:val="auto"/>
                <w:kern w:val="0"/>
                <w:sz w:val="24"/>
              </w:rPr>
            </w:pPr>
          </w:p>
        </w:tc>
        <w:tc>
          <w:tcPr>
            <w:tcW w:w="1702" w:type="dxa"/>
            <w:shd w:val="clear" w:color="auto" w:fill="auto"/>
            <w:vAlign w:val="center"/>
          </w:tcPr>
          <w:p>
            <w:pPr>
              <w:pStyle w:val="67"/>
              <w:tabs>
                <w:tab w:val="left" w:pos="1260"/>
              </w:tabs>
              <w:spacing w:before="40" w:after="40"/>
              <w:rPr>
                <w:rFonts w:ascii="宋体" w:hAnsi="宋体" w:cs="宋体"/>
                <w:color w:val="auto"/>
                <w:kern w:val="0"/>
                <w:sz w:val="24"/>
              </w:rPr>
            </w:pPr>
            <w:r>
              <w:rPr>
                <w:rFonts w:hint="eastAsia" w:ascii="宋体" w:hAnsi="宋体" w:cs="宋体"/>
                <w:color w:val="auto"/>
                <w:kern w:val="0"/>
                <w:sz w:val="24"/>
              </w:rPr>
              <w:t>核心产品名称</w:t>
            </w:r>
          </w:p>
        </w:tc>
        <w:tc>
          <w:tcPr>
            <w:tcW w:w="1196" w:type="dxa"/>
            <w:shd w:val="clear" w:color="auto" w:fill="auto"/>
            <w:vAlign w:val="center"/>
          </w:tcPr>
          <w:p>
            <w:pPr>
              <w:pStyle w:val="67"/>
              <w:tabs>
                <w:tab w:val="left" w:pos="1260"/>
              </w:tabs>
              <w:spacing w:before="40" w:after="40"/>
              <w:rPr>
                <w:rFonts w:ascii="宋体" w:hAnsi="宋体" w:cs="宋体"/>
                <w:color w:val="auto"/>
                <w:kern w:val="0"/>
                <w:sz w:val="24"/>
              </w:rPr>
            </w:pPr>
            <w:r>
              <w:rPr>
                <w:rFonts w:hint="eastAsia" w:ascii="宋体" w:hAnsi="宋体" w:cs="宋体"/>
                <w:color w:val="auto"/>
                <w:kern w:val="0"/>
                <w:sz w:val="24"/>
              </w:rPr>
              <w:t>品牌型号</w:t>
            </w:r>
          </w:p>
        </w:tc>
        <w:tc>
          <w:tcPr>
            <w:tcW w:w="1356" w:type="dxa"/>
            <w:shd w:val="clear" w:color="auto" w:fill="auto"/>
            <w:vAlign w:val="center"/>
          </w:tcPr>
          <w:p>
            <w:pPr>
              <w:pStyle w:val="67"/>
              <w:tabs>
                <w:tab w:val="left" w:pos="1260"/>
              </w:tabs>
              <w:spacing w:before="40" w:after="40"/>
              <w:rPr>
                <w:rFonts w:ascii="宋体" w:hAnsi="宋体" w:cs="宋体"/>
                <w:color w:val="auto"/>
                <w:kern w:val="0"/>
                <w:sz w:val="24"/>
              </w:rPr>
            </w:pPr>
            <w:r>
              <w:rPr>
                <w:rFonts w:hint="eastAsia" w:ascii="宋体" w:hAnsi="宋体" w:cs="宋体"/>
                <w:color w:val="auto"/>
                <w:kern w:val="0"/>
                <w:sz w:val="24"/>
              </w:rPr>
              <w:t>制造商</w:t>
            </w:r>
          </w:p>
        </w:tc>
        <w:tc>
          <w:tcPr>
            <w:tcW w:w="1960" w:type="dxa"/>
            <w:shd w:val="clear" w:color="auto" w:fill="auto"/>
            <w:vAlign w:val="center"/>
          </w:tcPr>
          <w:p>
            <w:pPr>
              <w:pStyle w:val="67"/>
              <w:tabs>
                <w:tab w:val="left" w:pos="1260"/>
              </w:tabs>
              <w:spacing w:before="40" w:after="40"/>
              <w:rPr>
                <w:rFonts w:ascii="宋体" w:hAnsi="宋体" w:cs="宋体"/>
                <w:color w:val="auto"/>
                <w:kern w:val="0"/>
                <w:sz w:val="24"/>
              </w:rPr>
            </w:pPr>
            <w:r>
              <w:rPr>
                <w:rFonts w:hint="eastAsia" w:ascii="宋体" w:hAnsi="宋体" w:cs="宋体"/>
                <w:color w:val="auto"/>
                <w:kern w:val="0"/>
                <w:sz w:val="24"/>
              </w:rPr>
              <w:t>制造商企业类型</w:t>
            </w:r>
          </w:p>
        </w:tc>
        <w:tc>
          <w:tcPr>
            <w:tcW w:w="1685" w:type="dxa"/>
            <w:shd w:val="clear" w:color="auto" w:fill="auto"/>
            <w:vAlign w:val="center"/>
          </w:tcPr>
          <w:p>
            <w:pPr>
              <w:pStyle w:val="67"/>
              <w:tabs>
                <w:tab w:val="left" w:pos="1260"/>
              </w:tabs>
              <w:spacing w:before="40" w:after="40"/>
              <w:rPr>
                <w:rFonts w:ascii="宋体" w:hAnsi="宋体" w:cs="宋体"/>
                <w:color w:val="auto"/>
                <w:kern w:val="0"/>
                <w:sz w:val="24"/>
              </w:rPr>
            </w:pPr>
            <w:r>
              <w:rPr>
                <w:rFonts w:hint="eastAsia" w:ascii="宋体" w:hAnsi="宋体" w:cs="宋体"/>
                <w:color w:val="auto"/>
                <w:kern w:val="0"/>
                <w:sz w:val="24"/>
              </w:rPr>
              <w:t>金额（单价元）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continue"/>
            <w:shd w:val="clear" w:color="auto" w:fill="auto"/>
            <w:vAlign w:val="center"/>
          </w:tcPr>
          <w:p>
            <w:pPr>
              <w:pStyle w:val="67"/>
              <w:tabs>
                <w:tab w:val="left" w:pos="1260"/>
              </w:tabs>
              <w:spacing w:before="156" w:after="156"/>
              <w:ind w:firstLine="480"/>
              <w:jc w:val="center"/>
              <w:rPr>
                <w:rFonts w:ascii="宋体" w:hAnsi="宋体" w:cs="宋体"/>
                <w:color w:val="auto"/>
                <w:kern w:val="0"/>
                <w:sz w:val="24"/>
              </w:rPr>
            </w:pPr>
          </w:p>
        </w:tc>
        <w:tc>
          <w:tcPr>
            <w:tcW w:w="1702" w:type="dxa"/>
            <w:shd w:val="clear" w:color="auto" w:fill="auto"/>
            <w:vAlign w:val="center"/>
          </w:tcPr>
          <w:p>
            <w:pPr>
              <w:pStyle w:val="67"/>
              <w:tabs>
                <w:tab w:val="left" w:pos="1260"/>
              </w:tabs>
              <w:spacing w:before="40" w:after="40"/>
              <w:ind w:firstLine="480"/>
              <w:jc w:val="center"/>
              <w:rPr>
                <w:rFonts w:ascii="宋体" w:hAnsi="宋体" w:cs="宋体"/>
                <w:color w:val="auto"/>
                <w:kern w:val="0"/>
                <w:sz w:val="24"/>
              </w:rPr>
            </w:pPr>
          </w:p>
        </w:tc>
        <w:tc>
          <w:tcPr>
            <w:tcW w:w="1196" w:type="dxa"/>
            <w:shd w:val="clear" w:color="auto" w:fill="auto"/>
            <w:vAlign w:val="center"/>
          </w:tcPr>
          <w:p>
            <w:pPr>
              <w:pStyle w:val="67"/>
              <w:tabs>
                <w:tab w:val="left" w:pos="1260"/>
              </w:tabs>
              <w:spacing w:before="40" w:after="40"/>
              <w:ind w:firstLine="480"/>
              <w:jc w:val="center"/>
              <w:rPr>
                <w:rFonts w:ascii="宋体" w:hAnsi="宋体" w:cs="宋体"/>
                <w:color w:val="auto"/>
                <w:kern w:val="0"/>
                <w:sz w:val="24"/>
              </w:rPr>
            </w:pPr>
          </w:p>
        </w:tc>
        <w:tc>
          <w:tcPr>
            <w:tcW w:w="1356" w:type="dxa"/>
            <w:shd w:val="clear" w:color="auto" w:fill="auto"/>
            <w:vAlign w:val="center"/>
          </w:tcPr>
          <w:p>
            <w:pPr>
              <w:pStyle w:val="67"/>
              <w:tabs>
                <w:tab w:val="left" w:pos="1260"/>
              </w:tabs>
              <w:spacing w:before="40" w:after="40"/>
              <w:ind w:firstLine="480"/>
              <w:jc w:val="center"/>
              <w:rPr>
                <w:rFonts w:ascii="宋体" w:hAnsi="宋体" w:cs="宋体"/>
                <w:color w:val="auto"/>
                <w:kern w:val="0"/>
                <w:sz w:val="24"/>
              </w:rPr>
            </w:pPr>
          </w:p>
        </w:tc>
        <w:tc>
          <w:tcPr>
            <w:tcW w:w="1960" w:type="dxa"/>
            <w:shd w:val="clear" w:color="auto" w:fill="auto"/>
            <w:vAlign w:val="center"/>
          </w:tcPr>
          <w:p>
            <w:pPr>
              <w:pStyle w:val="67"/>
              <w:tabs>
                <w:tab w:val="left" w:pos="1260"/>
              </w:tabs>
              <w:spacing w:before="40" w:after="40"/>
              <w:ind w:firstLine="480"/>
              <w:jc w:val="center"/>
              <w:rPr>
                <w:rFonts w:ascii="宋体" w:hAnsi="宋体" w:cs="宋体"/>
                <w:color w:val="auto"/>
                <w:kern w:val="0"/>
                <w:sz w:val="24"/>
              </w:rPr>
            </w:pPr>
          </w:p>
        </w:tc>
        <w:tc>
          <w:tcPr>
            <w:tcW w:w="1685" w:type="dxa"/>
            <w:shd w:val="clear" w:color="auto" w:fill="auto"/>
            <w:vAlign w:val="center"/>
          </w:tcPr>
          <w:p>
            <w:pPr>
              <w:pStyle w:val="67"/>
              <w:tabs>
                <w:tab w:val="left" w:pos="1260"/>
              </w:tabs>
              <w:spacing w:before="40" w:after="40"/>
              <w:ind w:firstLine="48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continue"/>
            <w:shd w:val="clear" w:color="auto" w:fill="auto"/>
            <w:vAlign w:val="center"/>
          </w:tcPr>
          <w:p>
            <w:pPr>
              <w:pStyle w:val="67"/>
              <w:tabs>
                <w:tab w:val="left" w:pos="1260"/>
              </w:tabs>
              <w:spacing w:before="156" w:after="156"/>
              <w:ind w:firstLine="480"/>
              <w:jc w:val="center"/>
              <w:rPr>
                <w:rFonts w:ascii="宋体" w:hAnsi="宋体" w:cs="宋体"/>
                <w:color w:val="auto"/>
                <w:kern w:val="0"/>
                <w:sz w:val="24"/>
              </w:rPr>
            </w:pPr>
          </w:p>
        </w:tc>
        <w:tc>
          <w:tcPr>
            <w:tcW w:w="1702" w:type="dxa"/>
            <w:shd w:val="clear" w:color="auto" w:fill="auto"/>
            <w:vAlign w:val="center"/>
          </w:tcPr>
          <w:p>
            <w:pPr>
              <w:pStyle w:val="67"/>
              <w:tabs>
                <w:tab w:val="left" w:pos="1260"/>
              </w:tabs>
              <w:spacing w:before="40" w:after="40"/>
              <w:ind w:firstLine="480"/>
              <w:jc w:val="center"/>
              <w:rPr>
                <w:rFonts w:ascii="宋体" w:hAnsi="宋体" w:cs="宋体"/>
                <w:color w:val="auto"/>
                <w:kern w:val="0"/>
                <w:sz w:val="24"/>
              </w:rPr>
            </w:pPr>
          </w:p>
        </w:tc>
        <w:tc>
          <w:tcPr>
            <w:tcW w:w="1196" w:type="dxa"/>
            <w:shd w:val="clear" w:color="auto" w:fill="auto"/>
            <w:vAlign w:val="center"/>
          </w:tcPr>
          <w:p>
            <w:pPr>
              <w:pStyle w:val="67"/>
              <w:tabs>
                <w:tab w:val="left" w:pos="1260"/>
              </w:tabs>
              <w:spacing w:before="40" w:after="40"/>
              <w:ind w:firstLine="480"/>
              <w:jc w:val="center"/>
              <w:rPr>
                <w:rFonts w:ascii="宋体" w:hAnsi="宋体" w:cs="宋体"/>
                <w:color w:val="auto"/>
                <w:kern w:val="0"/>
                <w:sz w:val="24"/>
              </w:rPr>
            </w:pPr>
          </w:p>
        </w:tc>
        <w:tc>
          <w:tcPr>
            <w:tcW w:w="1356" w:type="dxa"/>
            <w:shd w:val="clear" w:color="auto" w:fill="auto"/>
            <w:vAlign w:val="center"/>
          </w:tcPr>
          <w:p>
            <w:pPr>
              <w:pStyle w:val="67"/>
              <w:tabs>
                <w:tab w:val="left" w:pos="1260"/>
              </w:tabs>
              <w:spacing w:before="40" w:after="40"/>
              <w:ind w:firstLine="480"/>
              <w:jc w:val="center"/>
              <w:rPr>
                <w:rFonts w:ascii="宋体" w:hAnsi="宋体" w:cs="宋体"/>
                <w:color w:val="auto"/>
                <w:kern w:val="0"/>
                <w:sz w:val="24"/>
              </w:rPr>
            </w:pPr>
          </w:p>
        </w:tc>
        <w:tc>
          <w:tcPr>
            <w:tcW w:w="1960" w:type="dxa"/>
            <w:shd w:val="clear" w:color="auto" w:fill="auto"/>
            <w:vAlign w:val="center"/>
          </w:tcPr>
          <w:p>
            <w:pPr>
              <w:pStyle w:val="67"/>
              <w:tabs>
                <w:tab w:val="left" w:pos="1260"/>
              </w:tabs>
              <w:spacing w:before="40" w:after="40"/>
              <w:ind w:firstLine="480"/>
              <w:jc w:val="center"/>
              <w:rPr>
                <w:rFonts w:ascii="宋体" w:hAnsi="宋体" w:cs="宋体"/>
                <w:color w:val="auto"/>
                <w:kern w:val="0"/>
                <w:sz w:val="24"/>
              </w:rPr>
            </w:pPr>
          </w:p>
        </w:tc>
        <w:tc>
          <w:tcPr>
            <w:tcW w:w="1685" w:type="dxa"/>
            <w:shd w:val="clear" w:color="auto" w:fill="auto"/>
            <w:vAlign w:val="center"/>
          </w:tcPr>
          <w:p>
            <w:pPr>
              <w:pStyle w:val="67"/>
              <w:tabs>
                <w:tab w:val="left" w:pos="1260"/>
              </w:tabs>
              <w:spacing w:before="40" w:after="40"/>
              <w:ind w:firstLine="48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608" w:type="dxa"/>
            <w:vMerge w:val="continue"/>
            <w:shd w:val="clear" w:color="auto" w:fill="auto"/>
            <w:vAlign w:val="center"/>
          </w:tcPr>
          <w:p>
            <w:pPr>
              <w:pStyle w:val="67"/>
              <w:tabs>
                <w:tab w:val="left" w:pos="1260"/>
              </w:tabs>
              <w:spacing w:before="156" w:after="156"/>
              <w:ind w:firstLine="480"/>
              <w:jc w:val="center"/>
              <w:rPr>
                <w:rFonts w:ascii="宋体" w:hAnsi="宋体" w:cs="宋体"/>
                <w:color w:val="auto"/>
                <w:kern w:val="0"/>
                <w:sz w:val="24"/>
              </w:rPr>
            </w:pPr>
          </w:p>
        </w:tc>
        <w:tc>
          <w:tcPr>
            <w:tcW w:w="6214" w:type="dxa"/>
            <w:gridSpan w:val="4"/>
            <w:shd w:val="clear" w:color="auto" w:fill="auto"/>
            <w:vAlign w:val="center"/>
          </w:tcPr>
          <w:p>
            <w:pPr>
              <w:pStyle w:val="67"/>
              <w:tabs>
                <w:tab w:val="left" w:pos="1260"/>
              </w:tabs>
              <w:spacing w:before="40" w:after="40"/>
              <w:ind w:firstLine="480"/>
              <w:jc w:val="center"/>
              <w:rPr>
                <w:rFonts w:ascii="宋体" w:hAnsi="宋体" w:cs="宋体"/>
                <w:color w:val="auto"/>
                <w:kern w:val="0"/>
                <w:sz w:val="24"/>
              </w:rPr>
            </w:pPr>
            <w:r>
              <w:rPr>
                <w:rFonts w:hint="eastAsia" w:ascii="宋体" w:hAnsi="宋体" w:cs="宋体"/>
                <w:color w:val="auto"/>
                <w:kern w:val="0"/>
                <w:sz w:val="24"/>
              </w:rPr>
              <w:t>小型、微型企业产品金额合计</w:t>
            </w:r>
          </w:p>
        </w:tc>
        <w:tc>
          <w:tcPr>
            <w:tcW w:w="1685" w:type="dxa"/>
            <w:shd w:val="clear" w:color="auto" w:fill="auto"/>
            <w:vAlign w:val="center"/>
          </w:tcPr>
          <w:p>
            <w:pPr>
              <w:pStyle w:val="67"/>
              <w:tabs>
                <w:tab w:val="left" w:pos="1260"/>
              </w:tabs>
              <w:spacing w:before="40" w:after="40"/>
              <w:ind w:firstLine="48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7"/>
              <w:tabs>
                <w:tab w:val="left" w:pos="1260"/>
              </w:tabs>
              <w:spacing w:before="156" w:after="156"/>
              <w:rPr>
                <w:rFonts w:ascii="宋体" w:hAnsi="宋体" w:cs="宋体"/>
                <w:color w:val="auto"/>
                <w:kern w:val="0"/>
                <w:sz w:val="24"/>
              </w:rPr>
            </w:pPr>
            <w:r>
              <w:rPr>
                <w:rFonts w:ascii="宋体" w:hAnsi="宋体" w:cs="宋体"/>
                <w:color w:val="auto"/>
                <w:kern w:val="0"/>
                <w:sz w:val="24"/>
              </w:rPr>
              <w:t>监狱企业</w:t>
            </w:r>
          </w:p>
        </w:tc>
        <w:tc>
          <w:tcPr>
            <w:tcW w:w="78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67"/>
              <w:tabs>
                <w:tab w:val="left" w:pos="1260"/>
              </w:tabs>
              <w:spacing w:before="40" w:after="40"/>
              <w:rPr>
                <w:rFonts w:ascii="宋体" w:hAnsi="宋体" w:cs="宋体"/>
                <w:color w:val="auto"/>
                <w:kern w:val="0"/>
                <w:sz w:val="24"/>
              </w:rPr>
            </w:pPr>
            <w:r>
              <w:rPr>
                <w:rFonts w:ascii="宋体" w:hAnsi="宋体" w:cs="宋体"/>
                <w:color w:val="auto"/>
                <w:kern w:val="0"/>
                <w:sz w:val="24"/>
              </w:rPr>
              <w:t>（  ）我公司属于监狱企业，</w:t>
            </w:r>
            <w:r>
              <w:rPr>
                <w:rFonts w:hint="eastAsia" w:ascii="宋体" w:hAnsi="宋体" w:cs="宋体"/>
                <w:color w:val="auto"/>
                <w:kern w:val="0"/>
                <w:sz w:val="24"/>
              </w:rPr>
              <w:t>并</w:t>
            </w:r>
            <w:r>
              <w:rPr>
                <w:rFonts w:ascii="宋体" w:hAnsi="宋体" w:cs="宋体"/>
                <w:color w:val="auto"/>
                <w:kern w:val="0"/>
                <w:sz w:val="24"/>
              </w:rPr>
              <w:t>提供由监狱管理局、戒毒管理局（含新疆生产建设兵团）出具的属于监狱企业的证明文件。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7"/>
              <w:tabs>
                <w:tab w:val="left" w:pos="1260"/>
              </w:tabs>
              <w:spacing w:before="156" w:after="156"/>
              <w:rPr>
                <w:rFonts w:ascii="宋体" w:hAnsi="宋体" w:cs="宋体"/>
                <w:color w:val="auto"/>
                <w:kern w:val="0"/>
                <w:sz w:val="24"/>
              </w:rPr>
            </w:pPr>
            <w:r>
              <w:rPr>
                <w:rFonts w:hint="eastAsia" w:ascii="宋体" w:hAnsi="宋体" w:cs="宋体"/>
                <w:color w:val="auto"/>
                <w:kern w:val="0"/>
                <w:sz w:val="24"/>
              </w:rPr>
              <w:t>残疾人福利性单位</w:t>
            </w:r>
          </w:p>
        </w:tc>
        <w:tc>
          <w:tcPr>
            <w:tcW w:w="78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67"/>
              <w:tabs>
                <w:tab w:val="left" w:pos="1260"/>
              </w:tabs>
              <w:spacing w:before="40" w:after="40"/>
              <w:rPr>
                <w:rFonts w:ascii="宋体" w:hAnsi="宋体" w:cs="宋体"/>
                <w:color w:val="auto"/>
                <w:kern w:val="0"/>
                <w:sz w:val="24"/>
              </w:rPr>
            </w:pPr>
            <w:r>
              <w:rPr>
                <w:rFonts w:ascii="宋体" w:hAnsi="宋体" w:cs="宋体"/>
                <w:color w:val="auto"/>
                <w:kern w:val="0"/>
                <w:sz w:val="24"/>
              </w:rPr>
              <w:t>（  ）我公司属于</w:t>
            </w:r>
            <w:r>
              <w:rPr>
                <w:rFonts w:hint="eastAsia" w:ascii="宋体" w:hAnsi="宋体" w:cs="宋体"/>
                <w:color w:val="auto"/>
                <w:kern w:val="0"/>
                <w:sz w:val="24"/>
              </w:rPr>
              <w:t>残疾人福利性单位</w:t>
            </w:r>
            <w:r>
              <w:rPr>
                <w:rFonts w:ascii="宋体" w:hAnsi="宋体" w:cs="宋体"/>
                <w:color w:val="auto"/>
                <w:kern w:val="0"/>
                <w:sz w:val="24"/>
              </w:rPr>
              <w:t>，</w:t>
            </w:r>
            <w:r>
              <w:rPr>
                <w:rFonts w:hint="eastAsia" w:ascii="宋体" w:hAnsi="宋体" w:cs="宋体"/>
                <w:color w:val="auto"/>
                <w:kern w:val="0"/>
                <w:sz w:val="24"/>
              </w:rPr>
              <w:t>并</w:t>
            </w:r>
            <w:r>
              <w:rPr>
                <w:rFonts w:ascii="宋体" w:hAnsi="宋体" w:cs="宋体"/>
                <w:color w:val="auto"/>
                <w:kern w:val="0"/>
                <w:sz w:val="24"/>
              </w:rPr>
              <w:t>提供</w:t>
            </w:r>
            <w:r>
              <w:rPr>
                <w:rFonts w:hint="eastAsia" w:ascii="宋体" w:hAnsi="宋体" w:cs="宋体"/>
                <w:color w:val="auto"/>
                <w:kern w:val="0"/>
                <w:sz w:val="24"/>
              </w:rPr>
              <w:t>残疾人福利性单位声明函</w:t>
            </w:r>
            <w:r>
              <w:rPr>
                <w:rFonts w:ascii="宋体" w:hAnsi="宋体" w:cs="宋体"/>
                <w:color w:val="auto"/>
                <w:kern w:val="0"/>
                <w:sz w:val="24"/>
              </w:rPr>
              <w:t>。</w:t>
            </w:r>
          </w:p>
        </w:tc>
      </w:tr>
    </w:tbl>
    <w:p>
      <w:pPr>
        <w:spacing w:line="360" w:lineRule="auto"/>
        <w:ind w:firstLine="480" w:firstLineChars="200"/>
        <w:rPr>
          <w:color w:val="auto"/>
          <w:sz w:val="24"/>
        </w:rPr>
      </w:pPr>
    </w:p>
    <w:p>
      <w:pPr>
        <w:spacing w:line="360" w:lineRule="auto"/>
        <w:ind w:firstLine="480" w:firstLineChars="200"/>
        <w:rPr>
          <w:color w:val="auto"/>
          <w:sz w:val="24"/>
        </w:rPr>
      </w:pPr>
      <w:r>
        <w:rPr>
          <w:rFonts w:hint="eastAsia"/>
          <w:color w:val="auto"/>
          <w:sz w:val="24"/>
        </w:rPr>
        <w:t>填报要求：</w:t>
      </w:r>
    </w:p>
    <w:p>
      <w:pPr>
        <w:spacing w:line="360" w:lineRule="auto"/>
        <w:ind w:firstLine="480" w:firstLineChars="200"/>
        <w:rPr>
          <w:color w:val="auto"/>
          <w:sz w:val="24"/>
        </w:rPr>
      </w:pPr>
      <w:r>
        <w:rPr>
          <w:rFonts w:hint="eastAsia"/>
          <w:color w:val="auto"/>
          <w:sz w:val="24"/>
        </w:rPr>
        <w:t>1. 本表内容与本招标文件其他要求填写不一致或本表填写不完整的，不予价格扣除。</w:t>
      </w:r>
    </w:p>
    <w:p>
      <w:pPr>
        <w:autoSpaceDE w:val="0"/>
        <w:autoSpaceDN w:val="0"/>
        <w:spacing w:line="360" w:lineRule="auto"/>
        <w:ind w:firstLine="480" w:firstLineChars="200"/>
        <w:rPr>
          <w:color w:val="auto"/>
          <w:sz w:val="24"/>
        </w:rPr>
      </w:pPr>
      <w:r>
        <w:rPr>
          <w:rFonts w:hint="eastAsia"/>
          <w:color w:val="auto"/>
          <w:sz w:val="24"/>
        </w:rPr>
        <w:t>2. 制造商为小型或微型企业时才需要填“制造商企业类型”栏，填写内容为“小型”或“微型”。</w:t>
      </w:r>
    </w:p>
    <w:p>
      <w:pPr>
        <w:autoSpaceDE w:val="0"/>
        <w:autoSpaceDN w:val="0"/>
        <w:spacing w:line="360" w:lineRule="auto"/>
        <w:ind w:firstLine="480" w:firstLineChars="200"/>
        <w:rPr>
          <w:color w:val="auto"/>
          <w:sz w:val="24"/>
        </w:rPr>
      </w:pPr>
      <w:r>
        <w:rPr>
          <w:rFonts w:hint="eastAsia"/>
          <w:color w:val="auto"/>
          <w:sz w:val="24"/>
        </w:rPr>
        <w:t>3.</w:t>
      </w:r>
      <w:r>
        <w:rPr>
          <w:rFonts w:hint="eastAsia" w:ascii="宋体" w:hAnsi="宋体"/>
          <w:color w:val="auto"/>
          <w:sz w:val="24"/>
          <w:szCs w:val="24"/>
        </w:rPr>
        <w:t xml:space="preserve"> 联合体一方为小型、微型企业且小型、微型企业协议合同金额占联合体协议合同总金额30%以上的才需填写“</w:t>
      </w:r>
      <w:r>
        <w:rPr>
          <w:rFonts w:hint="eastAsia" w:ascii="宋体" w:hAnsi="宋体" w:cs="宋体"/>
          <w:color w:val="auto"/>
          <w:kern w:val="0"/>
          <w:sz w:val="24"/>
        </w:rPr>
        <w:t>金额（单价元）、小型、微型企业产品金额合计</w:t>
      </w:r>
      <w:r>
        <w:rPr>
          <w:rFonts w:hint="eastAsia" w:ascii="宋体" w:hAnsi="宋体"/>
          <w:color w:val="auto"/>
          <w:sz w:val="24"/>
          <w:szCs w:val="24"/>
        </w:rPr>
        <w:t>”内容。</w:t>
      </w:r>
    </w:p>
    <w:p>
      <w:pPr>
        <w:autoSpaceDE w:val="0"/>
        <w:autoSpaceDN w:val="0"/>
        <w:spacing w:line="360" w:lineRule="auto"/>
        <w:ind w:firstLine="2168" w:firstLineChars="900"/>
        <w:rPr>
          <w:rFonts w:ascii="宋体" w:hAnsi="宋体"/>
          <w:b/>
          <w:bCs/>
          <w:color w:val="auto"/>
          <w:kern w:val="0"/>
          <w:sz w:val="24"/>
          <w:szCs w:val="24"/>
        </w:rPr>
      </w:pPr>
      <w:r>
        <w:rPr>
          <w:rFonts w:ascii="宋体" w:hAnsi="宋体"/>
          <w:b/>
          <w:bCs/>
          <w:color w:val="auto"/>
          <w:kern w:val="0"/>
          <w:sz w:val="24"/>
          <w:szCs w:val="24"/>
        </w:rPr>
        <w:br w:type="page"/>
      </w:r>
    </w:p>
    <w:p>
      <w:pPr>
        <w:spacing w:line="588" w:lineRule="exact"/>
        <w:jc w:val="center"/>
        <w:rPr>
          <w:rFonts w:ascii="宋体" w:hAnsi="宋体" w:cs="宋体"/>
          <w:color w:val="auto"/>
          <w:kern w:val="0"/>
          <w:sz w:val="24"/>
          <w:szCs w:val="24"/>
        </w:rPr>
      </w:pPr>
      <w:bookmarkStart w:id="85" w:name="_Toc22827_WPSOffice_Level1"/>
      <w:r>
        <w:rPr>
          <w:rFonts w:hint="eastAsia" w:ascii="宋体" w:hAnsi="宋体" w:cs="宋体"/>
          <w:color w:val="auto"/>
          <w:kern w:val="0"/>
          <w:sz w:val="24"/>
          <w:szCs w:val="24"/>
        </w:rPr>
        <w:t>二十一.中小企业声明函</w:t>
      </w:r>
      <w:bookmarkEnd w:id="85"/>
    </w:p>
    <w:p>
      <w:pPr>
        <w:spacing w:line="588" w:lineRule="exact"/>
        <w:rPr>
          <w:rFonts w:ascii="宋体" w:hAnsi="宋体" w:cs="宋体"/>
          <w:color w:val="auto"/>
          <w:kern w:val="0"/>
          <w:sz w:val="24"/>
          <w:szCs w:val="24"/>
        </w:rPr>
      </w:pPr>
    </w:p>
    <w:p>
      <w:pPr>
        <w:spacing w:line="588"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本公司郑重声明，根据《政府采购促进中小企业发展暂行办法》（财库[2011]181号）的规定，本公司为</w:t>
      </w:r>
      <w:bookmarkStart w:id="86" w:name="OLE_LINK5"/>
      <w:bookmarkStart w:id="87" w:name="OLE_LINK2"/>
      <w:r>
        <w:rPr>
          <w:rFonts w:hint="eastAsia" w:ascii="宋体" w:hAnsi="宋体" w:cs="宋体"/>
          <w:color w:val="auto"/>
          <w:kern w:val="0"/>
          <w:sz w:val="24"/>
          <w:szCs w:val="24"/>
        </w:rPr>
        <w:t>______（请填写：中型、小型、微型）企业</w:t>
      </w:r>
      <w:bookmarkEnd w:id="86"/>
      <w:bookmarkEnd w:id="87"/>
      <w:r>
        <w:rPr>
          <w:rFonts w:hint="eastAsia" w:ascii="宋体" w:hAnsi="宋体" w:cs="宋体"/>
          <w:color w:val="auto"/>
          <w:kern w:val="0"/>
          <w:sz w:val="24"/>
          <w:szCs w:val="24"/>
        </w:rPr>
        <w:t>。即，本公司同时满足以下条件：</w:t>
      </w:r>
    </w:p>
    <w:p>
      <w:pPr>
        <w:spacing w:line="588"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本公司对上述声明的真实性负责。如有虚假，将依法承担相应责任。</w:t>
      </w:r>
    </w:p>
    <w:p>
      <w:pPr>
        <w:spacing w:line="588" w:lineRule="exact"/>
        <w:ind w:firstLine="480" w:firstLineChars="200"/>
        <w:rPr>
          <w:rFonts w:ascii="宋体" w:hAnsi="宋体" w:cs="宋体"/>
          <w:color w:val="auto"/>
          <w:kern w:val="0"/>
          <w:sz w:val="24"/>
          <w:szCs w:val="24"/>
        </w:rPr>
      </w:pPr>
    </w:p>
    <w:p>
      <w:pPr>
        <w:spacing w:line="588" w:lineRule="exact"/>
        <w:ind w:firstLine="480" w:firstLineChars="200"/>
        <w:rPr>
          <w:rFonts w:ascii="宋体" w:hAnsi="宋体" w:cs="宋体"/>
          <w:color w:val="auto"/>
          <w:kern w:val="0"/>
          <w:sz w:val="24"/>
          <w:szCs w:val="24"/>
        </w:rPr>
      </w:pPr>
    </w:p>
    <w:p>
      <w:pPr>
        <w:tabs>
          <w:tab w:val="left" w:pos="4860"/>
        </w:tabs>
        <w:spacing w:line="588" w:lineRule="exact"/>
        <w:ind w:right="1560" w:firstLine="480" w:firstLineChars="200"/>
        <w:jc w:val="center"/>
        <w:rPr>
          <w:rFonts w:ascii="宋体" w:hAnsi="宋体" w:cs="宋体"/>
          <w:color w:val="auto"/>
          <w:kern w:val="0"/>
          <w:sz w:val="24"/>
          <w:szCs w:val="24"/>
        </w:rPr>
      </w:pPr>
      <w:bookmarkStart w:id="88" w:name="_Toc5281_WPSOffice_Level1"/>
      <w:r>
        <w:rPr>
          <w:rFonts w:hint="eastAsia" w:ascii="宋体" w:hAnsi="宋体" w:cs="宋体"/>
          <w:color w:val="auto"/>
          <w:kern w:val="0"/>
          <w:sz w:val="24"/>
          <w:szCs w:val="24"/>
        </w:rPr>
        <w:t>企业名称（盖章）：</w:t>
      </w:r>
      <w:bookmarkEnd w:id="88"/>
    </w:p>
    <w:p>
      <w:pPr>
        <w:autoSpaceDE w:val="0"/>
        <w:autoSpaceDN w:val="0"/>
        <w:spacing w:line="360" w:lineRule="auto"/>
        <w:rPr>
          <w:rFonts w:ascii="宋体" w:hAnsi="宋体" w:cs="宋体"/>
          <w:color w:val="auto"/>
          <w:kern w:val="0"/>
          <w:sz w:val="24"/>
          <w:szCs w:val="24"/>
        </w:rPr>
      </w:pPr>
      <w:r>
        <w:rPr>
          <w:rFonts w:hint="eastAsia" w:ascii="宋体" w:hAnsi="宋体" w:cs="宋体"/>
          <w:color w:val="auto"/>
          <w:kern w:val="0"/>
          <w:sz w:val="24"/>
          <w:szCs w:val="24"/>
        </w:rPr>
        <w:t xml:space="preserve">                                          日  期：</w:t>
      </w:r>
    </w:p>
    <w:p>
      <w:pPr>
        <w:autoSpaceDE w:val="0"/>
        <w:autoSpaceDN w:val="0"/>
        <w:spacing w:line="360" w:lineRule="auto"/>
        <w:rPr>
          <w:rFonts w:ascii="宋体" w:hAnsi="宋体" w:cs="宋体"/>
          <w:color w:val="auto"/>
          <w:kern w:val="0"/>
          <w:sz w:val="24"/>
          <w:szCs w:val="24"/>
        </w:rPr>
      </w:pPr>
      <w:r>
        <w:rPr>
          <w:rFonts w:hint="eastAsia" w:ascii="宋体" w:hAnsi="宋体" w:cs="宋体"/>
          <w:color w:val="auto"/>
          <w:kern w:val="0"/>
          <w:sz w:val="24"/>
          <w:szCs w:val="24"/>
        </w:rPr>
        <w:t>说明：1.供应商不按要求填写、盖章的将不享受中小微企业有关政策。</w:t>
      </w:r>
    </w:p>
    <w:p>
      <w:pPr>
        <w:autoSpaceDE w:val="0"/>
        <w:autoSpaceDN w:val="0"/>
        <w:spacing w:line="360" w:lineRule="auto"/>
        <w:ind w:firstLine="720" w:firstLineChars="300"/>
        <w:rPr>
          <w:color w:val="auto"/>
          <w:sz w:val="24"/>
          <w:szCs w:val="24"/>
        </w:rPr>
      </w:pPr>
      <w:r>
        <w:rPr>
          <w:rFonts w:hint="eastAsia"/>
          <w:color w:val="auto"/>
          <w:sz w:val="24"/>
          <w:szCs w:val="24"/>
        </w:rPr>
        <w:t>2.本表后附“小微企业名录”（http://xwqy.gsxt.gov.cn）截图。</w:t>
      </w:r>
    </w:p>
    <w:p>
      <w:pPr>
        <w:autoSpaceDE w:val="0"/>
        <w:autoSpaceDN w:val="0"/>
        <w:spacing w:line="360" w:lineRule="auto"/>
        <w:rPr>
          <w:color w:val="auto"/>
          <w:sz w:val="24"/>
          <w:szCs w:val="24"/>
        </w:rPr>
      </w:pPr>
      <w:r>
        <w:rPr>
          <w:rFonts w:ascii="宋体" w:hAnsi="宋体" w:cs="宋体"/>
          <w:color w:val="auto"/>
          <w:kern w:val="0"/>
          <w:sz w:val="24"/>
          <w:szCs w:val="24"/>
        </w:rPr>
        <w:t xml:space="preserve">注：如供应商未按要求填写、签署和提供政府采购政策情况表、中小企业声明函和小微企业名录网站截图（三项内容缺一不可），评审委员会将有权认定该供应商不享受中小微企业有关政策。 </w:t>
      </w:r>
    </w:p>
    <w:p>
      <w:pPr>
        <w:autoSpaceDE w:val="0"/>
        <w:autoSpaceDN w:val="0"/>
        <w:spacing w:line="360" w:lineRule="auto"/>
        <w:rPr>
          <w:rFonts w:ascii="宋体" w:hAnsi="宋体" w:cs="宋体"/>
          <w:color w:val="auto"/>
          <w:kern w:val="0"/>
          <w:sz w:val="24"/>
          <w:szCs w:val="24"/>
        </w:rPr>
      </w:pPr>
    </w:p>
    <w:p>
      <w:pPr>
        <w:pStyle w:val="2"/>
        <w:rPr>
          <w:rFonts w:ascii="宋体" w:hAnsi="宋体" w:cs="宋体"/>
          <w:color w:val="auto"/>
          <w:kern w:val="0"/>
          <w:sz w:val="24"/>
          <w:szCs w:val="24"/>
        </w:rPr>
      </w:pPr>
    </w:p>
    <w:p>
      <w:pPr>
        <w:pStyle w:val="2"/>
        <w:rPr>
          <w:rFonts w:ascii="宋体" w:hAnsi="宋体" w:cs="宋体"/>
          <w:color w:val="auto"/>
          <w:kern w:val="0"/>
          <w:sz w:val="24"/>
          <w:szCs w:val="24"/>
        </w:rPr>
      </w:pPr>
    </w:p>
    <w:p>
      <w:pPr>
        <w:pStyle w:val="2"/>
        <w:rPr>
          <w:rFonts w:ascii="宋体" w:hAnsi="宋体" w:cs="宋体"/>
          <w:color w:val="auto"/>
          <w:kern w:val="0"/>
          <w:sz w:val="24"/>
          <w:szCs w:val="24"/>
        </w:rPr>
      </w:pPr>
    </w:p>
    <w:p>
      <w:pPr>
        <w:pStyle w:val="2"/>
        <w:rPr>
          <w:rFonts w:ascii="宋体" w:hAnsi="宋体" w:cs="宋体"/>
          <w:color w:val="auto"/>
          <w:kern w:val="0"/>
          <w:sz w:val="24"/>
          <w:szCs w:val="24"/>
        </w:rPr>
      </w:pPr>
    </w:p>
    <w:p>
      <w:pPr>
        <w:spacing w:line="588" w:lineRule="exact"/>
        <w:ind w:firstLine="2760" w:firstLineChars="1150"/>
        <w:rPr>
          <w:rFonts w:ascii="宋体" w:hAnsi="宋体" w:cs="宋体"/>
          <w:color w:val="auto"/>
          <w:kern w:val="0"/>
          <w:sz w:val="24"/>
          <w:szCs w:val="24"/>
        </w:rPr>
      </w:pPr>
      <w:r>
        <w:rPr>
          <w:rFonts w:hint="eastAsia" w:ascii="宋体" w:hAnsi="宋体" w:cs="宋体"/>
          <w:color w:val="auto"/>
          <w:kern w:val="0"/>
          <w:sz w:val="24"/>
          <w:szCs w:val="24"/>
        </w:rPr>
        <w:t>二十二.残疾人福利性单位声明函</w:t>
      </w:r>
    </w:p>
    <w:p>
      <w:pPr>
        <w:spacing w:line="588" w:lineRule="exact"/>
        <w:rPr>
          <w:rFonts w:ascii="宋体" w:hAnsi="宋体" w:cs="宋体"/>
          <w:color w:val="auto"/>
          <w:kern w:val="0"/>
          <w:sz w:val="24"/>
          <w:szCs w:val="24"/>
        </w:rPr>
      </w:pPr>
    </w:p>
    <w:p>
      <w:pPr>
        <w:spacing w:line="588"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本单位对上述声明的真实性负责。如有虚假，将依法承担相应责任。</w:t>
      </w:r>
    </w:p>
    <w:p>
      <w:pPr>
        <w:spacing w:line="588" w:lineRule="exact"/>
        <w:ind w:firstLine="480" w:firstLineChars="200"/>
        <w:rPr>
          <w:rFonts w:ascii="宋体" w:hAnsi="宋体" w:cs="宋体"/>
          <w:color w:val="auto"/>
          <w:kern w:val="0"/>
          <w:sz w:val="24"/>
          <w:szCs w:val="24"/>
        </w:rPr>
      </w:pPr>
    </w:p>
    <w:p>
      <w:pPr>
        <w:spacing w:line="588" w:lineRule="exact"/>
        <w:ind w:firstLine="480" w:firstLineChars="200"/>
        <w:rPr>
          <w:rFonts w:ascii="宋体" w:hAnsi="宋体" w:cs="宋体"/>
          <w:color w:val="auto"/>
          <w:kern w:val="0"/>
          <w:sz w:val="24"/>
          <w:szCs w:val="24"/>
        </w:rPr>
      </w:pPr>
      <w:r>
        <w:rPr>
          <w:rFonts w:hint="eastAsia"/>
          <w:color w:val="auto"/>
          <w:sz w:val="24"/>
        </w:rPr>
        <w:t>说明：供应商不按要求填写、盖章的将不享受残疾人企业有关政策。</w:t>
      </w:r>
    </w:p>
    <w:p>
      <w:pPr>
        <w:tabs>
          <w:tab w:val="left" w:pos="4860"/>
        </w:tabs>
        <w:spacing w:line="588" w:lineRule="exact"/>
        <w:ind w:right="1560" w:firstLine="480" w:firstLineChars="200"/>
        <w:jc w:val="center"/>
        <w:rPr>
          <w:rFonts w:ascii="宋体" w:hAnsi="宋体" w:cs="宋体"/>
          <w:color w:val="auto"/>
          <w:kern w:val="0"/>
          <w:sz w:val="24"/>
          <w:szCs w:val="24"/>
        </w:rPr>
      </w:pPr>
      <w:bookmarkStart w:id="89" w:name="_Toc9515_WPSOffice_Level1"/>
      <w:r>
        <w:rPr>
          <w:rFonts w:hint="eastAsia" w:ascii="宋体" w:hAnsi="宋体" w:cs="宋体"/>
          <w:color w:val="auto"/>
          <w:kern w:val="0"/>
          <w:sz w:val="24"/>
          <w:szCs w:val="24"/>
        </w:rPr>
        <w:t>单位名称（盖章）：</w:t>
      </w:r>
      <w:bookmarkEnd w:id="89"/>
    </w:p>
    <w:p>
      <w:pPr>
        <w:tabs>
          <w:tab w:val="left" w:pos="4860"/>
        </w:tabs>
        <w:spacing w:line="588" w:lineRule="exact"/>
        <w:ind w:right="1560" w:firstLine="480" w:firstLineChars="200"/>
        <w:jc w:val="center"/>
        <w:rPr>
          <w:rFonts w:ascii="宋体" w:hAnsi="宋体" w:cs="宋体"/>
          <w:color w:val="auto"/>
          <w:kern w:val="0"/>
          <w:sz w:val="24"/>
          <w:szCs w:val="24"/>
        </w:rPr>
      </w:pPr>
      <w:bookmarkStart w:id="90" w:name="_Toc17210_WPSOffice_Level1"/>
      <w:r>
        <w:rPr>
          <w:rFonts w:hint="eastAsia" w:ascii="宋体" w:hAnsi="宋体" w:cs="宋体"/>
          <w:color w:val="auto"/>
          <w:kern w:val="0"/>
          <w:sz w:val="24"/>
          <w:szCs w:val="24"/>
        </w:rPr>
        <w:t>日  期：</w:t>
      </w:r>
      <w:bookmarkEnd w:id="90"/>
    </w:p>
    <w:p>
      <w:pPr>
        <w:autoSpaceDE w:val="0"/>
        <w:autoSpaceDN w:val="0"/>
        <w:spacing w:line="360" w:lineRule="auto"/>
        <w:ind w:firstLine="480" w:firstLineChars="200"/>
        <w:rPr>
          <w:rFonts w:ascii="宋体" w:hAnsi="宋体" w:cs="宋体"/>
          <w:b/>
          <w:color w:val="auto"/>
          <w:kern w:val="0"/>
          <w:sz w:val="24"/>
          <w:szCs w:val="24"/>
        </w:rPr>
      </w:pPr>
      <w:r>
        <w:rPr>
          <w:color w:val="auto"/>
          <w:sz w:val="24"/>
        </w:rPr>
        <w:br w:type="page"/>
      </w:r>
    </w:p>
    <w:p>
      <w:pPr>
        <w:autoSpaceDE w:val="0"/>
        <w:autoSpaceDN w:val="0"/>
        <w:spacing w:line="360" w:lineRule="auto"/>
        <w:ind w:left="3120" w:hanging="3120" w:hangingChars="1300"/>
        <w:rPr>
          <w:rFonts w:ascii="宋体" w:hAnsi="宋体"/>
          <w:b/>
          <w:color w:val="auto"/>
          <w:sz w:val="24"/>
          <w:szCs w:val="24"/>
          <w:lang w:val="zh-CN"/>
        </w:rPr>
      </w:pPr>
      <w:r>
        <w:rPr>
          <w:rFonts w:ascii="宋体" w:hAnsi="宋体"/>
          <w:bCs/>
          <w:color w:val="auto"/>
          <w:kern w:val="0"/>
          <w:sz w:val="24"/>
          <w:szCs w:val="24"/>
          <w:lang w:val="zh-CN"/>
        </w:rPr>
        <w:br w:type="textWrapping"/>
      </w:r>
      <w:r>
        <w:rPr>
          <w:rFonts w:hint="eastAsia" w:ascii="宋体" w:hAnsi="宋体"/>
          <w:bCs/>
          <w:color w:val="auto"/>
          <w:kern w:val="0"/>
          <w:sz w:val="24"/>
          <w:szCs w:val="24"/>
          <w:lang w:val="zh-CN"/>
        </w:rPr>
        <w:t>二十三</w:t>
      </w:r>
      <w:r>
        <w:rPr>
          <w:rFonts w:hint="eastAsia" w:ascii="宋体" w:hAnsi="宋体"/>
          <w:bCs/>
          <w:color w:val="auto"/>
          <w:kern w:val="0"/>
          <w:sz w:val="24"/>
          <w:szCs w:val="24"/>
        </w:rPr>
        <w:t>.</w:t>
      </w:r>
      <w:r>
        <w:rPr>
          <w:rFonts w:hint="eastAsia" w:ascii="宋体" w:hAnsi="宋体"/>
          <w:b/>
          <w:color w:val="auto"/>
          <w:sz w:val="24"/>
          <w:szCs w:val="24"/>
        </w:rPr>
        <w:t>各类</w:t>
      </w:r>
      <w:r>
        <w:rPr>
          <w:rFonts w:hint="eastAsia" w:ascii="宋体" w:hAnsi="宋体"/>
          <w:b/>
          <w:color w:val="auto"/>
          <w:sz w:val="24"/>
          <w:szCs w:val="24"/>
          <w:lang w:val="zh-CN"/>
        </w:rPr>
        <w:t>证明材料</w:t>
      </w:r>
    </w:p>
    <w:p>
      <w:pPr>
        <w:spacing w:line="360" w:lineRule="auto"/>
        <w:rPr>
          <w:rFonts w:ascii="宋体" w:hAnsi="宋体"/>
          <w:color w:val="auto"/>
          <w:sz w:val="24"/>
          <w:szCs w:val="24"/>
        </w:rPr>
      </w:pPr>
      <w:r>
        <w:rPr>
          <w:rFonts w:hint="eastAsia" w:ascii="宋体" w:hAnsi="宋体"/>
          <w:color w:val="auto"/>
          <w:sz w:val="24"/>
          <w:szCs w:val="24"/>
        </w:rPr>
        <w:t>1.招标文件要求提供的其他资料。</w:t>
      </w:r>
    </w:p>
    <w:p>
      <w:pPr>
        <w:spacing w:line="360" w:lineRule="auto"/>
        <w:rPr>
          <w:rFonts w:ascii="宋体" w:hAnsi="宋体"/>
          <w:color w:val="auto"/>
          <w:sz w:val="24"/>
          <w:szCs w:val="24"/>
        </w:rPr>
      </w:pPr>
      <w:r>
        <w:rPr>
          <w:rFonts w:hint="eastAsia" w:ascii="宋体" w:hAnsi="宋体"/>
          <w:color w:val="auto"/>
          <w:sz w:val="24"/>
          <w:szCs w:val="24"/>
        </w:rPr>
        <w:t>2.投标人认为需提供的其他资料。</w:t>
      </w:r>
    </w:p>
    <w:p>
      <w:pPr>
        <w:pStyle w:val="4"/>
        <w:keepNext w:val="0"/>
        <w:keepLines w:val="0"/>
        <w:spacing w:line="360" w:lineRule="auto"/>
        <w:ind w:firstLine="2650" w:firstLineChars="1100"/>
        <w:rPr>
          <w:rFonts w:ascii="宋体" w:hAnsi="宋体" w:eastAsia="宋体"/>
          <w:bCs w:val="0"/>
          <w:color w:val="auto"/>
          <w:kern w:val="2"/>
          <w:sz w:val="24"/>
          <w:szCs w:val="24"/>
          <w:lang w:val="en-US"/>
        </w:rPr>
      </w:pPr>
      <w:r>
        <w:rPr>
          <w:rFonts w:ascii="宋体" w:hAnsi="宋体" w:eastAsia="宋体"/>
          <w:bCs w:val="0"/>
          <w:color w:val="auto"/>
          <w:kern w:val="2"/>
          <w:sz w:val="24"/>
          <w:szCs w:val="24"/>
          <w:lang w:val="en-US"/>
        </w:rPr>
        <w:br w:type="page"/>
      </w:r>
    </w:p>
    <w:p>
      <w:pPr>
        <w:spacing w:line="360" w:lineRule="auto"/>
        <w:ind w:firstLine="4216" w:firstLineChars="1750"/>
        <w:outlineLvl w:val="0"/>
        <w:rPr>
          <w:rFonts w:ascii="宋体" w:hAnsi="宋体"/>
          <w:b/>
          <w:color w:val="auto"/>
          <w:sz w:val="24"/>
          <w:szCs w:val="24"/>
          <w:lang w:val="zh-CN"/>
        </w:rPr>
      </w:pPr>
      <w:bookmarkStart w:id="91" w:name="_Toc497408664"/>
      <w:r>
        <w:rPr>
          <w:rFonts w:hint="eastAsia" w:ascii="宋体" w:hAnsi="宋体"/>
          <w:b/>
          <w:color w:val="auto"/>
          <w:sz w:val="24"/>
          <w:szCs w:val="24"/>
          <w:lang w:val="zh-CN"/>
        </w:rPr>
        <w:t>温馨提示</w:t>
      </w:r>
      <w:bookmarkEnd w:id="91"/>
    </w:p>
    <w:p>
      <w:pPr>
        <w:spacing w:line="360" w:lineRule="auto"/>
        <w:rPr>
          <w:rFonts w:ascii="宋体" w:hAnsi="宋体"/>
          <w:b/>
          <w:color w:val="auto"/>
          <w:sz w:val="24"/>
          <w:szCs w:val="24"/>
          <w:lang w:val="zh-CN"/>
        </w:rPr>
      </w:pPr>
      <w:r>
        <w:rPr>
          <w:rFonts w:hint="eastAsia" w:ascii="宋体" w:hAnsi="宋体"/>
          <w:b/>
          <w:color w:val="auto"/>
          <w:sz w:val="24"/>
          <w:szCs w:val="24"/>
          <w:lang w:val="zh-CN"/>
        </w:rPr>
        <w:t>各潜在投标人:</w:t>
      </w:r>
    </w:p>
    <w:p>
      <w:pPr>
        <w:spacing w:line="360" w:lineRule="auto"/>
        <w:ind w:firstLine="480" w:firstLineChars="200"/>
        <w:rPr>
          <w:rFonts w:ascii="宋体" w:hAnsi="宋体"/>
          <w:color w:val="auto"/>
          <w:sz w:val="24"/>
          <w:szCs w:val="24"/>
        </w:rPr>
      </w:pPr>
      <w:r>
        <w:rPr>
          <w:rFonts w:hint="eastAsia" w:ascii="宋体" w:hAnsi="宋体"/>
          <w:color w:val="auto"/>
          <w:sz w:val="24"/>
          <w:szCs w:val="24"/>
        </w:rPr>
        <w:br w:type="textWrapping"/>
      </w:r>
      <w:r>
        <w:rPr>
          <w:rFonts w:hint="eastAsia" w:ascii="宋体" w:hAnsi="宋体"/>
          <w:color w:val="auto"/>
          <w:sz w:val="24"/>
          <w:szCs w:val="24"/>
        </w:rPr>
        <w:t>  请在编制投标文件前请认真阅读并理解招标文件。现就容易导致废标或无效投标的条款特别提示如下：</w:t>
      </w:r>
      <w:r>
        <w:rPr>
          <w:rFonts w:hint="eastAsia" w:ascii="宋体" w:hAnsi="宋体"/>
          <w:color w:val="auto"/>
          <w:sz w:val="24"/>
          <w:szCs w:val="24"/>
        </w:rPr>
        <w:br w:type="textWrapping"/>
      </w:r>
      <w:r>
        <w:rPr>
          <w:rFonts w:hint="eastAsia" w:ascii="宋体" w:hAnsi="宋体"/>
          <w:color w:val="auto"/>
          <w:sz w:val="24"/>
          <w:szCs w:val="24"/>
        </w:rPr>
        <w:t>1.及时查看投标项目的相关信息公告，如谈判公告、变更公告、废标公告等。</w:t>
      </w:r>
      <w:r>
        <w:rPr>
          <w:rFonts w:hint="eastAsia" w:ascii="宋体" w:hAnsi="宋体"/>
          <w:color w:val="auto"/>
          <w:sz w:val="24"/>
          <w:szCs w:val="24"/>
        </w:rPr>
        <w:br w:type="textWrapping"/>
      </w:r>
      <w:r>
        <w:rPr>
          <w:rFonts w:hint="eastAsia" w:ascii="宋体" w:hAnsi="宋体"/>
          <w:color w:val="auto"/>
          <w:sz w:val="24"/>
          <w:szCs w:val="24"/>
        </w:rPr>
        <w:t>2.认真填写报名信息，在递交响应文件截止时间前核对保证金缴纳情况，若报名成功、保证金缴纳之后，如保证金状态仍显示“未缴纳”，请及时与我单位联系。</w:t>
      </w:r>
      <w:r>
        <w:rPr>
          <w:rFonts w:hint="eastAsia" w:ascii="宋体" w:hAnsi="宋体"/>
          <w:color w:val="auto"/>
          <w:sz w:val="24"/>
          <w:szCs w:val="24"/>
        </w:rPr>
        <w:br w:type="textWrapping"/>
      </w:r>
      <w:r>
        <w:rPr>
          <w:rFonts w:hint="eastAsia" w:ascii="宋体" w:hAnsi="宋体"/>
          <w:color w:val="auto"/>
          <w:sz w:val="24"/>
          <w:szCs w:val="24"/>
        </w:rPr>
        <w:t>3. 注意响应文件的密封、装订及签署、盖章，如项目分包，响应文件务必分包、分别编制。</w:t>
      </w:r>
      <w:r>
        <w:rPr>
          <w:rFonts w:hint="eastAsia" w:ascii="宋体" w:hAnsi="宋体"/>
          <w:color w:val="auto"/>
          <w:sz w:val="24"/>
          <w:szCs w:val="24"/>
        </w:rPr>
        <w:br w:type="textWrapping"/>
      </w:r>
      <w:r>
        <w:rPr>
          <w:rFonts w:hint="eastAsia" w:ascii="宋体" w:hAnsi="宋体"/>
          <w:color w:val="auto"/>
          <w:sz w:val="24"/>
          <w:szCs w:val="24"/>
        </w:rPr>
        <w:t>4. 注意《开标一览表》应单独密封、单独递交一份，用于唱标之用。</w:t>
      </w:r>
      <w:r>
        <w:rPr>
          <w:rFonts w:hint="eastAsia" w:ascii="宋体" w:hAnsi="宋体"/>
          <w:color w:val="auto"/>
          <w:sz w:val="24"/>
          <w:szCs w:val="24"/>
        </w:rPr>
        <w:br w:type="textWrapping"/>
      </w:r>
      <w:r>
        <w:rPr>
          <w:rFonts w:hint="eastAsia" w:ascii="宋体" w:hAnsi="宋体"/>
          <w:color w:val="auto"/>
          <w:sz w:val="24"/>
          <w:szCs w:val="24"/>
        </w:rPr>
        <w:t>5. 注意招标文件中相关证明材料的完整性及有效期限。</w:t>
      </w:r>
      <w:r>
        <w:rPr>
          <w:rFonts w:hint="eastAsia" w:ascii="宋体" w:hAnsi="宋体"/>
          <w:color w:val="auto"/>
          <w:sz w:val="24"/>
          <w:szCs w:val="24"/>
        </w:rPr>
        <w:br w:type="textWrapping"/>
      </w:r>
    </w:p>
    <w:p>
      <w:pPr>
        <w:spacing w:line="360" w:lineRule="auto"/>
        <w:ind w:firstLine="480" w:firstLineChars="200"/>
        <w:rPr>
          <w:rFonts w:ascii="宋体" w:hAnsi="宋体"/>
          <w:color w:val="auto"/>
          <w:sz w:val="24"/>
          <w:szCs w:val="24"/>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请各供应商严格遵守《中华人民共和国政府采购法》及其条例，如出现违法、违规行为，将承担响应法律责任。</w:t>
      </w:r>
    </w:p>
    <w:p>
      <w:pPr>
        <w:ind w:firstLine="480" w:firstLineChars="200"/>
        <w:rPr>
          <w:color w:val="auto"/>
          <w:sz w:val="24"/>
          <w:szCs w:val="24"/>
        </w:rPr>
      </w:pPr>
    </w:p>
    <w:sectPr>
      <w:headerReference r:id="rId3" w:type="default"/>
      <w:footerReference r:id="rId4" w:type="default"/>
      <w:pgSz w:w="11906" w:h="16838"/>
      <w:pgMar w:top="737" w:right="859" w:bottom="568" w:left="1247"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Cambria">
    <w:panose1 w:val="02040503050406030204"/>
    <w:charset w:val="00"/>
    <w:family w:val="modern"/>
    <w:pitch w:val="default"/>
    <w:sig w:usb0="E00006FF" w:usb1="420024FF" w:usb2="02000000" w:usb3="00000000" w:csb0="2000019F" w:csb1="00000000"/>
  </w:font>
  <w:font w:name="方正楷体简体">
    <w:altName w:val="黑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serif">
    <w:altName w:val="Courier New"/>
    <w:panose1 w:val="00000000000000000000"/>
    <w:charset w:val="00"/>
    <w:family w:val="auto"/>
    <w:pitch w:val="default"/>
    <w:sig w:usb0="00000000" w:usb1="00000000" w:usb2="00000000" w:usb3="00000000" w:csb0="00000000" w:csb1="00000000"/>
  </w:font>
  <w:font w:name=".......">
    <w:altName w:val="宋体"/>
    <w:panose1 w:val="00000000000000000000"/>
    <w:charset w:val="86"/>
    <w:family w:val="decorative"/>
    <w:pitch w:val="default"/>
    <w:sig w:usb0="00000000" w:usb1="00000000" w:usb2="00000010" w:usb3="00000000" w:csb0="00040000" w:csb1="00000000"/>
  </w:font>
  <w:font w:name="MS Mincho">
    <w:altName w:val="Yu Gothic UI"/>
    <w:panose1 w:val="02020609040205080304"/>
    <w:charset w:val="80"/>
    <w:family w:val="decorative"/>
    <w:pitch w:val="default"/>
    <w:sig w:usb0="00000000" w:usb1="00000000" w:usb2="00000012" w:usb3="00000000" w:csb0="4002009F" w:csb1="DFD70000"/>
  </w:font>
  <w:font w:name="楷体_GB2312">
    <w:altName w:val="楷体"/>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1jjZ2rgBAABeAwAADgAAAAAAAAABACAAAAAeAQAAZHJzL2Uyb0RvYy54bWxQSwUGAAAAAAYABgBZ&#10;AQAASAUAAAAA&#10;">
              <v:fill on="f" focussize="0,0"/>
              <v:stroke on="f" joinstyle="miter"/>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v:textbox>
            </v:shape>
          </w:pict>
        </mc:Fallback>
      </mc:AlternateContent>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9673B4"/>
    <w:multiLevelType w:val="singleLevel"/>
    <w:tmpl w:val="B59673B4"/>
    <w:lvl w:ilvl="0" w:tentative="0">
      <w:start w:val="6"/>
      <w:numFmt w:val="chineseCounting"/>
      <w:lvlText w:val="%1."/>
      <w:lvlJc w:val="left"/>
      <w:pPr>
        <w:tabs>
          <w:tab w:val="left" w:pos="312"/>
        </w:tabs>
      </w:pPr>
      <w:rPr>
        <w:rFonts w:hint="eastAsia"/>
      </w:rPr>
    </w:lvl>
  </w:abstractNum>
  <w:abstractNum w:abstractNumId="1">
    <w:nsid w:val="00000003"/>
    <w:multiLevelType w:val="multilevel"/>
    <w:tmpl w:val="00000003"/>
    <w:lvl w:ilvl="0" w:tentative="0">
      <w:start w:val="2"/>
      <w:numFmt w:val="japaneseCounting"/>
      <w:lvlText w:val="第%1节"/>
      <w:lvlJc w:val="left"/>
      <w:pPr>
        <w:tabs>
          <w:tab w:val="left" w:pos="1674"/>
        </w:tabs>
        <w:ind w:left="1674" w:hanging="1125"/>
      </w:pPr>
      <w:rPr>
        <w:rFonts w:hint="default"/>
      </w:rPr>
    </w:lvl>
    <w:lvl w:ilvl="1" w:tentative="0">
      <w:start w:val="1"/>
      <w:numFmt w:val="japaneseCounting"/>
      <w:lvlText w:val="第%2章"/>
      <w:lvlJc w:val="left"/>
      <w:pPr>
        <w:tabs>
          <w:tab w:val="left" w:pos="3495"/>
        </w:tabs>
        <w:ind w:left="3495" w:hanging="1515"/>
      </w:pPr>
      <w:rPr>
        <w:rFonts w:hint="default"/>
      </w:rPr>
    </w:lvl>
    <w:lvl w:ilvl="2" w:tentative="0">
      <w:start w:val="1"/>
      <w:numFmt w:val="lowerRoman"/>
      <w:lvlText w:val="%3."/>
      <w:lvlJc w:val="right"/>
      <w:pPr>
        <w:tabs>
          <w:tab w:val="left" w:pos="1809"/>
        </w:tabs>
        <w:ind w:left="1809" w:hanging="420"/>
      </w:pPr>
    </w:lvl>
    <w:lvl w:ilvl="3" w:tentative="0">
      <w:start w:val="1"/>
      <w:numFmt w:val="decimal"/>
      <w:lvlText w:val="%4."/>
      <w:lvlJc w:val="left"/>
      <w:pPr>
        <w:tabs>
          <w:tab w:val="left" w:pos="2229"/>
        </w:tabs>
        <w:ind w:left="2229" w:hanging="420"/>
      </w:pPr>
    </w:lvl>
    <w:lvl w:ilvl="4" w:tentative="0">
      <w:start w:val="1"/>
      <w:numFmt w:val="lowerLetter"/>
      <w:pStyle w:val="7"/>
      <w:lvlText w:val="%5)"/>
      <w:lvlJc w:val="left"/>
      <w:pPr>
        <w:tabs>
          <w:tab w:val="left" w:pos="2649"/>
        </w:tabs>
        <w:ind w:left="2649" w:hanging="420"/>
      </w:pPr>
    </w:lvl>
    <w:lvl w:ilvl="5" w:tentative="0">
      <w:start w:val="1"/>
      <w:numFmt w:val="lowerRoman"/>
      <w:pStyle w:val="8"/>
      <w:lvlText w:val="%6."/>
      <w:lvlJc w:val="right"/>
      <w:pPr>
        <w:tabs>
          <w:tab w:val="left" w:pos="3069"/>
        </w:tabs>
        <w:ind w:left="3069" w:hanging="420"/>
      </w:pPr>
    </w:lvl>
    <w:lvl w:ilvl="6" w:tentative="0">
      <w:start w:val="1"/>
      <w:numFmt w:val="decimal"/>
      <w:pStyle w:val="9"/>
      <w:lvlText w:val="%7."/>
      <w:lvlJc w:val="left"/>
      <w:pPr>
        <w:tabs>
          <w:tab w:val="left" w:pos="3489"/>
        </w:tabs>
        <w:ind w:left="3489" w:hanging="420"/>
      </w:pPr>
    </w:lvl>
    <w:lvl w:ilvl="7" w:tentative="0">
      <w:start w:val="1"/>
      <w:numFmt w:val="lowerLetter"/>
      <w:pStyle w:val="10"/>
      <w:lvlText w:val="%8)"/>
      <w:lvlJc w:val="left"/>
      <w:pPr>
        <w:tabs>
          <w:tab w:val="left" w:pos="3909"/>
        </w:tabs>
        <w:ind w:left="3909" w:hanging="420"/>
      </w:pPr>
    </w:lvl>
    <w:lvl w:ilvl="8" w:tentative="0">
      <w:start w:val="1"/>
      <w:numFmt w:val="lowerRoman"/>
      <w:pStyle w:val="11"/>
      <w:lvlText w:val="%9."/>
      <w:lvlJc w:val="right"/>
      <w:pPr>
        <w:tabs>
          <w:tab w:val="left" w:pos="4329"/>
        </w:tabs>
        <w:ind w:left="4329" w:hanging="420"/>
      </w:pPr>
    </w:lvl>
  </w:abstractNum>
  <w:abstractNum w:abstractNumId="2">
    <w:nsid w:val="024B386A"/>
    <w:multiLevelType w:val="singleLevel"/>
    <w:tmpl w:val="024B386A"/>
    <w:lvl w:ilvl="0" w:tentative="0">
      <w:start w:val="2"/>
      <w:numFmt w:val="chineseCounting"/>
      <w:lvlText w:val="%1."/>
      <w:lvlJc w:val="left"/>
      <w:pPr>
        <w:tabs>
          <w:tab w:val="left" w:pos="312"/>
        </w:tabs>
      </w:pPr>
      <w:rPr>
        <w:rFonts w:hint="eastAsia"/>
      </w:rPr>
    </w:lvl>
  </w:abstractNum>
  <w:abstractNum w:abstractNumId="3">
    <w:nsid w:val="4BB00165"/>
    <w:multiLevelType w:val="singleLevel"/>
    <w:tmpl w:val="4BB00165"/>
    <w:lvl w:ilvl="0" w:tentative="0">
      <w:start w:val="1"/>
      <w:numFmt w:val="decimal"/>
      <w:lvlText w:val="%1."/>
      <w:lvlJc w:val="left"/>
      <w:pPr>
        <w:tabs>
          <w:tab w:val="left" w:pos="312"/>
        </w:tabs>
      </w:pPr>
    </w:lvl>
  </w:abstractNum>
  <w:abstractNum w:abstractNumId="4">
    <w:nsid w:val="68D50AB6"/>
    <w:multiLevelType w:val="singleLevel"/>
    <w:tmpl w:val="68D50AB6"/>
    <w:lvl w:ilvl="0" w:tentative="0">
      <w:start w:val="2"/>
      <w:numFmt w:val="decimal"/>
      <w:lvlText w:val="%1."/>
      <w:lvlJc w:val="left"/>
      <w:pPr>
        <w:tabs>
          <w:tab w:val="left" w:pos="312"/>
        </w:tabs>
      </w:pPr>
    </w:lvl>
  </w:abstractNum>
  <w:abstractNum w:abstractNumId="5">
    <w:nsid w:val="7980351E"/>
    <w:multiLevelType w:val="singleLevel"/>
    <w:tmpl w:val="7980351E"/>
    <w:lvl w:ilvl="0" w:tentative="0">
      <w:start w:val="1"/>
      <w:numFmt w:val="decimal"/>
      <w:lvlText w:val="%1."/>
      <w:lvlJc w:val="left"/>
      <w:pPr>
        <w:tabs>
          <w:tab w:val="left" w:pos="312"/>
        </w:tabs>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hideSpellingErrors/>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01"/>
    <w:rsid w:val="000019B5"/>
    <w:rsid w:val="00001E33"/>
    <w:rsid w:val="000037F2"/>
    <w:rsid w:val="00005FCE"/>
    <w:rsid w:val="000064F9"/>
    <w:rsid w:val="000073FF"/>
    <w:rsid w:val="000118CA"/>
    <w:rsid w:val="000124B7"/>
    <w:rsid w:val="00012B1A"/>
    <w:rsid w:val="00013700"/>
    <w:rsid w:val="00013EE9"/>
    <w:rsid w:val="00014551"/>
    <w:rsid w:val="000145E6"/>
    <w:rsid w:val="00015A02"/>
    <w:rsid w:val="00015B44"/>
    <w:rsid w:val="0002047A"/>
    <w:rsid w:val="00021C1D"/>
    <w:rsid w:val="00022CDF"/>
    <w:rsid w:val="00024348"/>
    <w:rsid w:val="00024DB1"/>
    <w:rsid w:val="00024ED8"/>
    <w:rsid w:val="000275BE"/>
    <w:rsid w:val="00030745"/>
    <w:rsid w:val="000314D8"/>
    <w:rsid w:val="0003153C"/>
    <w:rsid w:val="00031B28"/>
    <w:rsid w:val="00032217"/>
    <w:rsid w:val="00032340"/>
    <w:rsid w:val="00032A72"/>
    <w:rsid w:val="00032C24"/>
    <w:rsid w:val="00035706"/>
    <w:rsid w:val="00035A5E"/>
    <w:rsid w:val="00035AB0"/>
    <w:rsid w:val="00037F22"/>
    <w:rsid w:val="00040454"/>
    <w:rsid w:val="0004101F"/>
    <w:rsid w:val="0004149A"/>
    <w:rsid w:val="00042767"/>
    <w:rsid w:val="00043181"/>
    <w:rsid w:val="00044995"/>
    <w:rsid w:val="00044B0F"/>
    <w:rsid w:val="00045EED"/>
    <w:rsid w:val="00050CF2"/>
    <w:rsid w:val="000521B0"/>
    <w:rsid w:val="0005338C"/>
    <w:rsid w:val="00053EEA"/>
    <w:rsid w:val="000545A4"/>
    <w:rsid w:val="0005504F"/>
    <w:rsid w:val="000554EC"/>
    <w:rsid w:val="000558A5"/>
    <w:rsid w:val="00060357"/>
    <w:rsid w:val="00060549"/>
    <w:rsid w:val="000629DD"/>
    <w:rsid w:val="00063168"/>
    <w:rsid w:val="0006359A"/>
    <w:rsid w:val="0006450E"/>
    <w:rsid w:val="00066424"/>
    <w:rsid w:val="0006757D"/>
    <w:rsid w:val="0007009D"/>
    <w:rsid w:val="00071A78"/>
    <w:rsid w:val="000750A4"/>
    <w:rsid w:val="00076D91"/>
    <w:rsid w:val="00076FC5"/>
    <w:rsid w:val="00077EEC"/>
    <w:rsid w:val="000811D4"/>
    <w:rsid w:val="00082D2C"/>
    <w:rsid w:val="00083CDD"/>
    <w:rsid w:val="000849FA"/>
    <w:rsid w:val="00086144"/>
    <w:rsid w:val="00086FD7"/>
    <w:rsid w:val="00087037"/>
    <w:rsid w:val="00087150"/>
    <w:rsid w:val="000872B3"/>
    <w:rsid w:val="000876AB"/>
    <w:rsid w:val="0008773A"/>
    <w:rsid w:val="000900FC"/>
    <w:rsid w:val="00090186"/>
    <w:rsid w:val="00090F39"/>
    <w:rsid w:val="000912B9"/>
    <w:rsid w:val="00091899"/>
    <w:rsid w:val="00091D78"/>
    <w:rsid w:val="0009262E"/>
    <w:rsid w:val="000944D7"/>
    <w:rsid w:val="00096C31"/>
    <w:rsid w:val="000971DF"/>
    <w:rsid w:val="0009744B"/>
    <w:rsid w:val="000978CF"/>
    <w:rsid w:val="000A0964"/>
    <w:rsid w:val="000A0F1D"/>
    <w:rsid w:val="000A132A"/>
    <w:rsid w:val="000A1428"/>
    <w:rsid w:val="000A3313"/>
    <w:rsid w:val="000A5AB3"/>
    <w:rsid w:val="000A5D9D"/>
    <w:rsid w:val="000A5E27"/>
    <w:rsid w:val="000A6071"/>
    <w:rsid w:val="000A70E7"/>
    <w:rsid w:val="000B12C3"/>
    <w:rsid w:val="000B13C3"/>
    <w:rsid w:val="000B18EE"/>
    <w:rsid w:val="000B1DD4"/>
    <w:rsid w:val="000B2D92"/>
    <w:rsid w:val="000B4A48"/>
    <w:rsid w:val="000B4FD6"/>
    <w:rsid w:val="000B5551"/>
    <w:rsid w:val="000B57D8"/>
    <w:rsid w:val="000B7161"/>
    <w:rsid w:val="000C1341"/>
    <w:rsid w:val="000C19EE"/>
    <w:rsid w:val="000C3A16"/>
    <w:rsid w:val="000C3E86"/>
    <w:rsid w:val="000C5C82"/>
    <w:rsid w:val="000C612E"/>
    <w:rsid w:val="000C6D84"/>
    <w:rsid w:val="000D02AA"/>
    <w:rsid w:val="000D0A17"/>
    <w:rsid w:val="000D17C6"/>
    <w:rsid w:val="000D515C"/>
    <w:rsid w:val="000D5C01"/>
    <w:rsid w:val="000D7A79"/>
    <w:rsid w:val="000E11A0"/>
    <w:rsid w:val="000E15BD"/>
    <w:rsid w:val="000E550B"/>
    <w:rsid w:val="000E6319"/>
    <w:rsid w:val="000F082D"/>
    <w:rsid w:val="000F2095"/>
    <w:rsid w:val="000F333E"/>
    <w:rsid w:val="000F422E"/>
    <w:rsid w:val="000F6D0F"/>
    <w:rsid w:val="001016F2"/>
    <w:rsid w:val="001034FE"/>
    <w:rsid w:val="00103E0C"/>
    <w:rsid w:val="00104530"/>
    <w:rsid w:val="00104FC7"/>
    <w:rsid w:val="001058CE"/>
    <w:rsid w:val="001066A5"/>
    <w:rsid w:val="00107117"/>
    <w:rsid w:val="0010792E"/>
    <w:rsid w:val="001117FE"/>
    <w:rsid w:val="00111FA5"/>
    <w:rsid w:val="00112216"/>
    <w:rsid w:val="00117038"/>
    <w:rsid w:val="00117F1A"/>
    <w:rsid w:val="001206D2"/>
    <w:rsid w:val="00120A63"/>
    <w:rsid w:val="001246B6"/>
    <w:rsid w:val="001247E2"/>
    <w:rsid w:val="00126BAB"/>
    <w:rsid w:val="00126F44"/>
    <w:rsid w:val="00127E2F"/>
    <w:rsid w:val="00130354"/>
    <w:rsid w:val="00131466"/>
    <w:rsid w:val="001317D3"/>
    <w:rsid w:val="00131C8E"/>
    <w:rsid w:val="00132AC3"/>
    <w:rsid w:val="00134349"/>
    <w:rsid w:val="00134C21"/>
    <w:rsid w:val="00141011"/>
    <w:rsid w:val="00141BDE"/>
    <w:rsid w:val="00141C9F"/>
    <w:rsid w:val="00142373"/>
    <w:rsid w:val="00143F98"/>
    <w:rsid w:val="0014459C"/>
    <w:rsid w:val="0014473E"/>
    <w:rsid w:val="00144890"/>
    <w:rsid w:val="00146DBB"/>
    <w:rsid w:val="00147FB1"/>
    <w:rsid w:val="00154774"/>
    <w:rsid w:val="00155388"/>
    <w:rsid w:val="001556DC"/>
    <w:rsid w:val="00156723"/>
    <w:rsid w:val="00156A89"/>
    <w:rsid w:val="00157C1F"/>
    <w:rsid w:val="00160171"/>
    <w:rsid w:val="001608B8"/>
    <w:rsid w:val="00160C4C"/>
    <w:rsid w:val="00161123"/>
    <w:rsid w:val="001611B8"/>
    <w:rsid w:val="00161331"/>
    <w:rsid w:val="00161CC8"/>
    <w:rsid w:val="00162517"/>
    <w:rsid w:val="00162B44"/>
    <w:rsid w:val="00163066"/>
    <w:rsid w:val="00164422"/>
    <w:rsid w:val="00165EB9"/>
    <w:rsid w:val="00166437"/>
    <w:rsid w:val="001669A9"/>
    <w:rsid w:val="00170333"/>
    <w:rsid w:val="00171AA8"/>
    <w:rsid w:val="00172324"/>
    <w:rsid w:val="0017407D"/>
    <w:rsid w:val="001740A1"/>
    <w:rsid w:val="00176355"/>
    <w:rsid w:val="00177528"/>
    <w:rsid w:val="00180D8E"/>
    <w:rsid w:val="0018304A"/>
    <w:rsid w:val="00183D05"/>
    <w:rsid w:val="00183F40"/>
    <w:rsid w:val="00184959"/>
    <w:rsid w:val="001864F6"/>
    <w:rsid w:val="00186AFA"/>
    <w:rsid w:val="00186F74"/>
    <w:rsid w:val="0019050E"/>
    <w:rsid w:val="00190BA3"/>
    <w:rsid w:val="00194A15"/>
    <w:rsid w:val="001955F0"/>
    <w:rsid w:val="00196723"/>
    <w:rsid w:val="001A0A5F"/>
    <w:rsid w:val="001A0B92"/>
    <w:rsid w:val="001A109A"/>
    <w:rsid w:val="001A22C1"/>
    <w:rsid w:val="001A2C58"/>
    <w:rsid w:val="001A3186"/>
    <w:rsid w:val="001A3257"/>
    <w:rsid w:val="001A45B1"/>
    <w:rsid w:val="001A4ADD"/>
    <w:rsid w:val="001A5910"/>
    <w:rsid w:val="001A6850"/>
    <w:rsid w:val="001A69EF"/>
    <w:rsid w:val="001B0AF0"/>
    <w:rsid w:val="001B2547"/>
    <w:rsid w:val="001B631D"/>
    <w:rsid w:val="001B6ADC"/>
    <w:rsid w:val="001C3B66"/>
    <w:rsid w:val="001C43C5"/>
    <w:rsid w:val="001C4C6E"/>
    <w:rsid w:val="001C620B"/>
    <w:rsid w:val="001C66C5"/>
    <w:rsid w:val="001C7085"/>
    <w:rsid w:val="001C780A"/>
    <w:rsid w:val="001C7988"/>
    <w:rsid w:val="001D1224"/>
    <w:rsid w:val="001D128E"/>
    <w:rsid w:val="001D2C5F"/>
    <w:rsid w:val="001D44B5"/>
    <w:rsid w:val="001D470F"/>
    <w:rsid w:val="001D5189"/>
    <w:rsid w:val="001D6E88"/>
    <w:rsid w:val="001D7C35"/>
    <w:rsid w:val="001E0168"/>
    <w:rsid w:val="001E146C"/>
    <w:rsid w:val="001E2F8C"/>
    <w:rsid w:val="001E31F1"/>
    <w:rsid w:val="001E3E6E"/>
    <w:rsid w:val="001E5E32"/>
    <w:rsid w:val="001E6B2B"/>
    <w:rsid w:val="001E6CD4"/>
    <w:rsid w:val="001F0A48"/>
    <w:rsid w:val="001F3324"/>
    <w:rsid w:val="001F3678"/>
    <w:rsid w:val="001F38E6"/>
    <w:rsid w:val="001F3A9C"/>
    <w:rsid w:val="001F3CF4"/>
    <w:rsid w:val="001F4180"/>
    <w:rsid w:val="001F46E4"/>
    <w:rsid w:val="001F50D5"/>
    <w:rsid w:val="001F679A"/>
    <w:rsid w:val="00200C69"/>
    <w:rsid w:val="002024F8"/>
    <w:rsid w:val="00203A97"/>
    <w:rsid w:val="00203C57"/>
    <w:rsid w:val="00204D35"/>
    <w:rsid w:val="00205A07"/>
    <w:rsid w:val="0020642F"/>
    <w:rsid w:val="002109C1"/>
    <w:rsid w:val="002134E7"/>
    <w:rsid w:val="00213704"/>
    <w:rsid w:val="002138E0"/>
    <w:rsid w:val="002141C4"/>
    <w:rsid w:val="0021704B"/>
    <w:rsid w:val="00217885"/>
    <w:rsid w:val="00217F36"/>
    <w:rsid w:val="00220C2D"/>
    <w:rsid w:val="002216D2"/>
    <w:rsid w:val="00226917"/>
    <w:rsid w:val="00230673"/>
    <w:rsid w:val="002309C7"/>
    <w:rsid w:val="002349C2"/>
    <w:rsid w:val="002359DD"/>
    <w:rsid w:val="00236BF6"/>
    <w:rsid w:val="00236FE0"/>
    <w:rsid w:val="00244B47"/>
    <w:rsid w:val="00246923"/>
    <w:rsid w:val="00247981"/>
    <w:rsid w:val="00247D3C"/>
    <w:rsid w:val="002520A9"/>
    <w:rsid w:val="002523A4"/>
    <w:rsid w:val="00252A85"/>
    <w:rsid w:val="00252E75"/>
    <w:rsid w:val="002531F7"/>
    <w:rsid w:val="00255689"/>
    <w:rsid w:val="002618B9"/>
    <w:rsid w:val="00262286"/>
    <w:rsid w:val="00263625"/>
    <w:rsid w:val="002641F1"/>
    <w:rsid w:val="00264652"/>
    <w:rsid w:val="00266743"/>
    <w:rsid w:val="00267255"/>
    <w:rsid w:val="00267398"/>
    <w:rsid w:val="002677C5"/>
    <w:rsid w:val="0026789F"/>
    <w:rsid w:val="002706A8"/>
    <w:rsid w:val="00274A75"/>
    <w:rsid w:val="002758D1"/>
    <w:rsid w:val="00275B60"/>
    <w:rsid w:val="00276325"/>
    <w:rsid w:val="00276D08"/>
    <w:rsid w:val="00277A59"/>
    <w:rsid w:val="00280DF6"/>
    <w:rsid w:val="002813D5"/>
    <w:rsid w:val="00283220"/>
    <w:rsid w:val="002833E4"/>
    <w:rsid w:val="002847EC"/>
    <w:rsid w:val="00285F7D"/>
    <w:rsid w:val="00286176"/>
    <w:rsid w:val="002900C6"/>
    <w:rsid w:val="00290210"/>
    <w:rsid w:val="00290AF1"/>
    <w:rsid w:val="00290EA5"/>
    <w:rsid w:val="002918C1"/>
    <w:rsid w:val="00291B09"/>
    <w:rsid w:val="0029262E"/>
    <w:rsid w:val="00292903"/>
    <w:rsid w:val="00293351"/>
    <w:rsid w:val="00294C80"/>
    <w:rsid w:val="002954F1"/>
    <w:rsid w:val="002964EF"/>
    <w:rsid w:val="00297645"/>
    <w:rsid w:val="002A033D"/>
    <w:rsid w:val="002A1A17"/>
    <w:rsid w:val="002A1E57"/>
    <w:rsid w:val="002A2AE6"/>
    <w:rsid w:val="002A3538"/>
    <w:rsid w:val="002A3C54"/>
    <w:rsid w:val="002A5FA3"/>
    <w:rsid w:val="002B07D2"/>
    <w:rsid w:val="002B086D"/>
    <w:rsid w:val="002B46C2"/>
    <w:rsid w:val="002B5D5C"/>
    <w:rsid w:val="002B6555"/>
    <w:rsid w:val="002B6ACB"/>
    <w:rsid w:val="002C0752"/>
    <w:rsid w:val="002C1118"/>
    <w:rsid w:val="002C179F"/>
    <w:rsid w:val="002C1AB6"/>
    <w:rsid w:val="002C2205"/>
    <w:rsid w:val="002C2541"/>
    <w:rsid w:val="002C435A"/>
    <w:rsid w:val="002C5CB7"/>
    <w:rsid w:val="002C5EBE"/>
    <w:rsid w:val="002C7284"/>
    <w:rsid w:val="002C72B3"/>
    <w:rsid w:val="002D0554"/>
    <w:rsid w:val="002D274A"/>
    <w:rsid w:val="002D2ABF"/>
    <w:rsid w:val="002D3A79"/>
    <w:rsid w:val="002D3B81"/>
    <w:rsid w:val="002D4130"/>
    <w:rsid w:val="002D5A33"/>
    <w:rsid w:val="002D5B54"/>
    <w:rsid w:val="002D6C15"/>
    <w:rsid w:val="002E38DF"/>
    <w:rsid w:val="002E3D50"/>
    <w:rsid w:val="002E3E11"/>
    <w:rsid w:val="002E5B7A"/>
    <w:rsid w:val="002E5EAB"/>
    <w:rsid w:val="002E5EDD"/>
    <w:rsid w:val="002E6E32"/>
    <w:rsid w:val="002E7061"/>
    <w:rsid w:val="002E7AC9"/>
    <w:rsid w:val="002F14A2"/>
    <w:rsid w:val="002F4D72"/>
    <w:rsid w:val="002F4ECE"/>
    <w:rsid w:val="002F5648"/>
    <w:rsid w:val="002F67CA"/>
    <w:rsid w:val="002F692A"/>
    <w:rsid w:val="002F6982"/>
    <w:rsid w:val="002F6F9E"/>
    <w:rsid w:val="002F7057"/>
    <w:rsid w:val="002F7ADE"/>
    <w:rsid w:val="002F7E87"/>
    <w:rsid w:val="003028A1"/>
    <w:rsid w:val="003036D1"/>
    <w:rsid w:val="00305086"/>
    <w:rsid w:val="0030511C"/>
    <w:rsid w:val="00305EF3"/>
    <w:rsid w:val="00307C6D"/>
    <w:rsid w:val="00310C5D"/>
    <w:rsid w:val="0031146F"/>
    <w:rsid w:val="00311AE7"/>
    <w:rsid w:val="00314A18"/>
    <w:rsid w:val="00316020"/>
    <w:rsid w:val="003166E1"/>
    <w:rsid w:val="003175DD"/>
    <w:rsid w:val="00317A60"/>
    <w:rsid w:val="00322C67"/>
    <w:rsid w:val="0032346F"/>
    <w:rsid w:val="00323558"/>
    <w:rsid w:val="00323C62"/>
    <w:rsid w:val="00323C96"/>
    <w:rsid w:val="003252DF"/>
    <w:rsid w:val="00325CB0"/>
    <w:rsid w:val="00330FBC"/>
    <w:rsid w:val="00331EF4"/>
    <w:rsid w:val="00333B25"/>
    <w:rsid w:val="0033413C"/>
    <w:rsid w:val="00336A04"/>
    <w:rsid w:val="0034009B"/>
    <w:rsid w:val="00340152"/>
    <w:rsid w:val="00342063"/>
    <w:rsid w:val="00343DE1"/>
    <w:rsid w:val="00343EA9"/>
    <w:rsid w:val="003453A3"/>
    <w:rsid w:val="003456D5"/>
    <w:rsid w:val="00346797"/>
    <w:rsid w:val="00350415"/>
    <w:rsid w:val="00351A42"/>
    <w:rsid w:val="00354113"/>
    <w:rsid w:val="00354D79"/>
    <w:rsid w:val="00355D59"/>
    <w:rsid w:val="003562A9"/>
    <w:rsid w:val="0035724C"/>
    <w:rsid w:val="003574C5"/>
    <w:rsid w:val="003579F6"/>
    <w:rsid w:val="00357BB1"/>
    <w:rsid w:val="003601BC"/>
    <w:rsid w:val="003605DA"/>
    <w:rsid w:val="00360873"/>
    <w:rsid w:val="00361AFB"/>
    <w:rsid w:val="00361E13"/>
    <w:rsid w:val="003620B6"/>
    <w:rsid w:val="00363A25"/>
    <w:rsid w:val="00363FBE"/>
    <w:rsid w:val="0036589D"/>
    <w:rsid w:val="00366FF7"/>
    <w:rsid w:val="00367583"/>
    <w:rsid w:val="00372CDD"/>
    <w:rsid w:val="003731A1"/>
    <w:rsid w:val="00374800"/>
    <w:rsid w:val="0037604A"/>
    <w:rsid w:val="00377304"/>
    <w:rsid w:val="0037796F"/>
    <w:rsid w:val="00380C3A"/>
    <w:rsid w:val="00381798"/>
    <w:rsid w:val="003850C1"/>
    <w:rsid w:val="0038661D"/>
    <w:rsid w:val="00386C41"/>
    <w:rsid w:val="00386F2E"/>
    <w:rsid w:val="00387C9F"/>
    <w:rsid w:val="00387FA9"/>
    <w:rsid w:val="00391691"/>
    <w:rsid w:val="003916E8"/>
    <w:rsid w:val="00393525"/>
    <w:rsid w:val="003936EB"/>
    <w:rsid w:val="00394709"/>
    <w:rsid w:val="0039586D"/>
    <w:rsid w:val="003962BB"/>
    <w:rsid w:val="00396A34"/>
    <w:rsid w:val="0039754F"/>
    <w:rsid w:val="003978E6"/>
    <w:rsid w:val="003A0038"/>
    <w:rsid w:val="003A0546"/>
    <w:rsid w:val="003A059F"/>
    <w:rsid w:val="003A1A29"/>
    <w:rsid w:val="003A231E"/>
    <w:rsid w:val="003A585F"/>
    <w:rsid w:val="003A60CE"/>
    <w:rsid w:val="003A7970"/>
    <w:rsid w:val="003A7FDC"/>
    <w:rsid w:val="003B10BB"/>
    <w:rsid w:val="003B5C3F"/>
    <w:rsid w:val="003C3793"/>
    <w:rsid w:val="003C3AA0"/>
    <w:rsid w:val="003C4C9F"/>
    <w:rsid w:val="003C57A9"/>
    <w:rsid w:val="003C62D0"/>
    <w:rsid w:val="003C719D"/>
    <w:rsid w:val="003C76CA"/>
    <w:rsid w:val="003C7FD5"/>
    <w:rsid w:val="003D0441"/>
    <w:rsid w:val="003D175D"/>
    <w:rsid w:val="003D1807"/>
    <w:rsid w:val="003D198A"/>
    <w:rsid w:val="003D2E54"/>
    <w:rsid w:val="003D305F"/>
    <w:rsid w:val="003D3113"/>
    <w:rsid w:val="003D3190"/>
    <w:rsid w:val="003D5B83"/>
    <w:rsid w:val="003D5DD9"/>
    <w:rsid w:val="003D7194"/>
    <w:rsid w:val="003D73A0"/>
    <w:rsid w:val="003D7A71"/>
    <w:rsid w:val="003E15C6"/>
    <w:rsid w:val="003E17C8"/>
    <w:rsid w:val="003E1EF4"/>
    <w:rsid w:val="003E303A"/>
    <w:rsid w:val="003E309A"/>
    <w:rsid w:val="003E3399"/>
    <w:rsid w:val="003E4611"/>
    <w:rsid w:val="003E4CA7"/>
    <w:rsid w:val="003E53CD"/>
    <w:rsid w:val="003E5AA2"/>
    <w:rsid w:val="003E61FE"/>
    <w:rsid w:val="003E64D8"/>
    <w:rsid w:val="003E6776"/>
    <w:rsid w:val="003E6B63"/>
    <w:rsid w:val="003E6B9C"/>
    <w:rsid w:val="003E7A65"/>
    <w:rsid w:val="003F14D6"/>
    <w:rsid w:val="003F1BED"/>
    <w:rsid w:val="003F1EF2"/>
    <w:rsid w:val="003F43DD"/>
    <w:rsid w:val="003F50D4"/>
    <w:rsid w:val="003F6293"/>
    <w:rsid w:val="0040058C"/>
    <w:rsid w:val="004010B1"/>
    <w:rsid w:val="0040126E"/>
    <w:rsid w:val="004023C0"/>
    <w:rsid w:val="004031B3"/>
    <w:rsid w:val="00404152"/>
    <w:rsid w:val="004057BE"/>
    <w:rsid w:val="0040583E"/>
    <w:rsid w:val="00406E46"/>
    <w:rsid w:val="0040743F"/>
    <w:rsid w:val="00410D25"/>
    <w:rsid w:val="004115E2"/>
    <w:rsid w:val="004117C1"/>
    <w:rsid w:val="00411877"/>
    <w:rsid w:val="004127CA"/>
    <w:rsid w:val="0041401F"/>
    <w:rsid w:val="00414241"/>
    <w:rsid w:val="00414662"/>
    <w:rsid w:val="00414951"/>
    <w:rsid w:val="00417D84"/>
    <w:rsid w:val="00420B58"/>
    <w:rsid w:val="004223BB"/>
    <w:rsid w:val="004230C7"/>
    <w:rsid w:val="00424EEE"/>
    <w:rsid w:val="00425C9D"/>
    <w:rsid w:val="00425DB7"/>
    <w:rsid w:val="004261E5"/>
    <w:rsid w:val="00426A2D"/>
    <w:rsid w:val="00430265"/>
    <w:rsid w:val="00431475"/>
    <w:rsid w:val="00431F27"/>
    <w:rsid w:val="00432AB7"/>
    <w:rsid w:val="00432F40"/>
    <w:rsid w:val="00433011"/>
    <w:rsid w:val="0043358B"/>
    <w:rsid w:val="00433F24"/>
    <w:rsid w:val="004352F5"/>
    <w:rsid w:val="00435D31"/>
    <w:rsid w:val="00435D5B"/>
    <w:rsid w:val="004374BE"/>
    <w:rsid w:val="00437EBB"/>
    <w:rsid w:val="00440E33"/>
    <w:rsid w:val="00441C6D"/>
    <w:rsid w:val="00441CA8"/>
    <w:rsid w:val="004431F8"/>
    <w:rsid w:val="00443247"/>
    <w:rsid w:val="00445BD5"/>
    <w:rsid w:val="00446442"/>
    <w:rsid w:val="00447B3B"/>
    <w:rsid w:val="004506C1"/>
    <w:rsid w:val="00452F0B"/>
    <w:rsid w:val="00456764"/>
    <w:rsid w:val="004575B1"/>
    <w:rsid w:val="00460597"/>
    <w:rsid w:val="00461B30"/>
    <w:rsid w:val="00461F1F"/>
    <w:rsid w:val="0046293D"/>
    <w:rsid w:val="00462F09"/>
    <w:rsid w:val="0046308F"/>
    <w:rsid w:val="0046660B"/>
    <w:rsid w:val="00473067"/>
    <w:rsid w:val="004755C8"/>
    <w:rsid w:val="004771B0"/>
    <w:rsid w:val="00477785"/>
    <w:rsid w:val="00477F94"/>
    <w:rsid w:val="00481182"/>
    <w:rsid w:val="00481B1C"/>
    <w:rsid w:val="004825C2"/>
    <w:rsid w:val="004827A6"/>
    <w:rsid w:val="00482AEC"/>
    <w:rsid w:val="00482DE0"/>
    <w:rsid w:val="00483816"/>
    <w:rsid w:val="004857AE"/>
    <w:rsid w:val="00486BCF"/>
    <w:rsid w:val="0049094E"/>
    <w:rsid w:val="00491598"/>
    <w:rsid w:val="00493B4C"/>
    <w:rsid w:val="00493C31"/>
    <w:rsid w:val="0049481A"/>
    <w:rsid w:val="004A17D2"/>
    <w:rsid w:val="004A1D01"/>
    <w:rsid w:val="004A2179"/>
    <w:rsid w:val="004A32E9"/>
    <w:rsid w:val="004A4FE5"/>
    <w:rsid w:val="004A6F4D"/>
    <w:rsid w:val="004A72C1"/>
    <w:rsid w:val="004A7401"/>
    <w:rsid w:val="004B1CE0"/>
    <w:rsid w:val="004B22B2"/>
    <w:rsid w:val="004B24B8"/>
    <w:rsid w:val="004B565B"/>
    <w:rsid w:val="004B6B8B"/>
    <w:rsid w:val="004B6BB2"/>
    <w:rsid w:val="004B778B"/>
    <w:rsid w:val="004C28F6"/>
    <w:rsid w:val="004C336B"/>
    <w:rsid w:val="004C362D"/>
    <w:rsid w:val="004C3BB3"/>
    <w:rsid w:val="004C4646"/>
    <w:rsid w:val="004C4D09"/>
    <w:rsid w:val="004C4F15"/>
    <w:rsid w:val="004C5491"/>
    <w:rsid w:val="004C6544"/>
    <w:rsid w:val="004C658C"/>
    <w:rsid w:val="004C6E43"/>
    <w:rsid w:val="004C759F"/>
    <w:rsid w:val="004C76F9"/>
    <w:rsid w:val="004D011C"/>
    <w:rsid w:val="004D01A9"/>
    <w:rsid w:val="004D1A36"/>
    <w:rsid w:val="004D2924"/>
    <w:rsid w:val="004D2C93"/>
    <w:rsid w:val="004D3DB3"/>
    <w:rsid w:val="004D4108"/>
    <w:rsid w:val="004D57AF"/>
    <w:rsid w:val="004D5A44"/>
    <w:rsid w:val="004D6359"/>
    <w:rsid w:val="004D6BA9"/>
    <w:rsid w:val="004E0D0E"/>
    <w:rsid w:val="004E19E1"/>
    <w:rsid w:val="004E2969"/>
    <w:rsid w:val="004E3286"/>
    <w:rsid w:val="004E37D1"/>
    <w:rsid w:val="004E3BE0"/>
    <w:rsid w:val="004E76EE"/>
    <w:rsid w:val="004F0876"/>
    <w:rsid w:val="004F1447"/>
    <w:rsid w:val="004F557A"/>
    <w:rsid w:val="004F6C17"/>
    <w:rsid w:val="00500436"/>
    <w:rsid w:val="00500D74"/>
    <w:rsid w:val="0050117C"/>
    <w:rsid w:val="005049B8"/>
    <w:rsid w:val="005055B0"/>
    <w:rsid w:val="00505F13"/>
    <w:rsid w:val="005064F0"/>
    <w:rsid w:val="005072E1"/>
    <w:rsid w:val="005109E3"/>
    <w:rsid w:val="00510CE7"/>
    <w:rsid w:val="00511267"/>
    <w:rsid w:val="00511393"/>
    <w:rsid w:val="00511FC6"/>
    <w:rsid w:val="00512AB4"/>
    <w:rsid w:val="005136B0"/>
    <w:rsid w:val="00517A47"/>
    <w:rsid w:val="00517F41"/>
    <w:rsid w:val="0052071C"/>
    <w:rsid w:val="00520A53"/>
    <w:rsid w:val="005214EC"/>
    <w:rsid w:val="00522ECD"/>
    <w:rsid w:val="0052378F"/>
    <w:rsid w:val="00523827"/>
    <w:rsid w:val="00523A19"/>
    <w:rsid w:val="00523AF4"/>
    <w:rsid w:val="00525B1D"/>
    <w:rsid w:val="0052688C"/>
    <w:rsid w:val="005269E2"/>
    <w:rsid w:val="005275B1"/>
    <w:rsid w:val="00531038"/>
    <w:rsid w:val="005323F9"/>
    <w:rsid w:val="00532CEC"/>
    <w:rsid w:val="00533B6B"/>
    <w:rsid w:val="005351EA"/>
    <w:rsid w:val="0053557A"/>
    <w:rsid w:val="00535BD1"/>
    <w:rsid w:val="00536ACA"/>
    <w:rsid w:val="00536CC2"/>
    <w:rsid w:val="0053771F"/>
    <w:rsid w:val="00540583"/>
    <w:rsid w:val="00541140"/>
    <w:rsid w:val="00542408"/>
    <w:rsid w:val="00542B4D"/>
    <w:rsid w:val="00543E8B"/>
    <w:rsid w:val="005441BD"/>
    <w:rsid w:val="00544F6C"/>
    <w:rsid w:val="00545552"/>
    <w:rsid w:val="005458F4"/>
    <w:rsid w:val="0054733A"/>
    <w:rsid w:val="005473E0"/>
    <w:rsid w:val="0054782C"/>
    <w:rsid w:val="00552AF4"/>
    <w:rsid w:val="00552C27"/>
    <w:rsid w:val="005543A6"/>
    <w:rsid w:val="00556CAB"/>
    <w:rsid w:val="00557212"/>
    <w:rsid w:val="005611C9"/>
    <w:rsid w:val="005655C3"/>
    <w:rsid w:val="0056676F"/>
    <w:rsid w:val="00566FEB"/>
    <w:rsid w:val="00570A65"/>
    <w:rsid w:val="00571223"/>
    <w:rsid w:val="00573272"/>
    <w:rsid w:val="00575115"/>
    <w:rsid w:val="0057590C"/>
    <w:rsid w:val="00575C09"/>
    <w:rsid w:val="005771EF"/>
    <w:rsid w:val="005777E0"/>
    <w:rsid w:val="00577D22"/>
    <w:rsid w:val="00582AEA"/>
    <w:rsid w:val="00584B37"/>
    <w:rsid w:val="00585EC9"/>
    <w:rsid w:val="00586746"/>
    <w:rsid w:val="00587438"/>
    <w:rsid w:val="00587E08"/>
    <w:rsid w:val="00587FA2"/>
    <w:rsid w:val="005937B4"/>
    <w:rsid w:val="00594ECC"/>
    <w:rsid w:val="00595358"/>
    <w:rsid w:val="00595AC9"/>
    <w:rsid w:val="0059662E"/>
    <w:rsid w:val="00596711"/>
    <w:rsid w:val="0059698F"/>
    <w:rsid w:val="00597732"/>
    <w:rsid w:val="005A2315"/>
    <w:rsid w:val="005A30D6"/>
    <w:rsid w:val="005A5BF4"/>
    <w:rsid w:val="005A63BF"/>
    <w:rsid w:val="005A75B9"/>
    <w:rsid w:val="005B1126"/>
    <w:rsid w:val="005B275E"/>
    <w:rsid w:val="005B37A7"/>
    <w:rsid w:val="005B37DC"/>
    <w:rsid w:val="005B51C7"/>
    <w:rsid w:val="005B72CA"/>
    <w:rsid w:val="005C02F2"/>
    <w:rsid w:val="005C0AAB"/>
    <w:rsid w:val="005C1201"/>
    <w:rsid w:val="005C24D1"/>
    <w:rsid w:val="005C46EF"/>
    <w:rsid w:val="005C70A7"/>
    <w:rsid w:val="005C7788"/>
    <w:rsid w:val="005D1575"/>
    <w:rsid w:val="005D18E5"/>
    <w:rsid w:val="005D1D8C"/>
    <w:rsid w:val="005D20F2"/>
    <w:rsid w:val="005D3ABE"/>
    <w:rsid w:val="005D450D"/>
    <w:rsid w:val="005D49D6"/>
    <w:rsid w:val="005D704D"/>
    <w:rsid w:val="005D7B0E"/>
    <w:rsid w:val="005E0C34"/>
    <w:rsid w:val="005E1997"/>
    <w:rsid w:val="005E1B00"/>
    <w:rsid w:val="005E1E22"/>
    <w:rsid w:val="005E28DB"/>
    <w:rsid w:val="005E31CC"/>
    <w:rsid w:val="005E3EC1"/>
    <w:rsid w:val="005E4F1E"/>
    <w:rsid w:val="005E78F1"/>
    <w:rsid w:val="005E7B84"/>
    <w:rsid w:val="005F01D8"/>
    <w:rsid w:val="005F04AE"/>
    <w:rsid w:val="005F0F7B"/>
    <w:rsid w:val="005F160F"/>
    <w:rsid w:val="005F1AFD"/>
    <w:rsid w:val="005F221E"/>
    <w:rsid w:val="005F26AF"/>
    <w:rsid w:val="005F461F"/>
    <w:rsid w:val="005F4751"/>
    <w:rsid w:val="005F5051"/>
    <w:rsid w:val="005F5965"/>
    <w:rsid w:val="005F62DF"/>
    <w:rsid w:val="005F639F"/>
    <w:rsid w:val="005F6C1D"/>
    <w:rsid w:val="005F6C97"/>
    <w:rsid w:val="005F72B5"/>
    <w:rsid w:val="005F78AD"/>
    <w:rsid w:val="006016BC"/>
    <w:rsid w:val="006017C6"/>
    <w:rsid w:val="00601AED"/>
    <w:rsid w:val="006033B9"/>
    <w:rsid w:val="00603405"/>
    <w:rsid w:val="006065B0"/>
    <w:rsid w:val="00612AF3"/>
    <w:rsid w:val="0061413C"/>
    <w:rsid w:val="0061529A"/>
    <w:rsid w:val="00615A8D"/>
    <w:rsid w:val="00616936"/>
    <w:rsid w:val="00616A52"/>
    <w:rsid w:val="00620B2E"/>
    <w:rsid w:val="006215ED"/>
    <w:rsid w:val="00622B32"/>
    <w:rsid w:val="00624825"/>
    <w:rsid w:val="00624BAD"/>
    <w:rsid w:val="00625939"/>
    <w:rsid w:val="00630ACF"/>
    <w:rsid w:val="00633632"/>
    <w:rsid w:val="00633B5A"/>
    <w:rsid w:val="00633E76"/>
    <w:rsid w:val="006365F7"/>
    <w:rsid w:val="00636AD9"/>
    <w:rsid w:val="006370B3"/>
    <w:rsid w:val="00637785"/>
    <w:rsid w:val="0063778D"/>
    <w:rsid w:val="00637903"/>
    <w:rsid w:val="00637E93"/>
    <w:rsid w:val="00637F2E"/>
    <w:rsid w:val="0064004E"/>
    <w:rsid w:val="00640153"/>
    <w:rsid w:val="00641217"/>
    <w:rsid w:val="00645BC8"/>
    <w:rsid w:val="0064782F"/>
    <w:rsid w:val="00650FB0"/>
    <w:rsid w:val="0065161B"/>
    <w:rsid w:val="006530CE"/>
    <w:rsid w:val="0065564E"/>
    <w:rsid w:val="006571E8"/>
    <w:rsid w:val="0065733B"/>
    <w:rsid w:val="0065785E"/>
    <w:rsid w:val="00657D10"/>
    <w:rsid w:val="00657D1A"/>
    <w:rsid w:val="00660E62"/>
    <w:rsid w:val="00661376"/>
    <w:rsid w:val="006615E5"/>
    <w:rsid w:val="006633B2"/>
    <w:rsid w:val="00663483"/>
    <w:rsid w:val="00663B6F"/>
    <w:rsid w:val="00663DD3"/>
    <w:rsid w:val="0066477C"/>
    <w:rsid w:val="006660BC"/>
    <w:rsid w:val="00666A3E"/>
    <w:rsid w:val="0066731C"/>
    <w:rsid w:val="00667A34"/>
    <w:rsid w:val="00670FAA"/>
    <w:rsid w:val="006715BC"/>
    <w:rsid w:val="006718B0"/>
    <w:rsid w:val="006719FE"/>
    <w:rsid w:val="00672AAE"/>
    <w:rsid w:val="00673B57"/>
    <w:rsid w:val="00673EB8"/>
    <w:rsid w:val="0067518D"/>
    <w:rsid w:val="0067569A"/>
    <w:rsid w:val="00677D97"/>
    <w:rsid w:val="006800F3"/>
    <w:rsid w:val="006820F4"/>
    <w:rsid w:val="00682733"/>
    <w:rsid w:val="00682E13"/>
    <w:rsid w:val="00683D35"/>
    <w:rsid w:val="00685872"/>
    <w:rsid w:val="006869C4"/>
    <w:rsid w:val="0068719C"/>
    <w:rsid w:val="00687D18"/>
    <w:rsid w:val="0069019B"/>
    <w:rsid w:val="00693055"/>
    <w:rsid w:val="00694C2F"/>
    <w:rsid w:val="00695A7B"/>
    <w:rsid w:val="006974C8"/>
    <w:rsid w:val="00697B24"/>
    <w:rsid w:val="00697EA9"/>
    <w:rsid w:val="006A06EE"/>
    <w:rsid w:val="006A25CE"/>
    <w:rsid w:val="006A3281"/>
    <w:rsid w:val="006A4BA2"/>
    <w:rsid w:val="006A4C44"/>
    <w:rsid w:val="006A5E8F"/>
    <w:rsid w:val="006A7FBB"/>
    <w:rsid w:val="006B0E96"/>
    <w:rsid w:val="006B1ADB"/>
    <w:rsid w:val="006B3C71"/>
    <w:rsid w:val="006B4252"/>
    <w:rsid w:val="006B4351"/>
    <w:rsid w:val="006B4E7F"/>
    <w:rsid w:val="006C0054"/>
    <w:rsid w:val="006C0F1D"/>
    <w:rsid w:val="006C227A"/>
    <w:rsid w:val="006C344B"/>
    <w:rsid w:val="006C3D88"/>
    <w:rsid w:val="006C480E"/>
    <w:rsid w:val="006C4BAC"/>
    <w:rsid w:val="006C5F7E"/>
    <w:rsid w:val="006D2414"/>
    <w:rsid w:val="006D30BE"/>
    <w:rsid w:val="006D3B95"/>
    <w:rsid w:val="006D567A"/>
    <w:rsid w:val="006D58D2"/>
    <w:rsid w:val="006D5943"/>
    <w:rsid w:val="006E010B"/>
    <w:rsid w:val="006E0731"/>
    <w:rsid w:val="006E16A8"/>
    <w:rsid w:val="006E382F"/>
    <w:rsid w:val="006E4C81"/>
    <w:rsid w:val="006E5568"/>
    <w:rsid w:val="006E6765"/>
    <w:rsid w:val="006E6953"/>
    <w:rsid w:val="006E6A9A"/>
    <w:rsid w:val="006F1AAC"/>
    <w:rsid w:val="006F2097"/>
    <w:rsid w:val="006F344D"/>
    <w:rsid w:val="006F5052"/>
    <w:rsid w:val="006F562A"/>
    <w:rsid w:val="006F5776"/>
    <w:rsid w:val="006F63B1"/>
    <w:rsid w:val="006F7539"/>
    <w:rsid w:val="00700CD9"/>
    <w:rsid w:val="00701BA9"/>
    <w:rsid w:val="00701EF4"/>
    <w:rsid w:val="007020B5"/>
    <w:rsid w:val="007029E6"/>
    <w:rsid w:val="00702AB7"/>
    <w:rsid w:val="007055F3"/>
    <w:rsid w:val="0070594F"/>
    <w:rsid w:val="007062DD"/>
    <w:rsid w:val="00706DA6"/>
    <w:rsid w:val="007071EB"/>
    <w:rsid w:val="00710463"/>
    <w:rsid w:val="00710837"/>
    <w:rsid w:val="00710B71"/>
    <w:rsid w:val="00710CD0"/>
    <w:rsid w:val="00712542"/>
    <w:rsid w:val="00713350"/>
    <w:rsid w:val="00714859"/>
    <w:rsid w:val="00714F92"/>
    <w:rsid w:val="00715342"/>
    <w:rsid w:val="00717031"/>
    <w:rsid w:val="00717427"/>
    <w:rsid w:val="00717FD3"/>
    <w:rsid w:val="00720C41"/>
    <w:rsid w:val="007216A2"/>
    <w:rsid w:val="00722D1E"/>
    <w:rsid w:val="00722FBA"/>
    <w:rsid w:val="0072313F"/>
    <w:rsid w:val="00724F07"/>
    <w:rsid w:val="0072792D"/>
    <w:rsid w:val="00727F36"/>
    <w:rsid w:val="0073012D"/>
    <w:rsid w:val="0073141B"/>
    <w:rsid w:val="00732742"/>
    <w:rsid w:val="007334EA"/>
    <w:rsid w:val="0073370C"/>
    <w:rsid w:val="00733A3B"/>
    <w:rsid w:val="0073646B"/>
    <w:rsid w:val="00744479"/>
    <w:rsid w:val="007444F9"/>
    <w:rsid w:val="00744FCC"/>
    <w:rsid w:val="00745F2B"/>
    <w:rsid w:val="0075190A"/>
    <w:rsid w:val="00752753"/>
    <w:rsid w:val="00752854"/>
    <w:rsid w:val="00753180"/>
    <w:rsid w:val="00754E54"/>
    <w:rsid w:val="00755E9B"/>
    <w:rsid w:val="00756C4C"/>
    <w:rsid w:val="00757B26"/>
    <w:rsid w:val="00757E08"/>
    <w:rsid w:val="0076499A"/>
    <w:rsid w:val="00765CFE"/>
    <w:rsid w:val="007667D9"/>
    <w:rsid w:val="00766ADF"/>
    <w:rsid w:val="007676EF"/>
    <w:rsid w:val="00772676"/>
    <w:rsid w:val="007726C3"/>
    <w:rsid w:val="00773D9F"/>
    <w:rsid w:val="00774571"/>
    <w:rsid w:val="00775AFA"/>
    <w:rsid w:val="00780E8E"/>
    <w:rsid w:val="007812FA"/>
    <w:rsid w:val="0078207C"/>
    <w:rsid w:val="00782676"/>
    <w:rsid w:val="007830D7"/>
    <w:rsid w:val="0078343D"/>
    <w:rsid w:val="0078499E"/>
    <w:rsid w:val="0078591F"/>
    <w:rsid w:val="0078611D"/>
    <w:rsid w:val="0078682A"/>
    <w:rsid w:val="00786E67"/>
    <w:rsid w:val="00786E7B"/>
    <w:rsid w:val="00787879"/>
    <w:rsid w:val="007916AE"/>
    <w:rsid w:val="00791867"/>
    <w:rsid w:val="007919E4"/>
    <w:rsid w:val="0079216A"/>
    <w:rsid w:val="00792D96"/>
    <w:rsid w:val="00793656"/>
    <w:rsid w:val="00794032"/>
    <w:rsid w:val="00795189"/>
    <w:rsid w:val="007969EF"/>
    <w:rsid w:val="007A0737"/>
    <w:rsid w:val="007A1182"/>
    <w:rsid w:val="007A2D7B"/>
    <w:rsid w:val="007A341B"/>
    <w:rsid w:val="007A5951"/>
    <w:rsid w:val="007A5D58"/>
    <w:rsid w:val="007A6419"/>
    <w:rsid w:val="007A7335"/>
    <w:rsid w:val="007B06C6"/>
    <w:rsid w:val="007B16B5"/>
    <w:rsid w:val="007B4372"/>
    <w:rsid w:val="007B50EE"/>
    <w:rsid w:val="007B79A8"/>
    <w:rsid w:val="007B7CCC"/>
    <w:rsid w:val="007C0FB3"/>
    <w:rsid w:val="007C17CD"/>
    <w:rsid w:val="007C17F7"/>
    <w:rsid w:val="007C1873"/>
    <w:rsid w:val="007C1EAB"/>
    <w:rsid w:val="007C2177"/>
    <w:rsid w:val="007C32E8"/>
    <w:rsid w:val="007C3E96"/>
    <w:rsid w:val="007C4738"/>
    <w:rsid w:val="007C4F12"/>
    <w:rsid w:val="007C6D29"/>
    <w:rsid w:val="007C6DE3"/>
    <w:rsid w:val="007C7D9A"/>
    <w:rsid w:val="007D01E2"/>
    <w:rsid w:val="007D0240"/>
    <w:rsid w:val="007D064F"/>
    <w:rsid w:val="007D06D2"/>
    <w:rsid w:val="007D06EA"/>
    <w:rsid w:val="007D16B3"/>
    <w:rsid w:val="007D1ACE"/>
    <w:rsid w:val="007D2830"/>
    <w:rsid w:val="007D2F8A"/>
    <w:rsid w:val="007D4AB8"/>
    <w:rsid w:val="007D4FF0"/>
    <w:rsid w:val="007D6050"/>
    <w:rsid w:val="007E07E3"/>
    <w:rsid w:val="007E1654"/>
    <w:rsid w:val="007E1922"/>
    <w:rsid w:val="007E4109"/>
    <w:rsid w:val="007E6083"/>
    <w:rsid w:val="007E6348"/>
    <w:rsid w:val="007E7A4B"/>
    <w:rsid w:val="007E7BC7"/>
    <w:rsid w:val="007E7F1E"/>
    <w:rsid w:val="007F0373"/>
    <w:rsid w:val="007F1C5F"/>
    <w:rsid w:val="007F1E2C"/>
    <w:rsid w:val="007F425A"/>
    <w:rsid w:val="007F4DDB"/>
    <w:rsid w:val="007F5F08"/>
    <w:rsid w:val="007F5FD5"/>
    <w:rsid w:val="007F6127"/>
    <w:rsid w:val="007F6812"/>
    <w:rsid w:val="007F7180"/>
    <w:rsid w:val="007F7A75"/>
    <w:rsid w:val="008004A1"/>
    <w:rsid w:val="00803208"/>
    <w:rsid w:val="00803E1F"/>
    <w:rsid w:val="00807358"/>
    <w:rsid w:val="00810769"/>
    <w:rsid w:val="00811AA4"/>
    <w:rsid w:val="0081336F"/>
    <w:rsid w:val="00814B5A"/>
    <w:rsid w:val="008151FE"/>
    <w:rsid w:val="008160B8"/>
    <w:rsid w:val="008175B3"/>
    <w:rsid w:val="008209C0"/>
    <w:rsid w:val="00821C3D"/>
    <w:rsid w:val="0082268F"/>
    <w:rsid w:val="00823108"/>
    <w:rsid w:val="008237E0"/>
    <w:rsid w:val="00823D48"/>
    <w:rsid w:val="008244AF"/>
    <w:rsid w:val="008257FB"/>
    <w:rsid w:val="00825BD6"/>
    <w:rsid w:val="00825E02"/>
    <w:rsid w:val="00825F3D"/>
    <w:rsid w:val="008261CD"/>
    <w:rsid w:val="00827211"/>
    <w:rsid w:val="00827C96"/>
    <w:rsid w:val="008314C9"/>
    <w:rsid w:val="00831F79"/>
    <w:rsid w:val="00833280"/>
    <w:rsid w:val="00833423"/>
    <w:rsid w:val="008342B6"/>
    <w:rsid w:val="0083503B"/>
    <w:rsid w:val="0083719D"/>
    <w:rsid w:val="008372F3"/>
    <w:rsid w:val="00837C3F"/>
    <w:rsid w:val="0084010F"/>
    <w:rsid w:val="00840E26"/>
    <w:rsid w:val="00841438"/>
    <w:rsid w:val="00841F9C"/>
    <w:rsid w:val="00842A8E"/>
    <w:rsid w:val="00844F0C"/>
    <w:rsid w:val="00845391"/>
    <w:rsid w:val="00846755"/>
    <w:rsid w:val="00847B72"/>
    <w:rsid w:val="00852B2F"/>
    <w:rsid w:val="00853159"/>
    <w:rsid w:val="00855499"/>
    <w:rsid w:val="0085576F"/>
    <w:rsid w:val="00855B61"/>
    <w:rsid w:val="00855CB5"/>
    <w:rsid w:val="00857D31"/>
    <w:rsid w:val="00860870"/>
    <w:rsid w:val="00861286"/>
    <w:rsid w:val="0086264D"/>
    <w:rsid w:val="00862957"/>
    <w:rsid w:val="00862DFA"/>
    <w:rsid w:val="00863D3F"/>
    <w:rsid w:val="008640A9"/>
    <w:rsid w:val="00864A68"/>
    <w:rsid w:val="0086561A"/>
    <w:rsid w:val="008658E4"/>
    <w:rsid w:val="00867A66"/>
    <w:rsid w:val="00867D40"/>
    <w:rsid w:val="00871360"/>
    <w:rsid w:val="008714CE"/>
    <w:rsid w:val="00872E1B"/>
    <w:rsid w:val="00872F54"/>
    <w:rsid w:val="00874F1E"/>
    <w:rsid w:val="00874F94"/>
    <w:rsid w:val="008759F2"/>
    <w:rsid w:val="00876D6E"/>
    <w:rsid w:val="0088080F"/>
    <w:rsid w:val="00881C7A"/>
    <w:rsid w:val="00881CC4"/>
    <w:rsid w:val="008820EB"/>
    <w:rsid w:val="0088241D"/>
    <w:rsid w:val="0088395D"/>
    <w:rsid w:val="0088652E"/>
    <w:rsid w:val="00887695"/>
    <w:rsid w:val="00887B1A"/>
    <w:rsid w:val="00890105"/>
    <w:rsid w:val="008903D2"/>
    <w:rsid w:val="008920CE"/>
    <w:rsid w:val="00894A26"/>
    <w:rsid w:val="00895BC9"/>
    <w:rsid w:val="008A090F"/>
    <w:rsid w:val="008A3F3D"/>
    <w:rsid w:val="008A4B18"/>
    <w:rsid w:val="008A5A50"/>
    <w:rsid w:val="008A6E0D"/>
    <w:rsid w:val="008B0C3A"/>
    <w:rsid w:val="008B1FDE"/>
    <w:rsid w:val="008B2560"/>
    <w:rsid w:val="008B4F77"/>
    <w:rsid w:val="008B58CB"/>
    <w:rsid w:val="008B6131"/>
    <w:rsid w:val="008B773A"/>
    <w:rsid w:val="008B7839"/>
    <w:rsid w:val="008B7C2B"/>
    <w:rsid w:val="008C069A"/>
    <w:rsid w:val="008C0BB8"/>
    <w:rsid w:val="008C141C"/>
    <w:rsid w:val="008C2460"/>
    <w:rsid w:val="008C45BE"/>
    <w:rsid w:val="008C61E1"/>
    <w:rsid w:val="008C7CCE"/>
    <w:rsid w:val="008C7EF5"/>
    <w:rsid w:val="008D03BD"/>
    <w:rsid w:val="008D0CE7"/>
    <w:rsid w:val="008D1CB0"/>
    <w:rsid w:val="008D4577"/>
    <w:rsid w:val="008D4B46"/>
    <w:rsid w:val="008D51C7"/>
    <w:rsid w:val="008D5898"/>
    <w:rsid w:val="008D6598"/>
    <w:rsid w:val="008D6D39"/>
    <w:rsid w:val="008D6E21"/>
    <w:rsid w:val="008D7A4A"/>
    <w:rsid w:val="008D7F22"/>
    <w:rsid w:val="008E1103"/>
    <w:rsid w:val="008E241D"/>
    <w:rsid w:val="008E3AA7"/>
    <w:rsid w:val="008E5FD0"/>
    <w:rsid w:val="008E61CA"/>
    <w:rsid w:val="008E64B5"/>
    <w:rsid w:val="008F0F1E"/>
    <w:rsid w:val="008F1E56"/>
    <w:rsid w:val="008F23DD"/>
    <w:rsid w:val="008F6418"/>
    <w:rsid w:val="008F66DE"/>
    <w:rsid w:val="008F7C65"/>
    <w:rsid w:val="00900237"/>
    <w:rsid w:val="00900CFB"/>
    <w:rsid w:val="00901376"/>
    <w:rsid w:val="009023CD"/>
    <w:rsid w:val="00903251"/>
    <w:rsid w:val="009035CB"/>
    <w:rsid w:val="00904D56"/>
    <w:rsid w:val="00904F9C"/>
    <w:rsid w:val="00907078"/>
    <w:rsid w:val="00907B49"/>
    <w:rsid w:val="009101B9"/>
    <w:rsid w:val="0091105D"/>
    <w:rsid w:val="009132A8"/>
    <w:rsid w:val="00913BC2"/>
    <w:rsid w:val="00913F0D"/>
    <w:rsid w:val="009149DE"/>
    <w:rsid w:val="0091581B"/>
    <w:rsid w:val="009169B4"/>
    <w:rsid w:val="00916B94"/>
    <w:rsid w:val="00917545"/>
    <w:rsid w:val="0091754C"/>
    <w:rsid w:val="009175DE"/>
    <w:rsid w:val="00920046"/>
    <w:rsid w:val="00920A46"/>
    <w:rsid w:val="009230AA"/>
    <w:rsid w:val="00923416"/>
    <w:rsid w:val="00924D6A"/>
    <w:rsid w:val="00925DCD"/>
    <w:rsid w:val="00925EC5"/>
    <w:rsid w:val="00927B96"/>
    <w:rsid w:val="009303B7"/>
    <w:rsid w:val="0093237F"/>
    <w:rsid w:val="00934288"/>
    <w:rsid w:val="009350BC"/>
    <w:rsid w:val="0093717B"/>
    <w:rsid w:val="0094004E"/>
    <w:rsid w:val="009403F5"/>
    <w:rsid w:val="00941223"/>
    <w:rsid w:val="00942C3B"/>
    <w:rsid w:val="00943FF4"/>
    <w:rsid w:val="00945EC2"/>
    <w:rsid w:val="009464E6"/>
    <w:rsid w:val="0095029C"/>
    <w:rsid w:val="00950A42"/>
    <w:rsid w:val="009510CA"/>
    <w:rsid w:val="00951292"/>
    <w:rsid w:val="00953BAA"/>
    <w:rsid w:val="00954B1F"/>
    <w:rsid w:val="00954CD1"/>
    <w:rsid w:val="00957224"/>
    <w:rsid w:val="00957FDA"/>
    <w:rsid w:val="00961077"/>
    <w:rsid w:val="00961FAA"/>
    <w:rsid w:val="00964157"/>
    <w:rsid w:val="00964614"/>
    <w:rsid w:val="009654D6"/>
    <w:rsid w:val="0097254D"/>
    <w:rsid w:val="00972E53"/>
    <w:rsid w:val="00974756"/>
    <w:rsid w:val="00974D6B"/>
    <w:rsid w:val="00975CFC"/>
    <w:rsid w:val="00977590"/>
    <w:rsid w:val="00977707"/>
    <w:rsid w:val="00977DF3"/>
    <w:rsid w:val="0098116C"/>
    <w:rsid w:val="009836C4"/>
    <w:rsid w:val="00983F9A"/>
    <w:rsid w:val="0098497D"/>
    <w:rsid w:val="009854E2"/>
    <w:rsid w:val="009865F5"/>
    <w:rsid w:val="00986A6C"/>
    <w:rsid w:val="00987282"/>
    <w:rsid w:val="00987331"/>
    <w:rsid w:val="009901DF"/>
    <w:rsid w:val="00991D87"/>
    <w:rsid w:val="009939F1"/>
    <w:rsid w:val="009943FA"/>
    <w:rsid w:val="00994493"/>
    <w:rsid w:val="00994A54"/>
    <w:rsid w:val="00996755"/>
    <w:rsid w:val="00997359"/>
    <w:rsid w:val="009978E5"/>
    <w:rsid w:val="009A0550"/>
    <w:rsid w:val="009A0BCB"/>
    <w:rsid w:val="009A33C6"/>
    <w:rsid w:val="009A53E3"/>
    <w:rsid w:val="009B1EBA"/>
    <w:rsid w:val="009C0BB1"/>
    <w:rsid w:val="009C1302"/>
    <w:rsid w:val="009C2842"/>
    <w:rsid w:val="009C2E57"/>
    <w:rsid w:val="009C401C"/>
    <w:rsid w:val="009C4254"/>
    <w:rsid w:val="009C7536"/>
    <w:rsid w:val="009D1A5A"/>
    <w:rsid w:val="009D2091"/>
    <w:rsid w:val="009D3425"/>
    <w:rsid w:val="009D37AC"/>
    <w:rsid w:val="009D3EA9"/>
    <w:rsid w:val="009D54CB"/>
    <w:rsid w:val="009D5926"/>
    <w:rsid w:val="009D64F7"/>
    <w:rsid w:val="009D799E"/>
    <w:rsid w:val="009E0628"/>
    <w:rsid w:val="009E1506"/>
    <w:rsid w:val="009E2B30"/>
    <w:rsid w:val="009E391F"/>
    <w:rsid w:val="009E47E8"/>
    <w:rsid w:val="009E4F61"/>
    <w:rsid w:val="009E55D8"/>
    <w:rsid w:val="009E563D"/>
    <w:rsid w:val="009E68E2"/>
    <w:rsid w:val="009E6BCD"/>
    <w:rsid w:val="009F074C"/>
    <w:rsid w:val="009F1323"/>
    <w:rsid w:val="009F204C"/>
    <w:rsid w:val="009F31F8"/>
    <w:rsid w:val="009F354C"/>
    <w:rsid w:val="009F3C9D"/>
    <w:rsid w:val="009F4F17"/>
    <w:rsid w:val="009F63E3"/>
    <w:rsid w:val="00A00403"/>
    <w:rsid w:val="00A00C65"/>
    <w:rsid w:val="00A031CD"/>
    <w:rsid w:val="00A03B8F"/>
    <w:rsid w:val="00A04AB7"/>
    <w:rsid w:val="00A04F9A"/>
    <w:rsid w:val="00A0595F"/>
    <w:rsid w:val="00A05DF3"/>
    <w:rsid w:val="00A07D1A"/>
    <w:rsid w:val="00A1009F"/>
    <w:rsid w:val="00A10757"/>
    <w:rsid w:val="00A10B3D"/>
    <w:rsid w:val="00A1212D"/>
    <w:rsid w:val="00A13C8B"/>
    <w:rsid w:val="00A153E9"/>
    <w:rsid w:val="00A177BC"/>
    <w:rsid w:val="00A17933"/>
    <w:rsid w:val="00A2176D"/>
    <w:rsid w:val="00A21819"/>
    <w:rsid w:val="00A22C5E"/>
    <w:rsid w:val="00A23968"/>
    <w:rsid w:val="00A2397A"/>
    <w:rsid w:val="00A25230"/>
    <w:rsid w:val="00A25967"/>
    <w:rsid w:val="00A277B8"/>
    <w:rsid w:val="00A27998"/>
    <w:rsid w:val="00A316FC"/>
    <w:rsid w:val="00A32952"/>
    <w:rsid w:val="00A342F7"/>
    <w:rsid w:val="00A34CA2"/>
    <w:rsid w:val="00A3579C"/>
    <w:rsid w:val="00A35E73"/>
    <w:rsid w:val="00A3653F"/>
    <w:rsid w:val="00A36877"/>
    <w:rsid w:val="00A37132"/>
    <w:rsid w:val="00A41B11"/>
    <w:rsid w:val="00A43596"/>
    <w:rsid w:val="00A4479C"/>
    <w:rsid w:val="00A463C5"/>
    <w:rsid w:val="00A46519"/>
    <w:rsid w:val="00A467CB"/>
    <w:rsid w:val="00A472B6"/>
    <w:rsid w:val="00A524BA"/>
    <w:rsid w:val="00A52C14"/>
    <w:rsid w:val="00A52FB0"/>
    <w:rsid w:val="00A53A3A"/>
    <w:rsid w:val="00A5438D"/>
    <w:rsid w:val="00A54921"/>
    <w:rsid w:val="00A553D4"/>
    <w:rsid w:val="00A5679A"/>
    <w:rsid w:val="00A57517"/>
    <w:rsid w:val="00A579B0"/>
    <w:rsid w:val="00A57FBF"/>
    <w:rsid w:val="00A6030F"/>
    <w:rsid w:val="00A6233D"/>
    <w:rsid w:val="00A639B9"/>
    <w:rsid w:val="00A66562"/>
    <w:rsid w:val="00A70302"/>
    <w:rsid w:val="00A70CD9"/>
    <w:rsid w:val="00A70F46"/>
    <w:rsid w:val="00A7112C"/>
    <w:rsid w:val="00A71C5A"/>
    <w:rsid w:val="00A736C7"/>
    <w:rsid w:val="00A744A6"/>
    <w:rsid w:val="00A745FF"/>
    <w:rsid w:val="00A75A4D"/>
    <w:rsid w:val="00A770AD"/>
    <w:rsid w:val="00A847DE"/>
    <w:rsid w:val="00A84B75"/>
    <w:rsid w:val="00A8522A"/>
    <w:rsid w:val="00A85806"/>
    <w:rsid w:val="00A860A3"/>
    <w:rsid w:val="00A86DBE"/>
    <w:rsid w:val="00A8727C"/>
    <w:rsid w:val="00A8750F"/>
    <w:rsid w:val="00A90680"/>
    <w:rsid w:val="00A90976"/>
    <w:rsid w:val="00A90D02"/>
    <w:rsid w:val="00A93EE5"/>
    <w:rsid w:val="00A959D2"/>
    <w:rsid w:val="00A95C37"/>
    <w:rsid w:val="00A97F0E"/>
    <w:rsid w:val="00AA02D4"/>
    <w:rsid w:val="00AA1B71"/>
    <w:rsid w:val="00AA2404"/>
    <w:rsid w:val="00AA31B0"/>
    <w:rsid w:val="00AA4062"/>
    <w:rsid w:val="00AA56A4"/>
    <w:rsid w:val="00AB019D"/>
    <w:rsid w:val="00AB637F"/>
    <w:rsid w:val="00AB6FD5"/>
    <w:rsid w:val="00AC08EC"/>
    <w:rsid w:val="00AC1C33"/>
    <w:rsid w:val="00AC2B0A"/>
    <w:rsid w:val="00AC445C"/>
    <w:rsid w:val="00AC5CD4"/>
    <w:rsid w:val="00AC7611"/>
    <w:rsid w:val="00AD0D4D"/>
    <w:rsid w:val="00AD2B93"/>
    <w:rsid w:val="00AD3D67"/>
    <w:rsid w:val="00AD497A"/>
    <w:rsid w:val="00AD5BBB"/>
    <w:rsid w:val="00AD6104"/>
    <w:rsid w:val="00AD63F6"/>
    <w:rsid w:val="00AD7033"/>
    <w:rsid w:val="00AD7399"/>
    <w:rsid w:val="00AE4C28"/>
    <w:rsid w:val="00AE4E5E"/>
    <w:rsid w:val="00AE70D0"/>
    <w:rsid w:val="00AE731A"/>
    <w:rsid w:val="00AE7E10"/>
    <w:rsid w:val="00AE7FD2"/>
    <w:rsid w:val="00AF0EC5"/>
    <w:rsid w:val="00AF15E2"/>
    <w:rsid w:val="00AF1E0E"/>
    <w:rsid w:val="00AF23DE"/>
    <w:rsid w:val="00AF3A3E"/>
    <w:rsid w:val="00AF443A"/>
    <w:rsid w:val="00AF45AC"/>
    <w:rsid w:val="00AF594A"/>
    <w:rsid w:val="00AF5E5E"/>
    <w:rsid w:val="00AF6ADB"/>
    <w:rsid w:val="00AF6F5F"/>
    <w:rsid w:val="00B035D1"/>
    <w:rsid w:val="00B03A28"/>
    <w:rsid w:val="00B05232"/>
    <w:rsid w:val="00B06E77"/>
    <w:rsid w:val="00B07498"/>
    <w:rsid w:val="00B075FF"/>
    <w:rsid w:val="00B10A94"/>
    <w:rsid w:val="00B1130E"/>
    <w:rsid w:val="00B1143D"/>
    <w:rsid w:val="00B11984"/>
    <w:rsid w:val="00B11D81"/>
    <w:rsid w:val="00B1296E"/>
    <w:rsid w:val="00B12A12"/>
    <w:rsid w:val="00B12C31"/>
    <w:rsid w:val="00B1362E"/>
    <w:rsid w:val="00B15F39"/>
    <w:rsid w:val="00B16ACB"/>
    <w:rsid w:val="00B1742A"/>
    <w:rsid w:val="00B204A1"/>
    <w:rsid w:val="00B21F10"/>
    <w:rsid w:val="00B22517"/>
    <w:rsid w:val="00B2713A"/>
    <w:rsid w:val="00B27C5F"/>
    <w:rsid w:val="00B3111F"/>
    <w:rsid w:val="00B31F5D"/>
    <w:rsid w:val="00B32CDD"/>
    <w:rsid w:val="00B33034"/>
    <w:rsid w:val="00B33BD3"/>
    <w:rsid w:val="00B34FEA"/>
    <w:rsid w:val="00B36F82"/>
    <w:rsid w:val="00B401C4"/>
    <w:rsid w:val="00B402A9"/>
    <w:rsid w:val="00B41184"/>
    <w:rsid w:val="00B4234F"/>
    <w:rsid w:val="00B423FA"/>
    <w:rsid w:val="00B4279A"/>
    <w:rsid w:val="00B4289E"/>
    <w:rsid w:val="00B434A7"/>
    <w:rsid w:val="00B44434"/>
    <w:rsid w:val="00B44E7A"/>
    <w:rsid w:val="00B452D0"/>
    <w:rsid w:val="00B46FB3"/>
    <w:rsid w:val="00B51B8B"/>
    <w:rsid w:val="00B51D74"/>
    <w:rsid w:val="00B5229B"/>
    <w:rsid w:val="00B54ADE"/>
    <w:rsid w:val="00B55C34"/>
    <w:rsid w:val="00B56F75"/>
    <w:rsid w:val="00B57F03"/>
    <w:rsid w:val="00B60EE3"/>
    <w:rsid w:val="00B619EA"/>
    <w:rsid w:val="00B61A7F"/>
    <w:rsid w:val="00B63244"/>
    <w:rsid w:val="00B636AC"/>
    <w:rsid w:val="00B64C82"/>
    <w:rsid w:val="00B65A95"/>
    <w:rsid w:val="00B66062"/>
    <w:rsid w:val="00B66D42"/>
    <w:rsid w:val="00B66E41"/>
    <w:rsid w:val="00B712A6"/>
    <w:rsid w:val="00B71D12"/>
    <w:rsid w:val="00B721FD"/>
    <w:rsid w:val="00B7294E"/>
    <w:rsid w:val="00B72BAF"/>
    <w:rsid w:val="00B73AB7"/>
    <w:rsid w:val="00B74AEE"/>
    <w:rsid w:val="00B75348"/>
    <w:rsid w:val="00B7555F"/>
    <w:rsid w:val="00B762DB"/>
    <w:rsid w:val="00B76FD5"/>
    <w:rsid w:val="00B815FD"/>
    <w:rsid w:val="00B81725"/>
    <w:rsid w:val="00B82DAE"/>
    <w:rsid w:val="00B83520"/>
    <w:rsid w:val="00B8697F"/>
    <w:rsid w:val="00B86BC8"/>
    <w:rsid w:val="00B90546"/>
    <w:rsid w:val="00B932E3"/>
    <w:rsid w:val="00B941A6"/>
    <w:rsid w:val="00B95A1E"/>
    <w:rsid w:val="00B95AE2"/>
    <w:rsid w:val="00B97AC6"/>
    <w:rsid w:val="00BA09A4"/>
    <w:rsid w:val="00BA4166"/>
    <w:rsid w:val="00BA55A8"/>
    <w:rsid w:val="00BA5AC8"/>
    <w:rsid w:val="00BA6AF0"/>
    <w:rsid w:val="00BA74C6"/>
    <w:rsid w:val="00BB0EB2"/>
    <w:rsid w:val="00BB1479"/>
    <w:rsid w:val="00BB1844"/>
    <w:rsid w:val="00BB1D5E"/>
    <w:rsid w:val="00BB3DB9"/>
    <w:rsid w:val="00BB407C"/>
    <w:rsid w:val="00BB4686"/>
    <w:rsid w:val="00BB4B11"/>
    <w:rsid w:val="00BB7E3F"/>
    <w:rsid w:val="00BC1EC4"/>
    <w:rsid w:val="00BC256F"/>
    <w:rsid w:val="00BC356E"/>
    <w:rsid w:val="00BC362E"/>
    <w:rsid w:val="00BC671A"/>
    <w:rsid w:val="00BC7718"/>
    <w:rsid w:val="00BC7CB0"/>
    <w:rsid w:val="00BD404C"/>
    <w:rsid w:val="00BD40F7"/>
    <w:rsid w:val="00BD4981"/>
    <w:rsid w:val="00BD5066"/>
    <w:rsid w:val="00BD51DF"/>
    <w:rsid w:val="00BD545C"/>
    <w:rsid w:val="00BD7D7A"/>
    <w:rsid w:val="00BE0004"/>
    <w:rsid w:val="00BE0D1F"/>
    <w:rsid w:val="00BE2A8C"/>
    <w:rsid w:val="00BE328A"/>
    <w:rsid w:val="00BE371B"/>
    <w:rsid w:val="00BE3FD8"/>
    <w:rsid w:val="00BE64FC"/>
    <w:rsid w:val="00BE682F"/>
    <w:rsid w:val="00BE7999"/>
    <w:rsid w:val="00BF1917"/>
    <w:rsid w:val="00BF2111"/>
    <w:rsid w:val="00BF2325"/>
    <w:rsid w:val="00BF2A58"/>
    <w:rsid w:val="00BF31CC"/>
    <w:rsid w:val="00BF379A"/>
    <w:rsid w:val="00BF5677"/>
    <w:rsid w:val="00BF6A75"/>
    <w:rsid w:val="00BF7B2E"/>
    <w:rsid w:val="00C025F2"/>
    <w:rsid w:val="00C04324"/>
    <w:rsid w:val="00C04C2E"/>
    <w:rsid w:val="00C06133"/>
    <w:rsid w:val="00C06595"/>
    <w:rsid w:val="00C10324"/>
    <w:rsid w:val="00C1035C"/>
    <w:rsid w:val="00C105D7"/>
    <w:rsid w:val="00C107EE"/>
    <w:rsid w:val="00C11493"/>
    <w:rsid w:val="00C14B78"/>
    <w:rsid w:val="00C16510"/>
    <w:rsid w:val="00C20838"/>
    <w:rsid w:val="00C2217B"/>
    <w:rsid w:val="00C223CD"/>
    <w:rsid w:val="00C227FB"/>
    <w:rsid w:val="00C23E02"/>
    <w:rsid w:val="00C24386"/>
    <w:rsid w:val="00C253B7"/>
    <w:rsid w:val="00C25776"/>
    <w:rsid w:val="00C27AE9"/>
    <w:rsid w:val="00C27E3E"/>
    <w:rsid w:val="00C3007B"/>
    <w:rsid w:val="00C3213B"/>
    <w:rsid w:val="00C325DA"/>
    <w:rsid w:val="00C327F3"/>
    <w:rsid w:val="00C352F0"/>
    <w:rsid w:val="00C3556B"/>
    <w:rsid w:val="00C3609F"/>
    <w:rsid w:val="00C36118"/>
    <w:rsid w:val="00C36337"/>
    <w:rsid w:val="00C3696F"/>
    <w:rsid w:val="00C37D9B"/>
    <w:rsid w:val="00C413E4"/>
    <w:rsid w:val="00C41917"/>
    <w:rsid w:val="00C426E9"/>
    <w:rsid w:val="00C4548B"/>
    <w:rsid w:val="00C477FF"/>
    <w:rsid w:val="00C50596"/>
    <w:rsid w:val="00C51ABB"/>
    <w:rsid w:val="00C53BB6"/>
    <w:rsid w:val="00C57BDD"/>
    <w:rsid w:val="00C60605"/>
    <w:rsid w:val="00C60D33"/>
    <w:rsid w:val="00C60F75"/>
    <w:rsid w:val="00C61528"/>
    <w:rsid w:val="00C61E6E"/>
    <w:rsid w:val="00C64D87"/>
    <w:rsid w:val="00C64F93"/>
    <w:rsid w:val="00C66124"/>
    <w:rsid w:val="00C667AE"/>
    <w:rsid w:val="00C70C7A"/>
    <w:rsid w:val="00C72B5F"/>
    <w:rsid w:val="00C73054"/>
    <w:rsid w:val="00C733D3"/>
    <w:rsid w:val="00C73BF4"/>
    <w:rsid w:val="00C73E23"/>
    <w:rsid w:val="00C74354"/>
    <w:rsid w:val="00C7527E"/>
    <w:rsid w:val="00C7685A"/>
    <w:rsid w:val="00C76C70"/>
    <w:rsid w:val="00C7707E"/>
    <w:rsid w:val="00C80526"/>
    <w:rsid w:val="00C80D9D"/>
    <w:rsid w:val="00C82D76"/>
    <w:rsid w:val="00C854C5"/>
    <w:rsid w:val="00C90015"/>
    <w:rsid w:val="00C90333"/>
    <w:rsid w:val="00C90685"/>
    <w:rsid w:val="00C90A41"/>
    <w:rsid w:val="00C93010"/>
    <w:rsid w:val="00C93B88"/>
    <w:rsid w:val="00C94EE5"/>
    <w:rsid w:val="00C95166"/>
    <w:rsid w:val="00CA08FD"/>
    <w:rsid w:val="00CA0EE9"/>
    <w:rsid w:val="00CA11E5"/>
    <w:rsid w:val="00CA172D"/>
    <w:rsid w:val="00CA242C"/>
    <w:rsid w:val="00CA335D"/>
    <w:rsid w:val="00CA58E1"/>
    <w:rsid w:val="00CA5ADB"/>
    <w:rsid w:val="00CA68E7"/>
    <w:rsid w:val="00CA78E1"/>
    <w:rsid w:val="00CB513A"/>
    <w:rsid w:val="00CB53F8"/>
    <w:rsid w:val="00CB6153"/>
    <w:rsid w:val="00CB66E8"/>
    <w:rsid w:val="00CB6C02"/>
    <w:rsid w:val="00CC1280"/>
    <w:rsid w:val="00CC2B0A"/>
    <w:rsid w:val="00CC3835"/>
    <w:rsid w:val="00CC3A13"/>
    <w:rsid w:val="00CC3A49"/>
    <w:rsid w:val="00CC4D5E"/>
    <w:rsid w:val="00CC5132"/>
    <w:rsid w:val="00CC6071"/>
    <w:rsid w:val="00CC7248"/>
    <w:rsid w:val="00CD0605"/>
    <w:rsid w:val="00CD1AA0"/>
    <w:rsid w:val="00CD22F9"/>
    <w:rsid w:val="00CD2825"/>
    <w:rsid w:val="00CD343A"/>
    <w:rsid w:val="00CD3648"/>
    <w:rsid w:val="00CD462C"/>
    <w:rsid w:val="00CD48EE"/>
    <w:rsid w:val="00CD5667"/>
    <w:rsid w:val="00CD5687"/>
    <w:rsid w:val="00CD5B49"/>
    <w:rsid w:val="00CD6EC2"/>
    <w:rsid w:val="00CD75C7"/>
    <w:rsid w:val="00CD7DE1"/>
    <w:rsid w:val="00CE19FA"/>
    <w:rsid w:val="00CE1B16"/>
    <w:rsid w:val="00CE1E0A"/>
    <w:rsid w:val="00CE24FB"/>
    <w:rsid w:val="00CE566F"/>
    <w:rsid w:val="00CE75AC"/>
    <w:rsid w:val="00CE77A5"/>
    <w:rsid w:val="00CF02BE"/>
    <w:rsid w:val="00CF0668"/>
    <w:rsid w:val="00CF1ABC"/>
    <w:rsid w:val="00CF21D8"/>
    <w:rsid w:val="00CF32FA"/>
    <w:rsid w:val="00CF3AA6"/>
    <w:rsid w:val="00CF3B7F"/>
    <w:rsid w:val="00CF43F3"/>
    <w:rsid w:val="00CF4FC4"/>
    <w:rsid w:val="00CF5117"/>
    <w:rsid w:val="00CF5E1C"/>
    <w:rsid w:val="00CF5ECB"/>
    <w:rsid w:val="00CF6383"/>
    <w:rsid w:val="00CF653E"/>
    <w:rsid w:val="00CF6F9E"/>
    <w:rsid w:val="00CF7BE0"/>
    <w:rsid w:val="00D013FD"/>
    <w:rsid w:val="00D02798"/>
    <w:rsid w:val="00D02BE8"/>
    <w:rsid w:val="00D02C7F"/>
    <w:rsid w:val="00D04195"/>
    <w:rsid w:val="00D046D6"/>
    <w:rsid w:val="00D04E9F"/>
    <w:rsid w:val="00D05CEF"/>
    <w:rsid w:val="00D07403"/>
    <w:rsid w:val="00D10303"/>
    <w:rsid w:val="00D12282"/>
    <w:rsid w:val="00D1297B"/>
    <w:rsid w:val="00D13446"/>
    <w:rsid w:val="00D13817"/>
    <w:rsid w:val="00D13A24"/>
    <w:rsid w:val="00D159FE"/>
    <w:rsid w:val="00D15A4A"/>
    <w:rsid w:val="00D201DA"/>
    <w:rsid w:val="00D206E1"/>
    <w:rsid w:val="00D215CB"/>
    <w:rsid w:val="00D22056"/>
    <w:rsid w:val="00D220E2"/>
    <w:rsid w:val="00D222A1"/>
    <w:rsid w:val="00D243A5"/>
    <w:rsid w:val="00D2526B"/>
    <w:rsid w:val="00D264BE"/>
    <w:rsid w:val="00D26B73"/>
    <w:rsid w:val="00D2726D"/>
    <w:rsid w:val="00D274DC"/>
    <w:rsid w:val="00D30BF3"/>
    <w:rsid w:val="00D31203"/>
    <w:rsid w:val="00D31B6C"/>
    <w:rsid w:val="00D33F5B"/>
    <w:rsid w:val="00D3768D"/>
    <w:rsid w:val="00D37A5C"/>
    <w:rsid w:val="00D4093A"/>
    <w:rsid w:val="00D426BF"/>
    <w:rsid w:val="00D4281E"/>
    <w:rsid w:val="00D42BC6"/>
    <w:rsid w:val="00D4525A"/>
    <w:rsid w:val="00D506E9"/>
    <w:rsid w:val="00D519D1"/>
    <w:rsid w:val="00D553E5"/>
    <w:rsid w:val="00D5774E"/>
    <w:rsid w:val="00D60913"/>
    <w:rsid w:val="00D62D47"/>
    <w:rsid w:val="00D62E02"/>
    <w:rsid w:val="00D64DCA"/>
    <w:rsid w:val="00D64FD0"/>
    <w:rsid w:val="00D66013"/>
    <w:rsid w:val="00D67284"/>
    <w:rsid w:val="00D67679"/>
    <w:rsid w:val="00D67C8B"/>
    <w:rsid w:val="00D7085D"/>
    <w:rsid w:val="00D70AA6"/>
    <w:rsid w:val="00D717F0"/>
    <w:rsid w:val="00D7189B"/>
    <w:rsid w:val="00D72E41"/>
    <w:rsid w:val="00D73960"/>
    <w:rsid w:val="00D740A7"/>
    <w:rsid w:val="00D74E38"/>
    <w:rsid w:val="00D7522F"/>
    <w:rsid w:val="00D758EC"/>
    <w:rsid w:val="00D76104"/>
    <w:rsid w:val="00D773D8"/>
    <w:rsid w:val="00D77699"/>
    <w:rsid w:val="00D77A17"/>
    <w:rsid w:val="00D77B3F"/>
    <w:rsid w:val="00D80224"/>
    <w:rsid w:val="00D82A8B"/>
    <w:rsid w:val="00D83AF5"/>
    <w:rsid w:val="00D84F53"/>
    <w:rsid w:val="00D85920"/>
    <w:rsid w:val="00D85D82"/>
    <w:rsid w:val="00D85FAA"/>
    <w:rsid w:val="00D865BB"/>
    <w:rsid w:val="00D877C3"/>
    <w:rsid w:val="00D9048A"/>
    <w:rsid w:val="00D92142"/>
    <w:rsid w:val="00D92EE8"/>
    <w:rsid w:val="00D95D5D"/>
    <w:rsid w:val="00DA07BE"/>
    <w:rsid w:val="00DA1AA8"/>
    <w:rsid w:val="00DA1FCB"/>
    <w:rsid w:val="00DA397E"/>
    <w:rsid w:val="00DA4E92"/>
    <w:rsid w:val="00DA5D95"/>
    <w:rsid w:val="00DB1815"/>
    <w:rsid w:val="00DB1BF7"/>
    <w:rsid w:val="00DB5509"/>
    <w:rsid w:val="00DB5848"/>
    <w:rsid w:val="00DB7C29"/>
    <w:rsid w:val="00DC1103"/>
    <w:rsid w:val="00DC2EBF"/>
    <w:rsid w:val="00DC46B8"/>
    <w:rsid w:val="00DC53EC"/>
    <w:rsid w:val="00DC5610"/>
    <w:rsid w:val="00DC68B5"/>
    <w:rsid w:val="00DC6D9D"/>
    <w:rsid w:val="00DC7CF8"/>
    <w:rsid w:val="00DD0764"/>
    <w:rsid w:val="00DD3477"/>
    <w:rsid w:val="00DD3D93"/>
    <w:rsid w:val="00DD5AAA"/>
    <w:rsid w:val="00DD6928"/>
    <w:rsid w:val="00DE042B"/>
    <w:rsid w:val="00DE0BE2"/>
    <w:rsid w:val="00DE1CF8"/>
    <w:rsid w:val="00DE2DEA"/>
    <w:rsid w:val="00DE450C"/>
    <w:rsid w:val="00DE4AD2"/>
    <w:rsid w:val="00DE5B7E"/>
    <w:rsid w:val="00DE5F1C"/>
    <w:rsid w:val="00DE61A4"/>
    <w:rsid w:val="00DE6E2C"/>
    <w:rsid w:val="00DE74E0"/>
    <w:rsid w:val="00DE7511"/>
    <w:rsid w:val="00DE75C5"/>
    <w:rsid w:val="00DF002B"/>
    <w:rsid w:val="00DF28F6"/>
    <w:rsid w:val="00DF2AE4"/>
    <w:rsid w:val="00DF42DE"/>
    <w:rsid w:val="00DF47E7"/>
    <w:rsid w:val="00DF49C8"/>
    <w:rsid w:val="00DF53E5"/>
    <w:rsid w:val="00DF767C"/>
    <w:rsid w:val="00E00781"/>
    <w:rsid w:val="00E01BC1"/>
    <w:rsid w:val="00E01BEC"/>
    <w:rsid w:val="00E02603"/>
    <w:rsid w:val="00E026DC"/>
    <w:rsid w:val="00E02E0C"/>
    <w:rsid w:val="00E02E7A"/>
    <w:rsid w:val="00E036B1"/>
    <w:rsid w:val="00E04FDA"/>
    <w:rsid w:val="00E06326"/>
    <w:rsid w:val="00E06C1A"/>
    <w:rsid w:val="00E06F24"/>
    <w:rsid w:val="00E114D5"/>
    <w:rsid w:val="00E13B0E"/>
    <w:rsid w:val="00E15C59"/>
    <w:rsid w:val="00E15D7F"/>
    <w:rsid w:val="00E15E9D"/>
    <w:rsid w:val="00E16261"/>
    <w:rsid w:val="00E16D06"/>
    <w:rsid w:val="00E17EC9"/>
    <w:rsid w:val="00E20312"/>
    <w:rsid w:val="00E20403"/>
    <w:rsid w:val="00E209B5"/>
    <w:rsid w:val="00E20DB7"/>
    <w:rsid w:val="00E2232F"/>
    <w:rsid w:val="00E2425E"/>
    <w:rsid w:val="00E254D8"/>
    <w:rsid w:val="00E26544"/>
    <w:rsid w:val="00E302BE"/>
    <w:rsid w:val="00E3075F"/>
    <w:rsid w:val="00E31F3F"/>
    <w:rsid w:val="00E321C8"/>
    <w:rsid w:val="00E32815"/>
    <w:rsid w:val="00E40203"/>
    <w:rsid w:val="00E40D51"/>
    <w:rsid w:val="00E41A31"/>
    <w:rsid w:val="00E41AAA"/>
    <w:rsid w:val="00E41CD6"/>
    <w:rsid w:val="00E443DE"/>
    <w:rsid w:val="00E46A38"/>
    <w:rsid w:val="00E46BD5"/>
    <w:rsid w:val="00E4722B"/>
    <w:rsid w:val="00E50A30"/>
    <w:rsid w:val="00E50C23"/>
    <w:rsid w:val="00E52314"/>
    <w:rsid w:val="00E52942"/>
    <w:rsid w:val="00E52AE4"/>
    <w:rsid w:val="00E60EDE"/>
    <w:rsid w:val="00E611A0"/>
    <w:rsid w:val="00E6168D"/>
    <w:rsid w:val="00E61AC7"/>
    <w:rsid w:val="00E62EF8"/>
    <w:rsid w:val="00E62FCE"/>
    <w:rsid w:val="00E631C1"/>
    <w:rsid w:val="00E638CF"/>
    <w:rsid w:val="00E63C4B"/>
    <w:rsid w:val="00E64DBF"/>
    <w:rsid w:val="00E66D37"/>
    <w:rsid w:val="00E66F1A"/>
    <w:rsid w:val="00E67310"/>
    <w:rsid w:val="00E71571"/>
    <w:rsid w:val="00E71663"/>
    <w:rsid w:val="00E72050"/>
    <w:rsid w:val="00E7366F"/>
    <w:rsid w:val="00E74A9C"/>
    <w:rsid w:val="00E74CD6"/>
    <w:rsid w:val="00E751D0"/>
    <w:rsid w:val="00E76FC6"/>
    <w:rsid w:val="00E8218C"/>
    <w:rsid w:val="00E8244F"/>
    <w:rsid w:val="00E8295B"/>
    <w:rsid w:val="00E83A0B"/>
    <w:rsid w:val="00E83B6C"/>
    <w:rsid w:val="00E83B87"/>
    <w:rsid w:val="00E83C20"/>
    <w:rsid w:val="00E84047"/>
    <w:rsid w:val="00E877D7"/>
    <w:rsid w:val="00E87BF0"/>
    <w:rsid w:val="00E91FB2"/>
    <w:rsid w:val="00E9217E"/>
    <w:rsid w:val="00E93B3E"/>
    <w:rsid w:val="00E93C4D"/>
    <w:rsid w:val="00E93F42"/>
    <w:rsid w:val="00E9604D"/>
    <w:rsid w:val="00E966AC"/>
    <w:rsid w:val="00E96B0E"/>
    <w:rsid w:val="00E96F9A"/>
    <w:rsid w:val="00E97A8B"/>
    <w:rsid w:val="00E97B7D"/>
    <w:rsid w:val="00EA076E"/>
    <w:rsid w:val="00EA167E"/>
    <w:rsid w:val="00EA16B2"/>
    <w:rsid w:val="00EA3CB8"/>
    <w:rsid w:val="00EA4914"/>
    <w:rsid w:val="00EA7570"/>
    <w:rsid w:val="00EA7E87"/>
    <w:rsid w:val="00EB0871"/>
    <w:rsid w:val="00EB0B22"/>
    <w:rsid w:val="00EB1045"/>
    <w:rsid w:val="00EB18A9"/>
    <w:rsid w:val="00EB18D5"/>
    <w:rsid w:val="00EB1ADC"/>
    <w:rsid w:val="00EB31EE"/>
    <w:rsid w:val="00EB36C9"/>
    <w:rsid w:val="00EB6A35"/>
    <w:rsid w:val="00EB6FF5"/>
    <w:rsid w:val="00EC0EFF"/>
    <w:rsid w:val="00EC30C5"/>
    <w:rsid w:val="00EC47C9"/>
    <w:rsid w:val="00EC61C4"/>
    <w:rsid w:val="00EC6461"/>
    <w:rsid w:val="00EC6A69"/>
    <w:rsid w:val="00EC76E8"/>
    <w:rsid w:val="00ED0367"/>
    <w:rsid w:val="00ED194B"/>
    <w:rsid w:val="00ED1E24"/>
    <w:rsid w:val="00ED2A12"/>
    <w:rsid w:val="00ED3ACC"/>
    <w:rsid w:val="00ED4CDC"/>
    <w:rsid w:val="00ED67BD"/>
    <w:rsid w:val="00EE10D5"/>
    <w:rsid w:val="00EE1CC5"/>
    <w:rsid w:val="00EE22EE"/>
    <w:rsid w:val="00EE2FF5"/>
    <w:rsid w:val="00EE337A"/>
    <w:rsid w:val="00EE3F9A"/>
    <w:rsid w:val="00EE6B97"/>
    <w:rsid w:val="00EE6E59"/>
    <w:rsid w:val="00EE6FBC"/>
    <w:rsid w:val="00EE7EB4"/>
    <w:rsid w:val="00EF149F"/>
    <w:rsid w:val="00EF1D9D"/>
    <w:rsid w:val="00EF52FD"/>
    <w:rsid w:val="00EF731B"/>
    <w:rsid w:val="00EF7E88"/>
    <w:rsid w:val="00F009C1"/>
    <w:rsid w:val="00F023B2"/>
    <w:rsid w:val="00F025D4"/>
    <w:rsid w:val="00F02E92"/>
    <w:rsid w:val="00F037F8"/>
    <w:rsid w:val="00F03E93"/>
    <w:rsid w:val="00F0437A"/>
    <w:rsid w:val="00F049BB"/>
    <w:rsid w:val="00F05B2F"/>
    <w:rsid w:val="00F05F49"/>
    <w:rsid w:val="00F07FE5"/>
    <w:rsid w:val="00F104AB"/>
    <w:rsid w:val="00F11341"/>
    <w:rsid w:val="00F11819"/>
    <w:rsid w:val="00F11B46"/>
    <w:rsid w:val="00F12D43"/>
    <w:rsid w:val="00F13062"/>
    <w:rsid w:val="00F1328B"/>
    <w:rsid w:val="00F13448"/>
    <w:rsid w:val="00F13607"/>
    <w:rsid w:val="00F13811"/>
    <w:rsid w:val="00F146D7"/>
    <w:rsid w:val="00F14EC6"/>
    <w:rsid w:val="00F14EF2"/>
    <w:rsid w:val="00F1665D"/>
    <w:rsid w:val="00F16CB1"/>
    <w:rsid w:val="00F17582"/>
    <w:rsid w:val="00F20CD4"/>
    <w:rsid w:val="00F2137E"/>
    <w:rsid w:val="00F236A0"/>
    <w:rsid w:val="00F24C7C"/>
    <w:rsid w:val="00F25A01"/>
    <w:rsid w:val="00F26503"/>
    <w:rsid w:val="00F26B75"/>
    <w:rsid w:val="00F277E6"/>
    <w:rsid w:val="00F278D2"/>
    <w:rsid w:val="00F31131"/>
    <w:rsid w:val="00F313D5"/>
    <w:rsid w:val="00F31E1E"/>
    <w:rsid w:val="00F348AE"/>
    <w:rsid w:val="00F3543A"/>
    <w:rsid w:val="00F35761"/>
    <w:rsid w:val="00F35C6B"/>
    <w:rsid w:val="00F35CFF"/>
    <w:rsid w:val="00F416FF"/>
    <w:rsid w:val="00F43B30"/>
    <w:rsid w:val="00F44352"/>
    <w:rsid w:val="00F44AF7"/>
    <w:rsid w:val="00F44E60"/>
    <w:rsid w:val="00F4579D"/>
    <w:rsid w:val="00F46A1D"/>
    <w:rsid w:val="00F46DA2"/>
    <w:rsid w:val="00F5021A"/>
    <w:rsid w:val="00F511C1"/>
    <w:rsid w:val="00F52D81"/>
    <w:rsid w:val="00F54D93"/>
    <w:rsid w:val="00F56BC9"/>
    <w:rsid w:val="00F56C79"/>
    <w:rsid w:val="00F57598"/>
    <w:rsid w:val="00F57C43"/>
    <w:rsid w:val="00F61401"/>
    <w:rsid w:val="00F61839"/>
    <w:rsid w:val="00F618D9"/>
    <w:rsid w:val="00F62099"/>
    <w:rsid w:val="00F6248E"/>
    <w:rsid w:val="00F6367E"/>
    <w:rsid w:val="00F63C33"/>
    <w:rsid w:val="00F63F80"/>
    <w:rsid w:val="00F64437"/>
    <w:rsid w:val="00F64578"/>
    <w:rsid w:val="00F64AF9"/>
    <w:rsid w:val="00F64B41"/>
    <w:rsid w:val="00F64E90"/>
    <w:rsid w:val="00F65EEF"/>
    <w:rsid w:val="00F664EB"/>
    <w:rsid w:val="00F665F5"/>
    <w:rsid w:val="00F70136"/>
    <w:rsid w:val="00F703A6"/>
    <w:rsid w:val="00F70E7C"/>
    <w:rsid w:val="00F70FE2"/>
    <w:rsid w:val="00F71348"/>
    <w:rsid w:val="00F7239A"/>
    <w:rsid w:val="00F724A8"/>
    <w:rsid w:val="00F72E47"/>
    <w:rsid w:val="00F73151"/>
    <w:rsid w:val="00F737D0"/>
    <w:rsid w:val="00F74504"/>
    <w:rsid w:val="00F765FE"/>
    <w:rsid w:val="00F76F26"/>
    <w:rsid w:val="00F77442"/>
    <w:rsid w:val="00F77737"/>
    <w:rsid w:val="00F82BC4"/>
    <w:rsid w:val="00F8489B"/>
    <w:rsid w:val="00F85BC6"/>
    <w:rsid w:val="00F8666A"/>
    <w:rsid w:val="00F86E63"/>
    <w:rsid w:val="00F90A2B"/>
    <w:rsid w:val="00F93CC9"/>
    <w:rsid w:val="00F964B8"/>
    <w:rsid w:val="00F9750D"/>
    <w:rsid w:val="00FA0B1C"/>
    <w:rsid w:val="00FA1287"/>
    <w:rsid w:val="00FA2730"/>
    <w:rsid w:val="00FA477A"/>
    <w:rsid w:val="00FA4E3B"/>
    <w:rsid w:val="00FA6128"/>
    <w:rsid w:val="00FA691C"/>
    <w:rsid w:val="00FA6FF9"/>
    <w:rsid w:val="00FA7683"/>
    <w:rsid w:val="00FB0E65"/>
    <w:rsid w:val="00FB380D"/>
    <w:rsid w:val="00FB4A30"/>
    <w:rsid w:val="00FB5AAE"/>
    <w:rsid w:val="00FC08BE"/>
    <w:rsid w:val="00FC375D"/>
    <w:rsid w:val="00FC3F91"/>
    <w:rsid w:val="00FC5551"/>
    <w:rsid w:val="00FC5C1A"/>
    <w:rsid w:val="00FC5D48"/>
    <w:rsid w:val="00FC62AB"/>
    <w:rsid w:val="00FC751A"/>
    <w:rsid w:val="00FD0A07"/>
    <w:rsid w:val="00FD0F69"/>
    <w:rsid w:val="00FD1490"/>
    <w:rsid w:val="00FD57B8"/>
    <w:rsid w:val="00FD6052"/>
    <w:rsid w:val="00FD71B1"/>
    <w:rsid w:val="00FE04C4"/>
    <w:rsid w:val="00FE0938"/>
    <w:rsid w:val="00FE0C24"/>
    <w:rsid w:val="00FE22B0"/>
    <w:rsid w:val="00FE2B9B"/>
    <w:rsid w:val="00FE6E59"/>
    <w:rsid w:val="00FE6E67"/>
    <w:rsid w:val="00FF118E"/>
    <w:rsid w:val="00FF192A"/>
    <w:rsid w:val="00FF1A7D"/>
    <w:rsid w:val="00FF1D02"/>
    <w:rsid w:val="00FF23AB"/>
    <w:rsid w:val="00FF2A96"/>
    <w:rsid w:val="00FF306B"/>
    <w:rsid w:val="00FF364D"/>
    <w:rsid w:val="00FF4262"/>
    <w:rsid w:val="00FF64D3"/>
    <w:rsid w:val="00FF6919"/>
    <w:rsid w:val="00FF71FD"/>
    <w:rsid w:val="00FF77D3"/>
    <w:rsid w:val="015A36D7"/>
    <w:rsid w:val="01F221B0"/>
    <w:rsid w:val="0223644B"/>
    <w:rsid w:val="023B7D1A"/>
    <w:rsid w:val="027877D2"/>
    <w:rsid w:val="027F7A6C"/>
    <w:rsid w:val="02C24CD4"/>
    <w:rsid w:val="02EC18FA"/>
    <w:rsid w:val="03120517"/>
    <w:rsid w:val="034611E0"/>
    <w:rsid w:val="035A3700"/>
    <w:rsid w:val="037F1F11"/>
    <w:rsid w:val="039E678D"/>
    <w:rsid w:val="039F2DD5"/>
    <w:rsid w:val="04703094"/>
    <w:rsid w:val="049C4F4B"/>
    <w:rsid w:val="04CD6528"/>
    <w:rsid w:val="051C7ED2"/>
    <w:rsid w:val="057A3AF5"/>
    <w:rsid w:val="0585365B"/>
    <w:rsid w:val="058A2A0E"/>
    <w:rsid w:val="061D2C1C"/>
    <w:rsid w:val="065D2D87"/>
    <w:rsid w:val="07416EF9"/>
    <w:rsid w:val="076021D7"/>
    <w:rsid w:val="07F559F3"/>
    <w:rsid w:val="086B2D24"/>
    <w:rsid w:val="08BF01EB"/>
    <w:rsid w:val="08C76587"/>
    <w:rsid w:val="09F36B6C"/>
    <w:rsid w:val="0A285A96"/>
    <w:rsid w:val="0A4A797B"/>
    <w:rsid w:val="0A4B0930"/>
    <w:rsid w:val="0A5D36B3"/>
    <w:rsid w:val="0AA06290"/>
    <w:rsid w:val="0ADB7B90"/>
    <w:rsid w:val="0C2B248A"/>
    <w:rsid w:val="0C856D4A"/>
    <w:rsid w:val="0CAB2210"/>
    <w:rsid w:val="0CB02553"/>
    <w:rsid w:val="0CB44483"/>
    <w:rsid w:val="0D2042F9"/>
    <w:rsid w:val="0D356DB0"/>
    <w:rsid w:val="0D533804"/>
    <w:rsid w:val="0DBB2B76"/>
    <w:rsid w:val="0DD42BEA"/>
    <w:rsid w:val="0E3F7604"/>
    <w:rsid w:val="0E9768A0"/>
    <w:rsid w:val="0EB20CF4"/>
    <w:rsid w:val="0EBA22B3"/>
    <w:rsid w:val="0EFB411B"/>
    <w:rsid w:val="0F044F05"/>
    <w:rsid w:val="0F2F5602"/>
    <w:rsid w:val="0F350058"/>
    <w:rsid w:val="0F46154E"/>
    <w:rsid w:val="0FE00DF7"/>
    <w:rsid w:val="102E6066"/>
    <w:rsid w:val="10495FC1"/>
    <w:rsid w:val="10D37200"/>
    <w:rsid w:val="10F82F74"/>
    <w:rsid w:val="114F4207"/>
    <w:rsid w:val="114F428B"/>
    <w:rsid w:val="124C6946"/>
    <w:rsid w:val="125840D6"/>
    <w:rsid w:val="12AC025B"/>
    <w:rsid w:val="1314218E"/>
    <w:rsid w:val="13EB556C"/>
    <w:rsid w:val="14420981"/>
    <w:rsid w:val="14851348"/>
    <w:rsid w:val="148A021E"/>
    <w:rsid w:val="14B66A81"/>
    <w:rsid w:val="14D55C68"/>
    <w:rsid w:val="14DB44FC"/>
    <w:rsid w:val="14EA5CCD"/>
    <w:rsid w:val="1505065F"/>
    <w:rsid w:val="153A5D57"/>
    <w:rsid w:val="153F77AF"/>
    <w:rsid w:val="15AA10B9"/>
    <w:rsid w:val="15E94D9E"/>
    <w:rsid w:val="15EA5C57"/>
    <w:rsid w:val="16752A28"/>
    <w:rsid w:val="16A71BC5"/>
    <w:rsid w:val="16DB669F"/>
    <w:rsid w:val="16F63E90"/>
    <w:rsid w:val="17076F22"/>
    <w:rsid w:val="17462C31"/>
    <w:rsid w:val="174D1CF2"/>
    <w:rsid w:val="17760F30"/>
    <w:rsid w:val="17A43C31"/>
    <w:rsid w:val="18594E92"/>
    <w:rsid w:val="18610196"/>
    <w:rsid w:val="18FB1FE9"/>
    <w:rsid w:val="18FB419A"/>
    <w:rsid w:val="19224341"/>
    <w:rsid w:val="19457E82"/>
    <w:rsid w:val="194E4CF5"/>
    <w:rsid w:val="19E3177B"/>
    <w:rsid w:val="19FB0B0C"/>
    <w:rsid w:val="1A9A2413"/>
    <w:rsid w:val="1AC034D4"/>
    <w:rsid w:val="1B4C6F9D"/>
    <w:rsid w:val="1B946A88"/>
    <w:rsid w:val="1BAA0DAF"/>
    <w:rsid w:val="1C46106A"/>
    <w:rsid w:val="1C756269"/>
    <w:rsid w:val="1C813F68"/>
    <w:rsid w:val="1CBF718B"/>
    <w:rsid w:val="1CD426DF"/>
    <w:rsid w:val="1D272ECC"/>
    <w:rsid w:val="1D2F21B8"/>
    <w:rsid w:val="1D5C6CAB"/>
    <w:rsid w:val="1D8D5326"/>
    <w:rsid w:val="1E046DE5"/>
    <w:rsid w:val="1E167AA9"/>
    <w:rsid w:val="1E4A01F4"/>
    <w:rsid w:val="1EDD0C28"/>
    <w:rsid w:val="1F7D79B3"/>
    <w:rsid w:val="1F815806"/>
    <w:rsid w:val="1FB44714"/>
    <w:rsid w:val="1FB71AD5"/>
    <w:rsid w:val="1FEA39E3"/>
    <w:rsid w:val="1FF03592"/>
    <w:rsid w:val="20594112"/>
    <w:rsid w:val="20690B0C"/>
    <w:rsid w:val="207E2032"/>
    <w:rsid w:val="20AE6AF4"/>
    <w:rsid w:val="211B60C4"/>
    <w:rsid w:val="2139204A"/>
    <w:rsid w:val="21411A9E"/>
    <w:rsid w:val="22490F2B"/>
    <w:rsid w:val="22725799"/>
    <w:rsid w:val="22F74D6E"/>
    <w:rsid w:val="22FF42C3"/>
    <w:rsid w:val="23C14A40"/>
    <w:rsid w:val="244F03B3"/>
    <w:rsid w:val="25264163"/>
    <w:rsid w:val="255C0820"/>
    <w:rsid w:val="25A7768B"/>
    <w:rsid w:val="25CD04ED"/>
    <w:rsid w:val="260822DA"/>
    <w:rsid w:val="260F05F6"/>
    <w:rsid w:val="262B0D8C"/>
    <w:rsid w:val="26815E01"/>
    <w:rsid w:val="271008F4"/>
    <w:rsid w:val="272926C6"/>
    <w:rsid w:val="27316B69"/>
    <w:rsid w:val="27771227"/>
    <w:rsid w:val="27C96727"/>
    <w:rsid w:val="27ED5742"/>
    <w:rsid w:val="28312DEC"/>
    <w:rsid w:val="287D463C"/>
    <w:rsid w:val="289C2139"/>
    <w:rsid w:val="28AE3ED0"/>
    <w:rsid w:val="28F53772"/>
    <w:rsid w:val="292F5CF9"/>
    <w:rsid w:val="294C2EC2"/>
    <w:rsid w:val="294F73AA"/>
    <w:rsid w:val="2985673D"/>
    <w:rsid w:val="2A2C6D34"/>
    <w:rsid w:val="2A46138B"/>
    <w:rsid w:val="2A712949"/>
    <w:rsid w:val="2B155FE2"/>
    <w:rsid w:val="2B3D7128"/>
    <w:rsid w:val="2B613133"/>
    <w:rsid w:val="2C131858"/>
    <w:rsid w:val="2C1C3A3A"/>
    <w:rsid w:val="2C1F67CE"/>
    <w:rsid w:val="2C80464D"/>
    <w:rsid w:val="2D953F05"/>
    <w:rsid w:val="2DBD52A1"/>
    <w:rsid w:val="2E2A3AC9"/>
    <w:rsid w:val="2E3D7196"/>
    <w:rsid w:val="2E8B0C85"/>
    <w:rsid w:val="2EE51AA5"/>
    <w:rsid w:val="2F197265"/>
    <w:rsid w:val="2F4D074E"/>
    <w:rsid w:val="2FF6014A"/>
    <w:rsid w:val="30593972"/>
    <w:rsid w:val="30A07E06"/>
    <w:rsid w:val="30DD327D"/>
    <w:rsid w:val="30EE0CFC"/>
    <w:rsid w:val="30F87B26"/>
    <w:rsid w:val="312D4543"/>
    <w:rsid w:val="31423ECC"/>
    <w:rsid w:val="3158151F"/>
    <w:rsid w:val="316D7123"/>
    <w:rsid w:val="31A21416"/>
    <w:rsid w:val="32C30760"/>
    <w:rsid w:val="32DA4D1C"/>
    <w:rsid w:val="337A64F8"/>
    <w:rsid w:val="33A07BAA"/>
    <w:rsid w:val="33B432F9"/>
    <w:rsid w:val="33DB73AA"/>
    <w:rsid w:val="345026D3"/>
    <w:rsid w:val="34CA7DD8"/>
    <w:rsid w:val="35046067"/>
    <w:rsid w:val="35207C37"/>
    <w:rsid w:val="35270E8A"/>
    <w:rsid w:val="36052FBD"/>
    <w:rsid w:val="3619434D"/>
    <w:rsid w:val="362C33FB"/>
    <w:rsid w:val="363770FC"/>
    <w:rsid w:val="363F2AA0"/>
    <w:rsid w:val="36F9293E"/>
    <w:rsid w:val="37120162"/>
    <w:rsid w:val="37204D62"/>
    <w:rsid w:val="376A0A5D"/>
    <w:rsid w:val="37C74C5D"/>
    <w:rsid w:val="3823381E"/>
    <w:rsid w:val="38AC756D"/>
    <w:rsid w:val="38FA6FB1"/>
    <w:rsid w:val="3BB0223E"/>
    <w:rsid w:val="3BC87435"/>
    <w:rsid w:val="3C29202D"/>
    <w:rsid w:val="3C2C5BDB"/>
    <w:rsid w:val="3C437F63"/>
    <w:rsid w:val="3CCF3194"/>
    <w:rsid w:val="3CD167D9"/>
    <w:rsid w:val="3D0B3851"/>
    <w:rsid w:val="3D0E6DC9"/>
    <w:rsid w:val="3D1C1C7D"/>
    <w:rsid w:val="3D4D6DF5"/>
    <w:rsid w:val="3DC12633"/>
    <w:rsid w:val="3DEE13BC"/>
    <w:rsid w:val="3E093536"/>
    <w:rsid w:val="3E2D148D"/>
    <w:rsid w:val="3E345A47"/>
    <w:rsid w:val="3EC83773"/>
    <w:rsid w:val="3ED55EF6"/>
    <w:rsid w:val="3EED6921"/>
    <w:rsid w:val="3EF216F2"/>
    <w:rsid w:val="3F8631BB"/>
    <w:rsid w:val="405A7271"/>
    <w:rsid w:val="40602F3B"/>
    <w:rsid w:val="406A760B"/>
    <w:rsid w:val="40A6280F"/>
    <w:rsid w:val="411C53E7"/>
    <w:rsid w:val="41637C9C"/>
    <w:rsid w:val="42954A4F"/>
    <w:rsid w:val="433F461C"/>
    <w:rsid w:val="43C922A5"/>
    <w:rsid w:val="43EC050F"/>
    <w:rsid w:val="447831B2"/>
    <w:rsid w:val="44981465"/>
    <w:rsid w:val="44F274E6"/>
    <w:rsid w:val="455E43BD"/>
    <w:rsid w:val="466E645A"/>
    <w:rsid w:val="48490D34"/>
    <w:rsid w:val="485A6A92"/>
    <w:rsid w:val="48966CFB"/>
    <w:rsid w:val="48AE19C1"/>
    <w:rsid w:val="4900340D"/>
    <w:rsid w:val="49370C95"/>
    <w:rsid w:val="496C628B"/>
    <w:rsid w:val="4A0908B2"/>
    <w:rsid w:val="4A292D6C"/>
    <w:rsid w:val="4A356645"/>
    <w:rsid w:val="4A9577EB"/>
    <w:rsid w:val="4AB2539E"/>
    <w:rsid w:val="4B250204"/>
    <w:rsid w:val="4B261B2D"/>
    <w:rsid w:val="4B2676B2"/>
    <w:rsid w:val="4B490BB6"/>
    <w:rsid w:val="4B6D7D0B"/>
    <w:rsid w:val="4BEC4B84"/>
    <w:rsid w:val="4BFB14DE"/>
    <w:rsid w:val="4C521155"/>
    <w:rsid w:val="4CC51B60"/>
    <w:rsid w:val="4D233170"/>
    <w:rsid w:val="4D2918C1"/>
    <w:rsid w:val="4D3F2870"/>
    <w:rsid w:val="4D5C7162"/>
    <w:rsid w:val="4DA247BA"/>
    <w:rsid w:val="4E3A5BF5"/>
    <w:rsid w:val="4E4B02DF"/>
    <w:rsid w:val="4EA556DD"/>
    <w:rsid w:val="4ED56E6D"/>
    <w:rsid w:val="4EF94D59"/>
    <w:rsid w:val="4F645804"/>
    <w:rsid w:val="50154974"/>
    <w:rsid w:val="505700B0"/>
    <w:rsid w:val="505A0100"/>
    <w:rsid w:val="509B4BA5"/>
    <w:rsid w:val="512644B0"/>
    <w:rsid w:val="517C3AEA"/>
    <w:rsid w:val="51811FD2"/>
    <w:rsid w:val="51BF5FD3"/>
    <w:rsid w:val="522478FE"/>
    <w:rsid w:val="529F405B"/>
    <w:rsid w:val="52D62DD0"/>
    <w:rsid w:val="52EA74FF"/>
    <w:rsid w:val="52EE37AE"/>
    <w:rsid w:val="537077FB"/>
    <w:rsid w:val="537A4A4A"/>
    <w:rsid w:val="53A130A5"/>
    <w:rsid w:val="53B80DF4"/>
    <w:rsid w:val="53CE44CD"/>
    <w:rsid w:val="541F2B33"/>
    <w:rsid w:val="543159A9"/>
    <w:rsid w:val="544C4469"/>
    <w:rsid w:val="55161CB0"/>
    <w:rsid w:val="55290ABE"/>
    <w:rsid w:val="55701056"/>
    <w:rsid w:val="563475E2"/>
    <w:rsid w:val="56516A85"/>
    <w:rsid w:val="56626AC1"/>
    <w:rsid w:val="566D4306"/>
    <w:rsid w:val="572D7CBB"/>
    <w:rsid w:val="572F34E8"/>
    <w:rsid w:val="57651888"/>
    <w:rsid w:val="579821ED"/>
    <w:rsid w:val="57C51741"/>
    <w:rsid w:val="57ED0267"/>
    <w:rsid w:val="583F0E20"/>
    <w:rsid w:val="58E47D09"/>
    <w:rsid w:val="59592898"/>
    <w:rsid w:val="5AB96E1E"/>
    <w:rsid w:val="5AD73282"/>
    <w:rsid w:val="5B2C1D25"/>
    <w:rsid w:val="5B59220C"/>
    <w:rsid w:val="5B6A4A5C"/>
    <w:rsid w:val="5B9165ED"/>
    <w:rsid w:val="5B991903"/>
    <w:rsid w:val="5BDD252C"/>
    <w:rsid w:val="5C324A9D"/>
    <w:rsid w:val="5C3E7060"/>
    <w:rsid w:val="5C984E2C"/>
    <w:rsid w:val="5CA07992"/>
    <w:rsid w:val="5CB07599"/>
    <w:rsid w:val="5CDA67FD"/>
    <w:rsid w:val="5CF341D1"/>
    <w:rsid w:val="5D281045"/>
    <w:rsid w:val="5D402E72"/>
    <w:rsid w:val="5D7A0A43"/>
    <w:rsid w:val="5DD05D96"/>
    <w:rsid w:val="5E9E703E"/>
    <w:rsid w:val="5F5A5A86"/>
    <w:rsid w:val="5F9D618A"/>
    <w:rsid w:val="6038313A"/>
    <w:rsid w:val="60994E9C"/>
    <w:rsid w:val="60E14570"/>
    <w:rsid w:val="612A11C5"/>
    <w:rsid w:val="615919E9"/>
    <w:rsid w:val="629308BC"/>
    <w:rsid w:val="63274F35"/>
    <w:rsid w:val="63513761"/>
    <w:rsid w:val="639730D7"/>
    <w:rsid w:val="645360BB"/>
    <w:rsid w:val="64865F24"/>
    <w:rsid w:val="64CD3EE9"/>
    <w:rsid w:val="654A43BF"/>
    <w:rsid w:val="65873D07"/>
    <w:rsid w:val="65C5472F"/>
    <w:rsid w:val="65ED064C"/>
    <w:rsid w:val="66042E18"/>
    <w:rsid w:val="66241600"/>
    <w:rsid w:val="66BE42BB"/>
    <w:rsid w:val="670027FA"/>
    <w:rsid w:val="67760F12"/>
    <w:rsid w:val="67BB4B04"/>
    <w:rsid w:val="6834327A"/>
    <w:rsid w:val="68450F90"/>
    <w:rsid w:val="684707E0"/>
    <w:rsid w:val="68B07CCB"/>
    <w:rsid w:val="68DE7273"/>
    <w:rsid w:val="690E6FE3"/>
    <w:rsid w:val="693643CC"/>
    <w:rsid w:val="69BF453E"/>
    <w:rsid w:val="69E75178"/>
    <w:rsid w:val="6A2E12D4"/>
    <w:rsid w:val="6A6F14C9"/>
    <w:rsid w:val="6A9017BA"/>
    <w:rsid w:val="6B023487"/>
    <w:rsid w:val="6B221387"/>
    <w:rsid w:val="6B3F1A75"/>
    <w:rsid w:val="6C30439D"/>
    <w:rsid w:val="6C31790A"/>
    <w:rsid w:val="6D7921F6"/>
    <w:rsid w:val="6DE24B4B"/>
    <w:rsid w:val="6E131544"/>
    <w:rsid w:val="6E2F6FAF"/>
    <w:rsid w:val="6EFB4CE0"/>
    <w:rsid w:val="6F773C33"/>
    <w:rsid w:val="6FB213DF"/>
    <w:rsid w:val="6FC04FA9"/>
    <w:rsid w:val="6FE651B7"/>
    <w:rsid w:val="6FF11998"/>
    <w:rsid w:val="70380425"/>
    <w:rsid w:val="70866E54"/>
    <w:rsid w:val="71DA0C6E"/>
    <w:rsid w:val="71EA22E3"/>
    <w:rsid w:val="72324813"/>
    <w:rsid w:val="72845671"/>
    <w:rsid w:val="73164021"/>
    <w:rsid w:val="74331E85"/>
    <w:rsid w:val="74651A43"/>
    <w:rsid w:val="746A06F0"/>
    <w:rsid w:val="75345DCA"/>
    <w:rsid w:val="75444222"/>
    <w:rsid w:val="756F211D"/>
    <w:rsid w:val="75E0275B"/>
    <w:rsid w:val="77450955"/>
    <w:rsid w:val="77735990"/>
    <w:rsid w:val="779908AD"/>
    <w:rsid w:val="779B4A66"/>
    <w:rsid w:val="77A760FD"/>
    <w:rsid w:val="77B82E57"/>
    <w:rsid w:val="77F72B69"/>
    <w:rsid w:val="786E4704"/>
    <w:rsid w:val="78994594"/>
    <w:rsid w:val="78B823DF"/>
    <w:rsid w:val="79363D8F"/>
    <w:rsid w:val="796911B3"/>
    <w:rsid w:val="79B8312B"/>
    <w:rsid w:val="79C909CA"/>
    <w:rsid w:val="79DA563D"/>
    <w:rsid w:val="79F02ACA"/>
    <w:rsid w:val="7A7356A2"/>
    <w:rsid w:val="7A8025BA"/>
    <w:rsid w:val="7ABB4DBE"/>
    <w:rsid w:val="7ADB16F7"/>
    <w:rsid w:val="7AE23E68"/>
    <w:rsid w:val="7B6F6D7E"/>
    <w:rsid w:val="7B76718A"/>
    <w:rsid w:val="7BB27356"/>
    <w:rsid w:val="7BC90018"/>
    <w:rsid w:val="7C7B6A79"/>
    <w:rsid w:val="7C8E1331"/>
    <w:rsid w:val="7D0F11CF"/>
    <w:rsid w:val="7D1764B2"/>
    <w:rsid w:val="7D81022A"/>
    <w:rsid w:val="7DC71D5C"/>
    <w:rsid w:val="7DF65808"/>
    <w:rsid w:val="7E057139"/>
    <w:rsid w:val="7E3E5679"/>
    <w:rsid w:val="7EDB7BE9"/>
    <w:rsid w:val="7F681BE7"/>
    <w:rsid w:val="7FDF69A0"/>
    <w:rsid w:val="7FF654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7"/>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45"/>
    <w:qFormat/>
    <w:uiPriority w:val="0"/>
    <w:pPr>
      <w:keepNext/>
      <w:keepLines/>
      <w:spacing w:before="340" w:after="330" w:line="576" w:lineRule="auto"/>
      <w:jc w:val="center"/>
      <w:outlineLvl w:val="0"/>
    </w:pPr>
    <w:rPr>
      <w:b/>
      <w:bCs/>
      <w:kern w:val="44"/>
      <w:sz w:val="36"/>
      <w:szCs w:val="44"/>
      <w:lang w:val="zh-CN"/>
    </w:rPr>
  </w:style>
  <w:style w:type="paragraph" w:styleId="4">
    <w:name w:val="heading 2"/>
    <w:basedOn w:val="1"/>
    <w:next w:val="1"/>
    <w:link w:val="46"/>
    <w:qFormat/>
    <w:uiPriority w:val="0"/>
    <w:pPr>
      <w:keepNext/>
      <w:keepLines/>
      <w:spacing w:before="260" w:after="260" w:line="413" w:lineRule="auto"/>
      <w:outlineLvl w:val="1"/>
    </w:pPr>
    <w:rPr>
      <w:rFonts w:ascii="Arial" w:hAnsi="Arial" w:eastAsia="黑体"/>
      <w:b/>
      <w:bCs/>
      <w:kern w:val="0"/>
      <w:sz w:val="32"/>
      <w:szCs w:val="32"/>
      <w:lang w:val="zh-CN"/>
    </w:rPr>
  </w:style>
  <w:style w:type="paragraph" w:styleId="5">
    <w:name w:val="heading 3"/>
    <w:basedOn w:val="1"/>
    <w:next w:val="1"/>
    <w:link w:val="47"/>
    <w:qFormat/>
    <w:uiPriority w:val="0"/>
    <w:pPr>
      <w:keepNext/>
      <w:keepLines/>
      <w:spacing w:before="260" w:after="260" w:line="413" w:lineRule="auto"/>
      <w:outlineLvl w:val="2"/>
    </w:pPr>
    <w:rPr>
      <w:b/>
      <w:bCs/>
      <w:kern w:val="0"/>
      <w:sz w:val="32"/>
      <w:szCs w:val="32"/>
    </w:rPr>
  </w:style>
  <w:style w:type="paragraph" w:styleId="6">
    <w:name w:val="heading 4"/>
    <w:basedOn w:val="1"/>
    <w:next w:val="1"/>
    <w:link w:val="48"/>
    <w:qFormat/>
    <w:uiPriority w:val="0"/>
    <w:pPr>
      <w:keepNext/>
      <w:spacing w:line="440" w:lineRule="exact"/>
      <w:jc w:val="center"/>
      <w:outlineLvl w:val="3"/>
    </w:pPr>
    <w:rPr>
      <w:rFonts w:ascii="仿宋_GB2312" w:eastAsia="仿宋_GB2312"/>
      <w:kern w:val="0"/>
      <w:szCs w:val="24"/>
    </w:rPr>
  </w:style>
  <w:style w:type="paragraph" w:styleId="7">
    <w:name w:val="heading 5"/>
    <w:basedOn w:val="1"/>
    <w:next w:val="1"/>
    <w:link w:val="49"/>
    <w:qFormat/>
    <w:uiPriority w:val="0"/>
    <w:pPr>
      <w:keepNext/>
      <w:keepLines/>
      <w:numPr>
        <w:ilvl w:val="4"/>
        <w:numId w:val="1"/>
      </w:numPr>
      <w:tabs>
        <w:tab w:val="left" w:pos="1008"/>
      </w:tabs>
      <w:suppressAutoHyphens/>
      <w:spacing w:before="280" w:after="290" w:line="372" w:lineRule="auto"/>
      <w:outlineLvl w:val="4"/>
    </w:pPr>
    <w:rPr>
      <w:rFonts w:ascii="宋体" w:hAnsi="宋体"/>
      <w:b/>
      <w:kern w:val="21"/>
      <w:lang w:eastAsia="ar-SA"/>
    </w:rPr>
  </w:style>
  <w:style w:type="paragraph" w:styleId="8">
    <w:name w:val="heading 6"/>
    <w:basedOn w:val="1"/>
    <w:next w:val="1"/>
    <w:link w:val="50"/>
    <w:qFormat/>
    <w:uiPriority w:val="0"/>
    <w:pPr>
      <w:keepNext/>
      <w:keepLines/>
      <w:numPr>
        <w:ilvl w:val="5"/>
        <w:numId w:val="1"/>
      </w:numPr>
      <w:tabs>
        <w:tab w:val="left" w:pos="1152"/>
      </w:tabs>
      <w:suppressAutoHyphens/>
      <w:spacing w:before="240" w:after="64" w:line="317" w:lineRule="auto"/>
      <w:outlineLvl w:val="5"/>
    </w:pPr>
    <w:rPr>
      <w:rFonts w:ascii="Arial" w:hAnsi="Arial" w:eastAsia="黑体"/>
      <w:b/>
      <w:kern w:val="21"/>
      <w:sz w:val="24"/>
      <w:lang w:eastAsia="ar-SA"/>
    </w:rPr>
  </w:style>
  <w:style w:type="paragraph" w:styleId="9">
    <w:name w:val="heading 7"/>
    <w:basedOn w:val="1"/>
    <w:next w:val="1"/>
    <w:link w:val="51"/>
    <w:qFormat/>
    <w:uiPriority w:val="0"/>
    <w:pPr>
      <w:keepNext/>
      <w:keepLines/>
      <w:numPr>
        <w:ilvl w:val="6"/>
        <w:numId w:val="1"/>
      </w:numPr>
      <w:tabs>
        <w:tab w:val="left" w:pos="1296"/>
      </w:tabs>
      <w:suppressAutoHyphens/>
      <w:spacing w:before="240" w:after="64" w:line="317" w:lineRule="auto"/>
      <w:outlineLvl w:val="6"/>
    </w:pPr>
    <w:rPr>
      <w:rFonts w:ascii="宋体" w:hAnsi="宋体"/>
      <w:b/>
      <w:kern w:val="21"/>
      <w:sz w:val="24"/>
      <w:lang w:eastAsia="ar-SA"/>
    </w:rPr>
  </w:style>
  <w:style w:type="paragraph" w:styleId="10">
    <w:name w:val="heading 8"/>
    <w:basedOn w:val="1"/>
    <w:next w:val="1"/>
    <w:link w:val="52"/>
    <w:qFormat/>
    <w:uiPriority w:val="0"/>
    <w:pPr>
      <w:keepNext/>
      <w:keepLines/>
      <w:numPr>
        <w:ilvl w:val="7"/>
        <w:numId w:val="1"/>
      </w:numPr>
      <w:tabs>
        <w:tab w:val="left" w:pos="1440"/>
      </w:tabs>
      <w:suppressAutoHyphens/>
      <w:spacing w:before="240" w:after="64" w:line="317" w:lineRule="auto"/>
      <w:outlineLvl w:val="7"/>
    </w:pPr>
    <w:rPr>
      <w:rFonts w:ascii="Arial" w:hAnsi="Arial" w:eastAsia="黑体"/>
      <w:kern w:val="21"/>
      <w:sz w:val="24"/>
      <w:lang w:eastAsia="ar-SA"/>
    </w:rPr>
  </w:style>
  <w:style w:type="paragraph" w:styleId="11">
    <w:name w:val="heading 9"/>
    <w:basedOn w:val="1"/>
    <w:next w:val="1"/>
    <w:link w:val="53"/>
    <w:qFormat/>
    <w:uiPriority w:val="0"/>
    <w:pPr>
      <w:keepNext/>
      <w:keepLines/>
      <w:numPr>
        <w:ilvl w:val="8"/>
        <w:numId w:val="1"/>
      </w:numPr>
      <w:tabs>
        <w:tab w:val="left" w:pos="1584"/>
      </w:tabs>
      <w:suppressAutoHyphens/>
      <w:spacing w:before="240" w:after="64" w:line="317" w:lineRule="auto"/>
      <w:outlineLvl w:val="8"/>
    </w:pPr>
    <w:rPr>
      <w:rFonts w:ascii="Arial" w:hAnsi="Arial" w:eastAsia="黑体"/>
      <w:kern w:val="21"/>
      <w:sz w:val="21"/>
      <w:lang w:eastAsia="ar-SA"/>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99"/>
    <w:pPr>
      <w:spacing w:line="480" w:lineRule="auto"/>
    </w:pPr>
  </w:style>
  <w:style w:type="paragraph" w:styleId="12">
    <w:name w:val="Body Text 3"/>
    <w:basedOn w:val="1"/>
    <w:link w:val="61"/>
    <w:qFormat/>
    <w:uiPriority w:val="0"/>
    <w:rPr>
      <w:rFonts w:ascii="黑体" w:hAnsi="Arial" w:eastAsia="黑体"/>
      <w:b/>
      <w:kern w:val="0"/>
    </w:rPr>
  </w:style>
  <w:style w:type="paragraph" w:styleId="13">
    <w:name w:val="Body Text"/>
    <w:basedOn w:val="1"/>
    <w:next w:val="1"/>
    <w:link w:val="84"/>
    <w:unhideWhenUsed/>
    <w:qFormat/>
    <w:uiPriority w:val="99"/>
    <w:pPr>
      <w:spacing w:after="120"/>
    </w:pPr>
    <w:rPr>
      <w:rFonts w:asciiTheme="minorHAnsi" w:hAnsiTheme="minorHAnsi" w:eastAsiaTheme="minorEastAsia" w:cstheme="minorBidi"/>
      <w:sz w:val="21"/>
      <w:szCs w:val="22"/>
    </w:rPr>
  </w:style>
  <w:style w:type="paragraph" w:styleId="14">
    <w:name w:val="Body Text Indent"/>
    <w:basedOn w:val="1"/>
    <w:link w:val="64"/>
    <w:unhideWhenUsed/>
    <w:qFormat/>
    <w:uiPriority w:val="99"/>
    <w:pPr>
      <w:spacing w:after="120"/>
      <w:ind w:left="420" w:leftChars="200"/>
    </w:pPr>
  </w:style>
  <w:style w:type="paragraph" w:styleId="15">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6">
    <w:name w:val="Plain Text"/>
    <w:basedOn w:val="1"/>
    <w:link w:val="56"/>
    <w:qFormat/>
    <w:uiPriority w:val="99"/>
    <w:rPr>
      <w:rFonts w:ascii="宋体" w:hAnsi="Courier New" w:cs="Courier New"/>
      <w:kern w:val="0"/>
      <w:sz w:val="20"/>
      <w:szCs w:val="21"/>
    </w:rPr>
  </w:style>
  <w:style w:type="paragraph" w:styleId="17">
    <w:name w:val="Date"/>
    <w:basedOn w:val="1"/>
    <w:next w:val="1"/>
    <w:link w:val="75"/>
    <w:unhideWhenUsed/>
    <w:qFormat/>
    <w:uiPriority w:val="99"/>
    <w:pPr>
      <w:ind w:left="100" w:leftChars="2500"/>
    </w:pPr>
  </w:style>
  <w:style w:type="paragraph" w:styleId="18">
    <w:name w:val="Balloon Text"/>
    <w:basedOn w:val="1"/>
    <w:link w:val="63"/>
    <w:unhideWhenUsed/>
    <w:qFormat/>
    <w:uiPriority w:val="99"/>
    <w:rPr>
      <w:sz w:val="18"/>
      <w:szCs w:val="18"/>
    </w:rPr>
  </w:style>
  <w:style w:type="paragraph" w:styleId="19">
    <w:name w:val="footer"/>
    <w:basedOn w:val="1"/>
    <w:link w:val="66"/>
    <w:unhideWhenUsed/>
    <w:qFormat/>
    <w:uiPriority w:val="99"/>
    <w:pPr>
      <w:tabs>
        <w:tab w:val="center" w:pos="4153"/>
        <w:tab w:val="right" w:pos="8306"/>
      </w:tabs>
      <w:snapToGrid w:val="0"/>
      <w:jc w:val="left"/>
    </w:pPr>
    <w:rPr>
      <w:sz w:val="18"/>
      <w:szCs w:val="18"/>
    </w:rPr>
  </w:style>
  <w:style w:type="paragraph" w:styleId="20">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b/>
      <w:bCs/>
      <w:caps/>
    </w:rPr>
  </w:style>
  <w:style w:type="paragraph" w:styleId="22">
    <w:name w:val="Subtitle"/>
    <w:basedOn w:val="1"/>
    <w:next w:val="1"/>
    <w:link w:val="55"/>
    <w:qFormat/>
    <w:uiPriority w:val="0"/>
    <w:pPr>
      <w:spacing w:before="240" w:after="60" w:line="312" w:lineRule="auto"/>
      <w:jc w:val="center"/>
      <w:outlineLvl w:val="1"/>
    </w:pPr>
    <w:rPr>
      <w:rFonts w:ascii="Cambria" w:hAnsi="Cambria" w:eastAsia="方正楷体简体"/>
      <w:bCs/>
      <w:kern w:val="28"/>
      <w:sz w:val="20"/>
      <w:szCs w:val="32"/>
    </w:rPr>
  </w:style>
  <w:style w:type="paragraph" w:styleId="23">
    <w:name w:val="toc 2"/>
    <w:basedOn w:val="1"/>
    <w:next w:val="1"/>
    <w:qFormat/>
    <w:uiPriority w:val="39"/>
    <w:pPr>
      <w:ind w:left="420" w:leftChars="200"/>
    </w:pPr>
    <w:rPr>
      <w:sz w:val="24"/>
    </w:rPr>
  </w:style>
  <w:style w:type="paragraph" w:styleId="24">
    <w:name w:val="Normal (Web)"/>
    <w:basedOn w:val="1"/>
    <w:unhideWhenUsed/>
    <w:qFormat/>
    <w:uiPriority w:val="99"/>
    <w:rPr>
      <w:sz w:val="24"/>
    </w:rPr>
  </w:style>
  <w:style w:type="paragraph" w:styleId="25">
    <w:name w:val="Title"/>
    <w:basedOn w:val="1"/>
    <w:next w:val="1"/>
    <w:link w:val="54"/>
    <w:qFormat/>
    <w:uiPriority w:val="99"/>
    <w:pPr>
      <w:spacing w:before="240" w:after="60"/>
      <w:jc w:val="center"/>
      <w:outlineLvl w:val="0"/>
    </w:pPr>
    <w:rPr>
      <w:rFonts w:ascii="Cambria" w:hAnsi="Cambria" w:eastAsia="方正小标宋简体"/>
      <w:b/>
      <w:bCs/>
      <w:kern w:val="0"/>
      <w:sz w:val="44"/>
      <w:szCs w:val="32"/>
    </w:rPr>
  </w:style>
  <w:style w:type="paragraph" w:styleId="26">
    <w:name w:val="Body Text First Indent"/>
    <w:basedOn w:val="13"/>
    <w:link w:val="85"/>
    <w:qFormat/>
    <w:uiPriority w:val="0"/>
    <w:pPr>
      <w:ind w:firstLine="420" w:firstLineChars="100"/>
    </w:pPr>
    <w:rPr>
      <w:rFonts w:ascii="Times New Roman" w:hAnsi="Times New Roman" w:eastAsia="宋体" w:cs="Times New Roman"/>
      <w:szCs w:val="20"/>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rPr>
  </w:style>
  <w:style w:type="character" w:styleId="31">
    <w:name w:val="FollowedHyperlink"/>
    <w:basedOn w:val="29"/>
    <w:unhideWhenUsed/>
    <w:qFormat/>
    <w:uiPriority w:val="99"/>
    <w:rPr>
      <w:color w:val="338DE6"/>
      <w:u w:val="none"/>
    </w:rPr>
  </w:style>
  <w:style w:type="character" w:styleId="32">
    <w:name w:val="Emphasis"/>
    <w:qFormat/>
    <w:uiPriority w:val="0"/>
    <w:rPr>
      <w:rFonts w:hint="default" w:ascii="Times New Roman" w:hAnsi="Times New Roman" w:cs="Times New Roman"/>
    </w:rPr>
  </w:style>
  <w:style w:type="character" w:styleId="33">
    <w:name w:val="HTML Definition"/>
    <w:basedOn w:val="29"/>
    <w:unhideWhenUsed/>
    <w:qFormat/>
    <w:uiPriority w:val="99"/>
  </w:style>
  <w:style w:type="character" w:styleId="34">
    <w:name w:val="HTML Variable"/>
    <w:basedOn w:val="29"/>
    <w:unhideWhenUsed/>
    <w:qFormat/>
    <w:uiPriority w:val="99"/>
  </w:style>
  <w:style w:type="character" w:styleId="35">
    <w:name w:val="Hyperlink"/>
    <w:basedOn w:val="29"/>
    <w:qFormat/>
    <w:uiPriority w:val="99"/>
    <w:rPr>
      <w:color w:val="333333"/>
      <w:u w:val="none"/>
    </w:rPr>
  </w:style>
  <w:style w:type="character" w:styleId="36">
    <w:name w:val="HTML Code"/>
    <w:basedOn w:val="29"/>
    <w:unhideWhenUsed/>
    <w:qFormat/>
    <w:uiPriority w:val="99"/>
    <w:rPr>
      <w:rFonts w:hint="default" w:ascii="serif" w:hAnsi="serif" w:eastAsia="serif" w:cs="serif"/>
      <w:sz w:val="21"/>
      <w:szCs w:val="21"/>
    </w:rPr>
  </w:style>
  <w:style w:type="character" w:styleId="37">
    <w:name w:val="HTML Cite"/>
    <w:basedOn w:val="29"/>
    <w:unhideWhenUsed/>
    <w:qFormat/>
    <w:uiPriority w:val="99"/>
  </w:style>
  <w:style w:type="character" w:styleId="38">
    <w:name w:val="HTML Keyboard"/>
    <w:basedOn w:val="29"/>
    <w:unhideWhenUsed/>
    <w:qFormat/>
    <w:uiPriority w:val="99"/>
    <w:rPr>
      <w:rFonts w:hint="default" w:ascii="serif" w:hAnsi="serif" w:eastAsia="serif" w:cs="serif"/>
      <w:sz w:val="21"/>
      <w:szCs w:val="21"/>
    </w:rPr>
  </w:style>
  <w:style w:type="character" w:styleId="39">
    <w:name w:val="HTML Sample"/>
    <w:basedOn w:val="29"/>
    <w:unhideWhenUsed/>
    <w:qFormat/>
    <w:uiPriority w:val="99"/>
    <w:rPr>
      <w:rFonts w:ascii="serif" w:hAnsi="serif" w:eastAsia="serif" w:cs="serif"/>
      <w:sz w:val="21"/>
      <w:szCs w:val="21"/>
    </w:rPr>
  </w:style>
  <w:style w:type="paragraph" w:customStyle="1" w:styleId="40">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41">
    <w:name w:val="Body Text 21"/>
    <w:basedOn w:val="1"/>
    <w:qFormat/>
    <w:uiPriority w:val="0"/>
    <w:pPr>
      <w:spacing w:after="120" w:afterLines="0" w:afterAutospacing="0" w:line="480" w:lineRule="auto"/>
    </w:pPr>
    <w:rPr>
      <w:rFonts w:ascii="Calibri" w:hAnsi="Calibri" w:eastAsia="宋体" w:cs="Times New Roman"/>
    </w:rPr>
  </w:style>
  <w:style w:type="paragraph" w:customStyle="1" w:styleId="42">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 w:type="paragraph" w:customStyle="1" w:styleId="43">
    <w:name w:val="BodyText"/>
    <w:basedOn w:val="1"/>
    <w:qFormat/>
    <w:uiPriority w:val="0"/>
    <w:pPr>
      <w:tabs>
        <w:tab w:val="left" w:pos="180"/>
      </w:tabs>
      <w:spacing w:line="500" w:lineRule="exact"/>
    </w:pPr>
    <w:rPr>
      <w:sz w:val="32"/>
    </w:rPr>
  </w:style>
  <w:style w:type="paragraph" w:customStyle="1" w:styleId="44">
    <w:name w:val="列出段落1"/>
    <w:basedOn w:val="1"/>
    <w:qFormat/>
    <w:uiPriority w:val="34"/>
    <w:pPr>
      <w:ind w:firstLine="420" w:firstLineChars="200"/>
    </w:pPr>
    <w:rPr>
      <w:rFonts w:ascii="Calibri" w:hAnsi="Calibri"/>
      <w:szCs w:val="22"/>
    </w:rPr>
  </w:style>
  <w:style w:type="character" w:customStyle="1" w:styleId="45">
    <w:name w:val="标题 1 Char"/>
    <w:link w:val="3"/>
    <w:qFormat/>
    <w:uiPriority w:val="0"/>
    <w:rPr>
      <w:rFonts w:ascii="Times New Roman" w:hAnsi="Times New Roman"/>
      <w:b/>
      <w:bCs/>
      <w:kern w:val="44"/>
      <w:sz w:val="36"/>
      <w:szCs w:val="44"/>
      <w:lang w:val="zh-CN" w:eastAsia="zh-CN"/>
    </w:rPr>
  </w:style>
  <w:style w:type="character" w:customStyle="1" w:styleId="46">
    <w:name w:val="标题 2 Char"/>
    <w:link w:val="4"/>
    <w:qFormat/>
    <w:uiPriority w:val="0"/>
    <w:rPr>
      <w:rFonts w:ascii="Arial" w:hAnsi="Arial" w:eastAsia="黑体"/>
      <w:b/>
      <w:bCs/>
      <w:sz w:val="32"/>
      <w:szCs w:val="32"/>
      <w:lang w:val="zh-CN" w:eastAsia="zh-CN"/>
    </w:rPr>
  </w:style>
  <w:style w:type="character" w:customStyle="1" w:styleId="47">
    <w:name w:val="标题 3 Char"/>
    <w:link w:val="5"/>
    <w:qFormat/>
    <w:uiPriority w:val="0"/>
    <w:rPr>
      <w:rFonts w:ascii="Times New Roman" w:hAnsi="Times New Roman"/>
      <w:b/>
      <w:bCs/>
      <w:sz w:val="32"/>
      <w:szCs w:val="32"/>
    </w:rPr>
  </w:style>
  <w:style w:type="character" w:customStyle="1" w:styleId="48">
    <w:name w:val="标题 4 Char"/>
    <w:link w:val="6"/>
    <w:qFormat/>
    <w:uiPriority w:val="0"/>
    <w:rPr>
      <w:rFonts w:ascii="仿宋_GB2312" w:hAnsi="Times New Roman" w:eastAsia="仿宋_GB2312"/>
      <w:sz w:val="28"/>
      <w:szCs w:val="24"/>
    </w:rPr>
  </w:style>
  <w:style w:type="character" w:customStyle="1" w:styleId="49">
    <w:name w:val="标题 5 Char"/>
    <w:link w:val="7"/>
    <w:qFormat/>
    <w:uiPriority w:val="0"/>
    <w:rPr>
      <w:rFonts w:ascii="宋体" w:hAnsi="宋体"/>
      <w:b/>
      <w:kern w:val="21"/>
      <w:sz w:val="28"/>
      <w:lang w:eastAsia="ar-SA"/>
    </w:rPr>
  </w:style>
  <w:style w:type="character" w:customStyle="1" w:styleId="50">
    <w:name w:val="标题 6 Char"/>
    <w:link w:val="8"/>
    <w:qFormat/>
    <w:uiPriority w:val="0"/>
    <w:rPr>
      <w:rFonts w:ascii="Arial" w:hAnsi="Arial" w:eastAsia="黑体"/>
      <w:b/>
      <w:kern w:val="21"/>
      <w:sz w:val="24"/>
      <w:lang w:eastAsia="ar-SA"/>
    </w:rPr>
  </w:style>
  <w:style w:type="character" w:customStyle="1" w:styleId="51">
    <w:name w:val="标题 7 Char"/>
    <w:link w:val="9"/>
    <w:qFormat/>
    <w:uiPriority w:val="0"/>
    <w:rPr>
      <w:rFonts w:ascii="宋体" w:hAnsi="宋体"/>
      <w:b/>
      <w:kern w:val="21"/>
      <w:sz w:val="24"/>
      <w:lang w:eastAsia="ar-SA"/>
    </w:rPr>
  </w:style>
  <w:style w:type="character" w:customStyle="1" w:styleId="52">
    <w:name w:val="标题 8 Char"/>
    <w:link w:val="10"/>
    <w:qFormat/>
    <w:uiPriority w:val="0"/>
    <w:rPr>
      <w:rFonts w:ascii="Arial" w:hAnsi="Arial" w:eastAsia="黑体"/>
      <w:kern w:val="21"/>
      <w:sz w:val="24"/>
      <w:lang w:eastAsia="ar-SA"/>
    </w:rPr>
  </w:style>
  <w:style w:type="character" w:customStyle="1" w:styleId="53">
    <w:name w:val="标题 9 Char"/>
    <w:link w:val="11"/>
    <w:qFormat/>
    <w:uiPriority w:val="0"/>
    <w:rPr>
      <w:rFonts w:ascii="Arial" w:hAnsi="Arial" w:eastAsia="黑体"/>
      <w:kern w:val="21"/>
      <w:sz w:val="21"/>
      <w:lang w:eastAsia="ar-SA"/>
    </w:rPr>
  </w:style>
  <w:style w:type="character" w:customStyle="1" w:styleId="54">
    <w:name w:val="标题 Char"/>
    <w:link w:val="25"/>
    <w:qFormat/>
    <w:uiPriority w:val="99"/>
    <w:rPr>
      <w:rFonts w:ascii="Cambria" w:hAnsi="Cambria" w:eastAsia="方正小标宋简体"/>
      <w:b/>
      <w:bCs/>
      <w:sz w:val="44"/>
      <w:szCs w:val="32"/>
    </w:rPr>
  </w:style>
  <w:style w:type="character" w:customStyle="1" w:styleId="55">
    <w:name w:val="副标题 Char"/>
    <w:link w:val="22"/>
    <w:qFormat/>
    <w:uiPriority w:val="0"/>
    <w:rPr>
      <w:rFonts w:ascii="Cambria" w:hAnsi="Cambria" w:eastAsia="方正楷体简体"/>
      <w:bCs/>
      <w:kern w:val="28"/>
      <w:szCs w:val="32"/>
    </w:rPr>
  </w:style>
  <w:style w:type="character" w:customStyle="1" w:styleId="56">
    <w:name w:val="纯文本 Char"/>
    <w:link w:val="16"/>
    <w:qFormat/>
    <w:uiPriority w:val="99"/>
    <w:rPr>
      <w:rFonts w:ascii="宋体" w:hAnsi="Courier New" w:cs="Courier New"/>
      <w:szCs w:val="21"/>
    </w:rPr>
  </w:style>
  <w:style w:type="paragraph" w:customStyle="1" w:styleId="57">
    <w:name w:val="无间隔1"/>
    <w:link w:val="58"/>
    <w:qFormat/>
    <w:uiPriority w:val="0"/>
    <w:rPr>
      <w:rFonts w:ascii="Calibri" w:hAnsi="Calibri" w:eastAsia="宋体" w:cs="Times New Roman"/>
      <w:sz w:val="22"/>
      <w:lang w:val="en-US" w:eastAsia="zh-CN" w:bidi="ar-SA"/>
    </w:rPr>
  </w:style>
  <w:style w:type="character" w:customStyle="1" w:styleId="58">
    <w:name w:val="无间隔 Char"/>
    <w:link w:val="57"/>
    <w:qFormat/>
    <w:uiPriority w:val="0"/>
    <w:rPr>
      <w:sz w:val="22"/>
    </w:rPr>
  </w:style>
  <w:style w:type="paragraph" w:customStyle="1" w:styleId="59">
    <w:name w:val="列出段落2"/>
    <w:basedOn w:val="1"/>
    <w:qFormat/>
    <w:uiPriority w:val="34"/>
    <w:pPr>
      <w:ind w:firstLine="420" w:firstLineChars="200"/>
    </w:pPr>
    <w:rPr>
      <w:szCs w:val="21"/>
    </w:rPr>
  </w:style>
  <w:style w:type="paragraph" w:customStyle="1" w:styleId="60">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61">
    <w:name w:val="正文文本 3 Char"/>
    <w:link w:val="12"/>
    <w:qFormat/>
    <w:uiPriority w:val="0"/>
    <w:rPr>
      <w:rFonts w:ascii="黑体" w:hAnsi="Arial" w:eastAsia="黑体"/>
      <w:b/>
      <w:sz w:val="28"/>
    </w:rPr>
  </w:style>
  <w:style w:type="character" w:customStyle="1" w:styleId="62">
    <w:name w:val="正文文本 3 Char1"/>
    <w:basedOn w:val="29"/>
    <w:semiHidden/>
    <w:qFormat/>
    <w:uiPriority w:val="99"/>
    <w:rPr>
      <w:rFonts w:ascii="Times New Roman" w:hAnsi="Times New Roman"/>
      <w:kern w:val="2"/>
      <w:sz w:val="16"/>
      <w:szCs w:val="16"/>
    </w:rPr>
  </w:style>
  <w:style w:type="character" w:customStyle="1" w:styleId="63">
    <w:name w:val="批注框文本 Char"/>
    <w:basedOn w:val="29"/>
    <w:link w:val="18"/>
    <w:semiHidden/>
    <w:qFormat/>
    <w:uiPriority w:val="99"/>
    <w:rPr>
      <w:rFonts w:ascii="Times New Roman" w:hAnsi="Times New Roman"/>
      <w:kern w:val="2"/>
      <w:sz w:val="18"/>
      <w:szCs w:val="18"/>
    </w:rPr>
  </w:style>
  <w:style w:type="character" w:customStyle="1" w:styleId="64">
    <w:name w:val="正文文本缩进 Char"/>
    <w:basedOn w:val="29"/>
    <w:link w:val="14"/>
    <w:semiHidden/>
    <w:qFormat/>
    <w:uiPriority w:val="99"/>
    <w:rPr>
      <w:rFonts w:ascii="Times New Roman" w:hAnsi="Times New Roman"/>
      <w:kern w:val="2"/>
      <w:sz w:val="28"/>
    </w:rPr>
  </w:style>
  <w:style w:type="character" w:customStyle="1" w:styleId="65">
    <w:name w:val="页眉 Char"/>
    <w:basedOn w:val="29"/>
    <w:link w:val="20"/>
    <w:qFormat/>
    <w:uiPriority w:val="99"/>
    <w:rPr>
      <w:rFonts w:ascii="Times New Roman" w:hAnsi="Times New Roman"/>
      <w:kern w:val="2"/>
      <w:sz w:val="18"/>
      <w:szCs w:val="18"/>
    </w:rPr>
  </w:style>
  <w:style w:type="character" w:customStyle="1" w:styleId="66">
    <w:name w:val="页脚 Char"/>
    <w:basedOn w:val="29"/>
    <w:link w:val="19"/>
    <w:qFormat/>
    <w:uiPriority w:val="99"/>
    <w:rPr>
      <w:rFonts w:ascii="Times New Roman" w:hAnsi="Times New Roman"/>
      <w:kern w:val="2"/>
      <w:sz w:val="18"/>
      <w:szCs w:val="18"/>
    </w:rPr>
  </w:style>
  <w:style w:type="paragraph" w:customStyle="1" w:styleId="6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8">
    <w:name w:val="fontstrikethrough"/>
    <w:basedOn w:val="29"/>
    <w:qFormat/>
    <w:uiPriority w:val="0"/>
    <w:rPr>
      <w:strike/>
    </w:rPr>
  </w:style>
  <w:style w:type="character" w:customStyle="1" w:styleId="69">
    <w:name w:val="fontborder"/>
    <w:basedOn w:val="29"/>
    <w:qFormat/>
    <w:uiPriority w:val="0"/>
    <w:rPr>
      <w:bdr w:val="single" w:color="000000" w:sz="6" w:space="0"/>
    </w:rPr>
  </w:style>
  <w:style w:type="character" w:customStyle="1" w:styleId="70">
    <w:name w:val="font31"/>
    <w:basedOn w:val="29"/>
    <w:qFormat/>
    <w:uiPriority w:val="0"/>
    <w:rPr>
      <w:rFonts w:hint="eastAsia" w:ascii="宋体" w:hAnsi="宋体" w:eastAsia="宋体" w:cs="宋体"/>
      <w:color w:val="000000"/>
      <w:sz w:val="20"/>
      <w:szCs w:val="20"/>
      <w:u w:val="none"/>
    </w:rPr>
  </w:style>
  <w:style w:type="character" w:customStyle="1" w:styleId="71">
    <w:name w:val="font101"/>
    <w:basedOn w:val="29"/>
    <w:qFormat/>
    <w:uiPriority w:val="0"/>
    <w:rPr>
      <w:rFonts w:hint="eastAsia" w:ascii="宋体" w:hAnsi="宋体" w:eastAsia="宋体" w:cs="宋体"/>
      <w:color w:val="000000"/>
      <w:sz w:val="20"/>
      <w:szCs w:val="20"/>
      <w:u w:val="none"/>
    </w:rPr>
  </w:style>
  <w:style w:type="character" w:customStyle="1" w:styleId="72">
    <w:name w:val="font131"/>
    <w:basedOn w:val="29"/>
    <w:qFormat/>
    <w:uiPriority w:val="0"/>
    <w:rPr>
      <w:rFonts w:hint="eastAsia" w:ascii="宋体" w:hAnsi="宋体" w:eastAsia="宋体" w:cs="宋体"/>
      <w:color w:val="000000"/>
      <w:sz w:val="20"/>
      <w:szCs w:val="20"/>
      <w:u w:val="none"/>
    </w:rPr>
  </w:style>
  <w:style w:type="character" w:customStyle="1" w:styleId="73">
    <w:name w:val="font41"/>
    <w:basedOn w:val="29"/>
    <w:qFormat/>
    <w:uiPriority w:val="0"/>
    <w:rPr>
      <w:rFonts w:ascii="Arial" w:hAnsi="Arial" w:cs="Arial"/>
      <w:color w:val="000000"/>
      <w:sz w:val="20"/>
      <w:szCs w:val="20"/>
      <w:u w:val="none"/>
    </w:rPr>
  </w:style>
  <w:style w:type="paragraph" w:customStyle="1" w:styleId="74">
    <w:name w:val="WPSOffice手动目录 1"/>
    <w:qFormat/>
    <w:uiPriority w:val="0"/>
    <w:rPr>
      <w:rFonts w:ascii="Times New Roman" w:hAnsi="Times New Roman" w:eastAsia="宋体" w:cs="Times New Roman"/>
      <w:lang w:val="en-US" w:eastAsia="zh-CN" w:bidi="ar-SA"/>
    </w:rPr>
  </w:style>
  <w:style w:type="character" w:customStyle="1" w:styleId="75">
    <w:name w:val="日期 Char"/>
    <w:basedOn w:val="29"/>
    <w:link w:val="17"/>
    <w:semiHidden/>
    <w:qFormat/>
    <w:uiPriority w:val="99"/>
    <w:rPr>
      <w:rFonts w:ascii="Times New Roman" w:hAnsi="Times New Roman" w:eastAsia="宋体" w:cs="Times New Roman"/>
      <w:kern w:val="2"/>
      <w:sz w:val="28"/>
    </w:rPr>
  </w:style>
  <w:style w:type="paragraph" w:customStyle="1" w:styleId="76">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lang w:val="en-US"/>
    </w:rPr>
  </w:style>
  <w:style w:type="character" w:customStyle="1" w:styleId="77">
    <w:name w:val="font11"/>
    <w:basedOn w:val="29"/>
    <w:qFormat/>
    <w:uiPriority w:val="0"/>
    <w:rPr>
      <w:rFonts w:hint="eastAsia" w:ascii="宋体" w:hAnsi="宋体" w:eastAsia="宋体" w:cs="宋体"/>
      <w:color w:val="000000"/>
      <w:sz w:val="22"/>
      <w:szCs w:val="22"/>
      <w:u w:val="none"/>
    </w:rPr>
  </w:style>
  <w:style w:type="paragraph" w:customStyle="1" w:styleId="78">
    <w:name w:val="正文文本 21"/>
    <w:basedOn w:val="1"/>
    <w:qFormat/>
    <w:uiPriority w:val="0"/>
    <w:pPr>
      <w:spacing w:after="120" w:line="480" w:lineRule="auto"/>
    </w:pPr>
    <w:rPr>
      <w:kern w:val="0"/>
      <w:sz w:val="20"/>
    </w:rPr>
  </w:style>
  <w:style w:type="paragraph" w:customStyle="1" w:styleId="79">
    <w:name w:val="Table Paragraph"/>
    <w:basedOn w:val="1"/>
    <w:qFormat/>
    <w:uiPriority w:val="1"/>
    <w:pPr>
      <w:autoSpaceDE w:val="0"/>
      <w:autoSpaceDN w:val="0"/>
      <w:adjustRightInd w:val="0"/>
      <w:jc w:val="left"/>
    </w:pPr>
    <w:rPr>
      <w:rFonts w:eastAsiaTheme="minorEastAsia"/>
      <w:kern w:val="0"/>
      <w:sz w:val="24"/>
      <w:szCs w:val="24"/>
    </w:rPr>
  </w:style>
  <w:style w:type="paragraph" w:customStyle="1" w:styleId="80">
    <w:name w:val="无间隔11"/>
    <w:link w:val="81"/>
    <w:qFormat/>
    <w:uiPriority w:val="99"/>
    <w:rPr>
      <w:rFonts w:ascii="Times New Roman" w:hAnsi="Times New Roman" w:eastAsia="宋体" w:cs="Times New Roman"/>
      <w:sz w:val="22"/>
      <w:lang w:val="en-US" w:eastAsia="zh-CN" w:bidi="ar-SA"/>
    </w:rPr>
  </w:style>
  <w:style w:type="character" w:customStyle="1" w:styleId="81">
    <w:name w:val="No Spacing Char"/>
    <w:link w:val="80"/>
    <w:qFormat/>
    <w:locked/>
    <w:uiPriority w:val="99"/>
    <w:rPr>
      <w:sz w:val="22"/>
    </w:rPr>
  </w:style>
  <w:style w:type="paragraph" w:customStyle="1" w:styleId="82">
    <w:name w:val="formwork_titleleft2"/>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3">
    <w:name w:val="apple-converted-space"/>
    <w:basedOn w:val="29"/>
    <w:qFormat/>
    <w:uiPriority w:val="0"/>
  </w:style>
  <w:style w:type="character" w:customStyle="1" w:styleId="84">
    <w:name w:val="正文文本 Char"/>
    <w:basedOn w:val="29"/>
    <w:link w:val="13"/>
    <w:semiHidden/>
    <w:qFormat/>
    <w:uiPriority w:val="99"/>
    <w:rPr>
      <w:rFonts w:asciiTheme="minorHAnsi" w:hAnsiTheme="minorHAnsi" w:eastAsiaTheme="minorEastAsia" w:cstheme="minorBidi"/>
      <w:kern w:val="2"/>
      <w:sz w:val="21"/>
      <w:szCs w:val="22"/>
    </w:rPr>
  </w:style>
  <w:style w:type="character" w:customStyle="1" w:styleId="85">
    <w:name w:val="正文首行缩进 Char"/>
    <w:basedOn w:val="84"/>
    <w:link w:val="26"/>
    <w:qFormat/>
    <w:uiPriority w:val="0"/>
  </w:style>
  <w:style w:type="paragraph" w:customStyle="1" w:styleId="86">
    <w:name w:val="List Paragraph"/>
    <w:basedOn w:val="1"/>
    <w:unhideWhenUsed/>
    <w:qFormat/>
    <w:uiPriority w:val="99"/>
    <w:pPr>
      <w:ind w:firstLine="420" w:firstLineChars="200"/>
    </w:pPr>
  </w:style>
  <w:style w:type="character" w:customStyle="1" w:styleId="87">
    <w:name w:val="NormalCharacter"/>
    <w:link w:val="1"/>
    <w:qFormat/>
    <w:uiPriority w:val="0"/>
    <w:rPr>
      <w:rFonts w:ascii="Times New Roman" w:hAnsi="Times New Roman" w:eastAsia="宋体" w:cs="Times New Roman"/>
      <w:kern w:val="2"/>
      <w:sz w:val="28"/>
      <w:lang w:val="en-US" w:eastAsia="zh-CN" w:bidi="ar-SA"/>
    </w:rPr>
  </w:style>
  <w:style w:type="character" w:customStyle="1" w:styleId="88">
    <w:name w:val="UserStyle_1"/>
    <w:link w:val="89"/>
    <w:qFormat/>
    <w:uiPriority w:val="0"/>
    <w:rPr>
      <w:rFonts w:ascii="Arial" w:hAnsi="Arial" w:eastAsia="黑体"/>
      <w:b/>
      <w:sz w:val="32"/>
    </w:rPr>
  </w:style>
  <w:style w:type="paragraph" w:customStyle="1" w:styleId="89">
    <w:name w:val="Heading2"/>
    <w:basedOn w:val="1"/>
    <w:next w:val="1"/>
    <w:link w:val="88"/>
    <w:qFormat/>
    <w:uiPriority w:val="0"/>
    <w:pPr>
      <w:keepNext/>
      <w:keepLines/>
      <w:spacing w:before="260" w:after="260"/>
      <w:jc w:val="center"/>
    </w:pPr>
    <w:rPr>
      <w:rFonts w:ascii="Arial" w:hAnsi="Arial" w:eastAsia="黑体"/>
      <w:b/>
      <w:sz w:val="32"/>
    </w:rPr>
  </w:style>
  <w:style w:type="paragraph" w:customStyle="1" w:styleId="90">
    <w:name w:val="PlainText"/>
    <w:basedOn w:val="1"/>
    <w:qFormat/>
    <w:uiPriority w:val="0"/>
    <w:rPr>
      <w:rFonts w:ascii="宋体" w:hAnsi="Courier New"/>
      <w:szCs w:val="21"/>
    </w:rPr>
  </w:style>
  <w:style w:type="paragraph" w:customStyle="1" w:styleId="91">
    <w:name w:val="UserStyle_6"/>
    <w:basedOn w:val="1"/>
    <w:qFormat/>
    <w:uiPriority w:val="0"/>
    <w:pPr>
      <w:spacing w:after="120" w:line="480" w:lineRule="auto"/>
      <w:ind w:left="420" w:leftChars="200"/>
    </w:pPr>
  </w:style>
  <w:style w:type="paragraph" w:customStyle="1" w:styleId="92">
    <w:name w:val="Normal_1"/>
    <w:qFormat/>
    <w:uiPriority w:val="0"/>
    <w:rPr>
      <w:rFonts w:asciiTheme="minorHAnsi" w:hAnsiTheme="minorHAnsi" w:eastAsiaTheme="minorEastAsia" w:cstheme="minorBidi"/>
      <w:sz w:val="24"/>
      <w:szCs w:val="24"/>
      <w:lang w:val="en-US" w:eastAsia="zh-CN" w:bidi="ar-SA"/>
    </w:rPr>
  </w:style>
  <w:style w:type="paragraph" w:customStyle="1" w:styleId="93">
    <w:name w:val="正文文本缩进 22"/>
    <w:basedOn w:val="1"/>
    <w:qFormat/>
    <w:uiPriority w:val="0"/>
    <w:pPr>
      <w:spacing w:line="480" w:lineRule="auto"/>
      <w:ind w:left="420" w:left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DCD98D-EEAE-44B8-91F0-B823AC7DB31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70</Pages>
  <Words>5814</Words>
  <Characters>33145</Characters>
  <Lines>276</Lines>
  <Paragraphs>77</Paragraphs>
  <TotalTime>1</TotalTime>
  <ScaleCrop>false</ScaleCrop>
  <LinksUpToDate>false</LinksUpToDate>
  <CharactersWithSpaces>38882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2018-11-07T09:22:00Z</dcterms:created>
  <dc:creator>Administrator</dc:creator>
  <cp:lastModifiedBy>♔ ゛S</cp:lastModifiedBy>
  <cp:lastPrinted>2020-04-03T08:52:00Z</cp:lastPrinted>
  <dcterms:modified xsi:type="dcterms:W3CDTF">2020-04-03T09:14:20Z</dcterms:modified>
  <cp:revision>289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