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hint="eastAsia" w:ascii="宋体" w:hAnsi="宋体"/>
          <w:b/>
          <w:bCs/>
          <w:color w:val="000000"/>
          <w:spacing w:val="36"/>
          <w:w w:val="66"/>
          <w:sz w:val="52"/>
          <w:szCs w:val="52"/>
          <w:lang w:eastAsia="zh-CN"/>
        </w:rPr>
      </w:pPr>
    </w:p>
    <w:p>
      <w:pPr>
        <w:pStyle w:val="5"/>
        <w:bidi w:val="0"/>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eastAsia="zh-CN"/>
        </w:rPr>
        <w:t>鄂托克前旗农牧业综合开发中心</w:t>
      </w:r>
      <w:r>
        <w:rPr>
          <w:rFonts w:hint="eastAsia" w:asciiTheme="minorEastAsia" w:hAnsiTheme="minorEastAsia" w:eastAsiaTheme="minorEastAsia" w:cstheme="minorEastAsia"/>
          <w:b w:val="0"/>
          <w:bCs w:val="0"/>
          <w:sz w:val="28"/>
          <w:szCs w:val="28"/>
          <w:lang w:val="en-US" w:eastAsia="zh-CN"/>
        </w:rPr>
        <w:t>采购</w:t>
      </w:r>
      <w:r>
        <w:rPr>
          <w:rFonts w:hint="eastAsia" w:asciiTheme="minorEastAsia" w:hAnsiTheme="minorEastAsia" w:eastAsiaTheme="minorEastAsia" w:cstheme="minorEastAsia"/>
          <w:b w:val="0"/>
          <w:bCs w:val="0"/>
          <w:sz w:val="28"/>
          <w:szCs w:val="28"/>
          <w:lang w:eastAsia="zh-CN"/>
        </w:rPr>
        <w:t>十二五以来高标准农田建设评估及上图入库工作项目</w:t>
      </w:r>
    </w:p>
    <w:p>
      <w:pPr>
        <w:tabs>
          <w:tab w:val="left" w:pos="315"/>
          <w:tab w:val="left" w:pos="8820"/>
        </w:tabs>
        <w:spacing w:line="360" w:lineRule="auto"/>
        <w:ind w:right="356" w:rightChars="127"/>
        <w:rPr>
          <w:rFonts w:ascii="宋体" w:hAnsi="宋体"/>
          <w:b/>
          <w:bCs/>
          <w:color w:val="000000"/>
          <w:sz w:val="72"/>
          <w:szCs w:val="72"/>
        </w:rPr>
      </w:pPr>
    </w:p>
    <w:p>
      <w:pPr>
        <w:tabs>
          <w:tab w:val="left" w:pos="315"/>
          <w:tab w:val="left" w:pos="8820"/>
        </w:tabs>
        <w:spacing w:line="360" w:lineRule="auto"/>
        <w:ind w:right="356" w:rightChars="127"/>
        <w:jc w:val="center"/>
        <w:rPr>
          <w:rFonts w:ascii="宋体" w:hAnsi="宋体"/>
          <w:b/>
          <w:bCs/>
          <w:color w:val="000000"/>
          <w:sz w:val="72"/>
          <w:szCs w:val="72"/>
        </w:rPr>
      </w:pPr>
      <w:r>
        <w:rPr>
          <w:rFonts w:hint="eastAsia" w:ascii="宋体" w:hAnsi="宋体"/>
          <w:b/>
          <w:bCs/>
          <w:color w:val="000000"/>
          <w:sz w:val="72"/>
          <w:szCs w:val="72"/>
        </w:rPr>
        <w:t>磋 商 文 件</w:t>
      </w:r>
    </w:p>
    <w:p>
      <w:pPr>
        <w:tabs>
          <w:tab w:val="left" w:pos="315"/>
          <w:tab w:val="left" w:pos="8820"/>
        </w:tabs>
        <w:spacing w:line="360" w:lineRule="auto"/>
        <w:ind w:right="356" w:rightChars="127"/>
        <w:jc w:val="center"/>
        <w:rPr>
          <w:rFonts w:ascii="宋体" w:hAnsi="宋体"/>
          <w:b/>
          <w:color w:val="000000"/>
          <w:kern w:val="0"/>
          <w:szCs w:val="28"/>
          <w:lang w:val="zh-CN"/>
        </w:rPr>
      </w:pPr>
      <w:r>
        <w:rPr>
          <w:rFonts w:hint="eastAsia" w:ascii="宋体" w:hAnsi="宋体" w:eastAsia="宋体"/>
          <w:b w:val="0"/>
          <w:bCs/>
          <w:color w:val="000000"/>
          <w:szCs w:val="28"/>
          <w:lang w:val="en-US" w:eastAsia="zh-CN"/>
        </w:rPr>
        <w:t>项目编号：</w:t>
      </w:r>
      <w:r>
        <w:rPr>
          <w:rFonts w:hint="eastAsia" w:ascii="宋体" w:hAnsi="宋体"/>
          <w:b w:val="0"/>
          <w:bCs/>
          <w:color w:val="0000FF"/>
          <w:szCs w:val="28"/>
          <w:lang w:eastAsia="zh-CN"/>
        </w:rPr>
        <w:t>CG2020FCS098</w:t>
      </w:r>
    </w:p>
    <w:p>
      <w:pPr>
        <w:tabs>
          <w:tab w:val="left" w:pos="315"/>
          <w:tab w:val="left" w:pos="8820"/>
        </w:tabs>
        <w:spacing w:line="360" w:lineRule="auto"/>
        <w:ind w:right="356" w:rightChars="127"/>
        <w:jc w:val="both"/>
        <w:rPr>
          <w:rFonts w:ascii="宋体" w:hAnsi="宋体"/>
          <w:color w:val="000000"/>
          <w:szCs w:val="28"/>
        </w:rPr>
      </w:pPr>
    </w:p>
    <w:p>
      <w:pPr>
        <w:tabs>
          <w:tab w:val="left" w:pos="315"/>
          <w:tab w:val="left" w:pos="8820"/>
        </w:tabs>
        <w:spacing w:before="312" w:beforeLines="100" w:after="156" w:afterLines="50" w:line="360" w:lineRule="auto"/>
        <w:ind w:right="356" w:rightChars="127"/>
        <w:jc w:val="center"/>
        <w:rPr>
          <w:rFonts w:hint="eastAsia" w:ascii="宋体" w:hAnsi="宋体" w:eastAsia="宋体"/>
          <w:b w:val="0"/>
          <w:bCs/>
          <w:color w:val="000000"/>
          <w:szCs w:val="28"/>
          <w:lang w:eastAsia="zh-CN"/>
        </w:rPr>
      </w:pPr>
      <w:r>
        <w:rPr>
          <w:rFonts w:hint="eastAsia" w:ascii="宋体" w:hAnsi="宋体"/>
          <w:b w:val="0"/>
          <w:bCs/>
          <w:color w:val="000000"/>
          <w:szCs w:val="28"/>
        </w:rPr>
        <w:t>2020年</w:t>
      </w:r>
      <w:r>
        <w:rPr>
          <w:rFonts w:hint="eastAsia" w:ascii="宋体" w:hAnsi="宋体"/>
          <w:b w:val="0"/>
          <w:bCs/>
          <w:color w:val="000000"/>
          <w:szCs w:val="28"/>
          <w:lang w:val="en-US" w:eastAsia="zh-CN"/>
        </w:rPr>
        <w:t>服务类</w:t>
      </w:r>
    </w:p>
    <w:p>
      <w:pPr>
        <w:tabs>
          <w:tab w:val="left" w:pos="315"/>
          <w:tab w:val="left" w:pos="8820"/>
        </w:tabs>
        <w:spacing w:line="360" w:lineRule="auto"/>
        <w:ind w:right="356" w:rightChars="127"/>
        <w:rPr>
          <w:rFonts w:ascii="宋体" w:hAnsi="宋体"/>
          <w:color w:val="000000"/>
          <w:szCs w:val="28"/>
        </w:rPr>
      </w:pPr>
    </w:p>
    <w:p>
      <w:pPr>
        <w:pStyle w:val="23"/>
        <w:rPr>
          <w:rFonts w:ascii="宋体" w:hAnsi="宋体"/>
          <w:color w:val="000000"/>
          <w:szCs w:val="28"/>
        </w:rPr>
      </w:pPr>
    </w:p>
    <w:p>
      <w:pPr>
        <w:pStyle w:val="23"/>
        <w:rPr>
          <w:rFonts w:ascii="宋体" w:hAnsi="宋体"/>
          <w:color w:val="000000"/>
          <w:szCs w:val="28"/>
        </w:rPr>
      </w:pPr>
    </w:p>
    <w:p>
      <w:pPr>
        <w:pStyle w:val="23"/>
        <w:rPr>
          <w:rFonts w:ascii="宋体" w:hAnsi="宋体"/>
          <w:color w:val="000000"/>
          <w:szCs w:val="28"/>
        </w:rPr>
      </w:pPr>
    </w:p>
    <w:p>
      <w:pPr>
        <w:tabs>
          <w:tab w:val="left" w:pos="315"/>
          <w:tab w:val="left" w:pos="8820"/>
        </w:tabs>
        <w:spacing w:line="360" w:lineRule="auto"/>
        <w:ind w:right="356" w:rightChars="127"/>
        <w:rPr>
          <w:rFonts w:ascii="宋体" w:hAnsi="宋体"/>
          <w:color w:val="000000"/>
          <w:szCs w:val="28"/>
        </w:rPr>
      </w:pPr>
    </w:p>
    <w:p>
      <w:pPr>
        <w:pStyle w:val="13"/>
        <w:spacing w:line="360" w:lineRule="auto"/>
        <w:ind w:left="2470" w:leftChars="337" w:hanging="1526" w:hangingChars="545"/>
        <w:rPr>
          <w:rFonts w:hint="eastAsia" w:ascii="宋体" w:hAnsi="宋体" w:eastAsia="宋体"/>
          <w:b w:val="0"/>
          <w:bCs/>
          <w:color w:val="000000"/>
          <w:szCs w:val="28"/>
          <w:lang w:eastAsia="zh-CN"/>
        </w:rPr>
      </w:pPr>
      <w:r>
        <w:rPr>
          <w:rFonts w:hint="eastAsia" w:ascii="宋体" w:hAnsi="宋体" w:eastAsia="宋体"/>
          <w:b w:val="0"/>
          <w:bCs/>
          <w:color w:val="000000"/>
          <w:szCs w:val="28"/>
          <w:lang w:val="en-US" w:eastAsia="zh-CN"/>
        </w:rPr>
        <w:t>采购人</w:t>
      </w:r>
      <w:r>
        <w:rPr>
          <w:rFonts w:hint="eastAsia" w:ascii="宋体" w:hAnsi="宋体" w:eastAsia="宋体"/>
          <w:b w:val="0"/>
          <w:bCs/>
          <w:color w:val="000000"/>
          <w:szCs w:val="28"/>
        </w:rPr>
        <w:t>：</w:t>
      </w:r>
      <w:r>
        <w:rPr>
          <w:rFonts w:hint="eastAsia" w:ascii="宋体" w:hAnsi="宋体" w:eastAsia="宋体"/>
          <w:b w:val="0"/>
          <w:bCs/>
          <w:color w:val="000000"/>
          <w:szCs w:val="28"/>
          <w:lang w:eastAsia="zh-CN"/>
        </w:rPr>
        <w:t>鄂托克前旗农牧业综合开发中心</w:t>
      </w:r>
    </w:p>
    <w:p>
      <w:pPr>
        <w:pStyle w:val="13"/>
        <w:spacing w:line="360" w:lineRule="auto"/>
        <w:ind w:left="2330" w:leftChars="337" w:hanging="1386" w:hangingChars="495"/>
        <w:rPr>
          <w:rFonts w:hint="default" w:ascii="宋体" w:hAnsi="宋体" w:eastAsia="宋体"/>
          <w:b w:val="0"/>
          <w:bCs/>
          <w:color w:val="000000"/>
          <w:szCs w:val="28"/>
          <w:lang w:val="en-US" w:eastAsia="zh-CN"/>
        </w:rPr>
      </w:pPr>
      <w:r>
        <w:rPr>
          <w:rFonts w:hint="eastAsia" w:ascii="宋体" w:hAnsi="宋体" w:eastAsia="宋体"/>
          <w:b w:val="0"/>
          <w:bCs/>
          <w:color w:val="000000"/>
          <w:szCs w:val="28"/>
          <w:lang w:val="en-US" w:eastAsia="zh-CN"/>
        </w:rPr>
        <w:t>采购代理机构</w:t>
      </w:r>
      <w:r>
        <w:rPr>
          <w:rFonts w:hint="eastAsia" w:ascii="宋体" w:hAnsi="宋体" w:eastAsia="宋体"/>
          <w:b w:val="0"/>
          <w:bCs/>
          <w:color w:val="000000"/>
          <w:szCs w:val="28"/>
        </w:rPr>
        <w:t>：</w:t>
      </w:r>
      <w:r>
        <w:rPr>
          <w:rFonts w:hint="eastAsia" w:ascii="宋体" w:hAnsi="宋体" w:eastAsia="宋体"/>
          <w:b w:val="0"/>
          <w:bCs/>
          <w:color w:val="000000"/>
          <w:szCs w:val="28"/>
          <w:lang w:val="en-US" w:eastAsia="zh-CN"/>
        </w:rPr>
        <w:t>鄂尔多斯市金博工程项目管理有限公司</w:t>
      </w:r>
    </w:p>
    <w:p>
      <w:pPr>
        <w:pStyle w:val="13"/>
        <w:spacing w:line="360" w:lineRule="auto"/>
        <w:ind w:left="2330" w:leftChars="337" w:hanging="1386" w:hangingChars="495"/>
        <w:rPr>
          <w:rFonts w:ascii="宋体" w:hAnsi="宋体" w:eastAsia="宋体"/>
          <w:b w:val="0"/>
          <w:bCs/>
          <w:color w:val="000000"/>
          <w:szCs w:val="28"/>
        </w:rPr>
      </w:pPr>
      <w:r>
        <w:rPr>
          <w:rFonts w:hint="eastAsia" w:ascii="宋体" w:hAnsi="宋体" w:eastAsia="宋体"/>
          <w:b w:val="0"/>
          <w:bCs/>
          <w:color w:val="000000"/>
          <w:szCs w:val="28"/>
        </w:rPr>
        <w:t xml:space="preserve"> </w:t>
      </w:r>
    </w:p>
    <w:p>
      <w:pPr>
        <w:pStyle w:val="13"/>
        <w:spacing w:line="360" w:lineRule="auto"/>
        <w:rPr>
          <w:rFonts w:ascii="宋体" w:hAnsi="宋体" w:eastAsia="宋体"/>
          <w:color w:val="000000"/>
          <w:szCs w:val="28"/>
        </w:rPr>
      </w:pPr>
    </w:p>
    <w:p>
      <w:pPr>
        <w:pStyle w:val="50"/>
        <w:keepNext w:val="0"/>
        <w:keepLines w:val="0"/>
        <w:spacing w:before="0" w:line="360" w:lineRule="auto"/>
        <w:jc w:val="center"/>
        <w:rPr>
          <w:rFonts w:hint="eastAsia" w:ascii="宋体" w:hAnsi="宋体"/>
          <w:b w:val="0"/>
          <w:bCs w:val="0"/>
          <w:color w:val="auto"/>
          <w:szCs w:val="28"/>
          <w:lang w:eastAsia="zh-CN"/>
        </w:rPr>
        <w:sectPr>
          <w:footerReference r:id="rId3" w:type="default"/>
          <w:pgSz w:w="11906" w:h="16838"/>
          <w:pgMar w:top="737" w:right="1247" w:bottom="737" w:left="1247" w:header="851" w:footer="992" w:gutter="0"/>
          <w:cols w:space="720" w:num="1"/>
          <w:titlePg/>
          <w:docGrid w:linePitch="312" w:charSpace="0"/>
        </w:sectPr>
      </w:pPr>
      <w:r>
        <w:rPr>
          <w:rFonts w:hint="eastAsia" w:ascii="宋体" w:hAnsi="宋体"/>
          <w:b w:val="0"/>
          <w:bCs w:val="0"/>
          <w:color w:val="auto"/>
          <w:szCs w:val="28"/>
          <w:lang w:eastAsia="zh-CN"/>
        </w:rPr>
        <w:t>2020年04月03日</w:t>
      </w:r>
    </w:p>
    <w:p>
      <w:pPr>
        <w:pStyle w:val="50"/>
        <w:keepNext w:val="0"/>
        <w:keepLines w:val="0"/>
        <w:spacing w:before="0" w:line="360" w:lineRule="auto"/>
        <w:jc w:val="center"/>
        <w:rPr>
          <w:rFonts w:ascii="宋体" w:hAnsi="宋体"/>
          <w:b w:val="0"/>
          <w:bCs w:val="0"/>
          <w:color w:val="000000"/>
          <w:sz w:val="24"/>
          <w:szCs w:val="24"/>
        </w:rPr>
      </w:pPr>
      <w:r>
        <w:rPr>
          <w:rFonts w:hint="eastAsia" w:ascii="宋体" w:hAnsi="宋体"/>
          <w:b w:val="0"/>
          <w:bCs w:val="0"/>
          <w:color w:val="000000"/>
          <w:sz w:val="24"/>
          <w:szCs w:val="24"/>
        </w:rPr>
        <w:t>目   录</w:t>
      </w:r>
    </w:p>
    <w:p>
      <w:pPr>
        <w:pStyle w:val="20"/>
        <w:tabs>
          <w:tab w:val="right" w:leader="dot" w:pos="9402"/>
        </w:tabs>
        <w:rPr>
          <w:rFonts w:asciiTheme="minorHAnsi" w:hAnsiTheme="minorHAnsi" w:eastAsiaTheme="minorEastAsia" w:cstheme="minorBidi"/>
          <w:b w:val="0"/>
          <w:bCs w:val="0"/>
          <w:caps w:val="0"/>
          <w:sz w:val="20"/>
          <w:szCs w:val="21"/>
        </w:rPr>
      </w:pPr>
      <w:r>
        <w:rPr>
          <w:rFonts w:ascii="宋体" w:hAnsi="宋体"/>
          <w:b w:val="0"/>
          <w:bCs w:val="0"/>
          <w:color w:val="000000"/>
          <w:sz w:val="24"/>
          <w:szCs w:val="24"/>
        </w:rPr>
        <w:fldChar w:fldCharType="begin"/>
      </w:r>
      <w:r>
        <w:rPr>
          <w:rFonts w:ascii="宋体" w:hAnsi="宋体"/>
          <w:b w:val="0"/>
          <w:bCs w:val="0"/>
          <w:color w:val="000000"/>
          <w:sz w:val="24"/>
          <w:szCs w:val="24"/>
        </w:rPr>
        <w:instrText xml:space="preserve"> TOC \o "1-3" \h \z \u </w:instrText>
      </w:r>
      <w:r>
        <w:rPr>
          <w:rFonts w:ascii="宋体" w:hAnsi="宋体"/>
          <w:b w:val="0"/>
          <w:bCs w:val="0"/>
          <w:color w:val="000000"/>
          <w:sz w:val="24"/>
          <w:szCs w:val="24"/>
        </w:rPr>
        <w:fldChar w:fldCharType="separate"/>
      </w:r>
      <w:r>
        <w:rPr>
          <w:b w:val="0"/>
          <w:bCs w:val="0"/>
          <w:sz w:val="24"/>
          <w:szCs w:val="18"/>
        </w:rPr>
        <w:fldChar w:fldCharType="begin"/>
      </w:r>
      <w:r>
        <w:rPr>
          <w:b w:val="0"/>
          <w:bCs w:val="0"/>
          <w:sz w:val="24"/>
          <w:szCs w:val="18"/>
        </w:rPr>
        <w:instrText xml:space="preserve"> HYPERLINK \l "_Toc497408600" </w:instrText>
      </w:r>
      <w:r>
        <w:rPr>
          <w:b w:val="0"/>
          <w:bCs w:val="0"/>
          <w:sz w:val="24"/>
          <w:szCs w:val="18"/>
        </w:rPr>
        <w:fldChar w:fldCharType="separate"/>
      </w:r>
      <w:r>
        <w:rPr>
          <w:rStyle w:val="33"/>
          <w:rFonts w:hint="eastAsia" w:ascii="宋体" w:hAnsi="宋体"/>
          <w:b w:val="0"/>
          <w:bCs w:val="0"/>
          <w:sz w:val="24"/>
          <w:szCs w:val="18"/>
        </w:rPr>
        <w:t>第一章磋商公告</w:t>
      </w:r>
      <w:r>
        <w:rPr>
          <w:b w:val="0"/>
          <w:bCs w:val="0"/>
          <w:sz w:val="24"/>
          <w:szCs w:val="18"/>
        </w:rPr>
        <w:tab/>
      </w:r>
      <w:r>
        <w:rPr>
          <w:b w:val="0"/>
          <w:bCs w:val="0"/>
          <w:sz w:val="24"/>
          <w:szCs w:val="18"/>
        </w:rPr>
        <w:fldChar w:fldCharType="begin"/>
      </w:r>
      <w:r>
        <w:rPr>
          <w:b w:val="0"/>
          <w:bCs w:val="0"/>
          <w:sz w:val="24"/>
          <w:szCs w:val="18"/>
        </w:rPr>
        <w:instrText xml:space="preserve"> PAGEREF _Toc497408600 \h </w:instrText>
      </w:r>
      <w:r>
        <w:rPr>
          <w:b w:val="0"/>
          <w:bCs w:val="0"/>
          <w:sz w:val="24"/>
          <w:szCs w:val="18"/>
        </w:rPr>
        <w:fldChar w:fldCharType="separate"/>
      </w:r>
      <w:r>
        <w:rPr>
          <w:b w:val="0"/>
          <w:bCs w:val="0"/>
          <w:sz w:val="24"/>
          <w:szCs w:val="18"/>
        </w:rPr>
        <w:t>2</w:t>
      </w:r>
      <w:r>
        <w:rPr>
          <w:b w:val="0"/>
          <w:bCs w:val="0"/>
          <w:sz w:val="24"/>
          <w:szCs w:val="18"/>
        </w:rPr>
        <w:fldChar w:fldCharType="end"/>
      </w:r>
      <w:r>
        <w:rPr>
          <w:b w:val="0"/>
          <w:bCs w:val="0"/>
          <w:sz w:val="24"/>
          <w:szCs w:val="18"/>
        </w:rPr>
        <w:fldChar w:fldCharType="end"/>
      </w:r>
    </w:p>
    <w:p>
      <w:pPr>
        <w:pStyle w:val="20"/>
        <w:tabs>
          <w:tab w:val="right" w:leader="dot" w:pos="9402"/>
        </w:tabs>
        <w:rPr>
          <w:rFonts w:asciiTheme="minorHAnsi" w:hAnsiTheme="minorHAnsi" w:eastAsiaTheme="minorEastAsia" w:cstheme="minorBidi"/>
          <w:b w:val="0"/>
          <w:bCs w:val="0"/>
          <w:caps w:val="0"/>
          <w:sz w:val="20"/>
          <w:szCs w:val="21"/>
        </w:rPr>
      </w:pPr>
      <w:r>
        <w:rPr>
          <w:b w:val="0"/>
          <w:bCs w:val="0"/>
          <w:sz w:val="24"/>
          <w:szCs w:val="18"/>
        </w:rPr>
        <w:fldChar w:fldCharType="begin"/>
      </w:r>
      <w:r>
        <w:rPr>
          <w:b w:val="0"/>
          <w:bCs w:val="0"/>
          <w:sz w:val="24"/>
          <w:szCs w:val="18"/>
        </w:rPr>
        <w:instrText xml:space="preserve"> HYPERLINK \l "_Toc497408601" </w:instrText>
      </w:r>
      <w:r>
        <w:rPr>
          <w:b w:val="0"/>
          <w:bCs w:val="0"/>
          <w:sz w:val="24"/>
          <w:szCs w:val="18"/>
        </w:rPr>
        <w:fldChar w:fldCharType="separate"/>
      </w:r>
      <w:r>
        <w:rPr>
          <w:rStyle w:val="33"/>
          <w:rFonts w:hint="eastAsia" w:ascii="宋体" w:hAnsi="宋体"/>
          <w:b w:val="0"/>
          <w:bCs w:val="0"/>
          <w:sz w:val="24"/>
          <w:szCs w:val="18"/>
        </w:rPr>
        <w:t>第二章供应商须知</w:t>
      </w:r>
      <w:r>
        <w:rPr>
          <w:b w:val="0"/>
          <w:bCs w:val="0"/>
          <w:sz w:val="24"/>
          <w:szCs w:val="18"/>
        </w:rPr>
        <w:tab/>
      </w:r>
      <w:r>
        <w:rPr>
          <w:b w:val="0"/>
          <w:bCs w:val="0"/>
          <w:sz w:val="24"/>
          <w:szCs w:val="18"/>
        </w:rPr>
        <w:fldChar w:fldCharType="begin"/>
      </w:r>
      <w:r>
        <w:rPr>
          <w:b w:val="0"/>
          <w:bCs w:val="0"/>
          <w:sz w:val="24"/>
          <w:szCs w:val="18"/>
        </w:rPr>
        <w:instrText xml:space="preserve"> PAGEREF _Toc497408601 \h </w:instrText>
      </w:r>
      <w:r>
        <w:rPr>
          <w:b w:val="0"/>
          <w:bCs w:val="0"/>
          <w:sz w:val="24"/>
          <w:szCs w:val="18"/>
        </w:rPr>
        <w:fldChar w:fldCharType="separate"/>
      </w:r>
      <w:r>
        <w:rPr>
          <w:b w:val="0"/>
          <w:bCs w:val="0"/>
          <w:sz w:val="24"/>
          <w:szCs w:val="18"/>
        </w:rPr>
        <w:t>5</w:t>
      </w:r>
      <w:r>
        <w:rPr>
          <w:b w:val="0"/>
          <w:bCs w:val="0"/>
          <w:sz w:val="24"/>
          <w:szCs w:val="18"/>
        </w:rPr>
        <w:fldChar w:fldCharType="end"/>
      </w:r>
      <w:r>
        <w:rPr>
          <w:b w:val="0"/>
          <w:bCs w:val="0"/>
          <w:sz w:val="24"/>
          <w:szCs w:val="18"/>
        </w:rPr>
        <w:fldChar w:fldCharType="end"/>
      </w:r>
    </w:p>
    <w:p>
      <w:pPr>
        <w:pStyle w:val="20"/>
        <w:tabs>
          <w:tab w:val="right" w:leader="dot" w:pos="9402"/>
        </w:tabs>
        <w:rPr>
          <w:rFonts w:asciiTheme="minorHAnsi" w:hAnsiTheme="minorHAnsi" w:eastAsiaTheme="minorEastAsia" w:cstheme="minorBidi"/>
          <w:b w:val="0"/>
          <w:bCs w:val="0"/>
          <w:caps w:val="0"/>
          <w:sz w:val="20"/>
          <w:szCs w:val="21"/>
        </w:rPr>
      </w:pPr>
      <w:r>
        <w:rPr>
          <w:b w:val="0"/>
          <w:bCs w:val="0"/>
          <w:sz w:val="24"/>
          <w:szCs w:val="18"/>
        </w:rPr>
        <w:fldChar w:fldCharType="begin"/>
      </w:r>
      <w:r>
        <w:rPr>
          <w:b w:val="0"/>
          <w:bCs w:val="0"/>
          <w:sz w:val="24"/>
          <w:szCs w:val="18"/>
        </w:rPr>
        <w:instrText xml:space="preserve"> HYPERLINK \l "_Toc497408602" </w:instrText>
      </w:r>
      <w:r>
        <w:rPr>
          <w:b w:val="0"/>
          <w:bCs w:val="0"/>
          <w:sz w:val="24"/>
          <w:szCs w:val="18"/>
        </w:rPr>
        <w:fldChar w:fldCharType="separate"/>
      </w:r>
      <w:r>
        <w:rPr>
          <w:rStyle w:val="33"/>
          <w:rFonts w:hint="eastAsia" w:ascii="宋体" w:hAnsi="宋体" w:cs="宋体"/>
          <w:b w:val="0"/>
          <w:bCs w:val="0"/>
          <w:sz w:val="24"/>
          <w:szCs w:val="18"/>
        </w:rPr>
        <w:t>第三章合同与验收</w:t>
      </w:r>
      <w:r>
        <w:rPr>
          <w:b w:val="0"/>
          <w:bCs w:val="0"/>
          <w:sz w:val="24"/>
          <w:szCs w:val="18"/>
        </w:rPr>
        <w:tab/>
      </w:r>
      <w:r>
        <w:rPr>
          <w:b w:val="0"/>
          <w:bCs w:val="0"/>
          <w:sz w:val="24"/>
          <w:szCs w:val="18"/>
        </w:rPr>
        <w:fldChar w:fldCharType="begin"/>
      </w:r>
      <w:r>
        <w:rPr>
          <w:b w:val="0"/>
          <w:bCs w:val="0"/>
          <w:sz w:val="24"/>
          <w:szCs w:val="18"/>
        </w:rPr>
        <w:instrText xml:space="preserve"> PAGEREF _Toc497408602 \h </w:instrText>
      </w:r>
      <w:r>
        <w:rPr>
          <w:b w:val="0"/>
          <w:bCs w:val="0"/>
          <w:sz w:val="24"/>
          <w:szCs w:val="18"/>
        </w:rPr>
        <w:fldChar w:fldCharType="separate"/>
      </w:r>
      <w:r>
        <w:rPr>
          <w:b w:val="0"/>
          <w:bCs w:val="0"/>
          <w:sz w:val="24"/>
          <w:szCs w:val="18"/>
        </w:rPr>
        <w:t>18</w:t>
      </w:r>
      <w:r>
        <w:rPr>
          <w:b w:val="0"/>
          <w:bCs w:val="0"/>
          <w:sz w:val="24"/>
          <w:szCs w:val="18"/>
        </w:rPr>
        <w:fldChar w:fldCharType="end"/>
      </w:r>
      <w:r>
        <w:rPr>
          <w:b w:val="0"/>
          <w:bCs w:val="0"/>
          <w:sz w:val="24"/>
          <w:szCs w:val="18"/>
        </w:rPr>
        <w:fldChar w:fldCharType="end"/>
      </w:r>
    </w:p>
    <w:p>
      <w:pPr>
        <w:pStyle w:val="20"/>
        <w:tabs>
          <w:tab w:val="right" w:leader="dot" w:pos="9402"/>
        </w:tabs>
        <w:rPr>
          <w:rFonts w:hint="eastAsia" w:eastAsia="宋体" w:asciiTheme="minorHAnsi" w:hAnsiTheme="minorHAnsi" w:cstheme="minorBidi"/>
          <w:b w:val="0"/>
          <w:bCs w:val="0"/>
          <w:caps w:val="0"/>
          <w:sz w:val="20"/>
          <w:szCs w:val="21"/>
          <w:lang w:val="en-US" w:eastAsia="zh-CN"/>
        </w:rPr>
      </w:pPr>
      <w:r>
        <w:rPr>
          <w:b w:val="0"/>
          <w:bCs w:val="0"/>
          <w:sz w:val="24"/>
          <w:szCs w:val="18"/>
        </w:rPr>
        <w:fldChar w:fldCharType="begin"/>
      </w:r>
      <w:r>
        <w:rPr>
          <w:b w:val="0"/>
          <w:bCs w:val="0"/>
          <w:sz w:val="24"/>
          <w:szCs w:val="18"/>
        </w:rPr>
        <w:instrText xml:space="preserve"> HYPERLINK \l "_Toc497408603" </w:instrText>
      </w:r>
      <w:r>
        <w:rPr>
          <w:b w:val="0"/>
          <w:bCs w:val="0"/>
          <w:sz w:val="24"/>
          <w:szCs w:val="18"/>
        </w:rPr>
        <w:fldChar w:fldCharType="separate"/>
      </w:r>
      <w:r>
        <w:rPr>
          <w:rStyle w:val="33"/>
          <w:rFonts w:hint="eastAsia" w:ascii="宋体" w:hAnsi="宋体"/>
          <w:b w:val="0"/>
          <w:bCs w:val="0"/>
          <w:kern w:val="44"/>
          <w:sz w:val="24"/>
          <w:szCs w:val="18"/>
          <w:lang w:val="zh-CN"/>
        </w:rPr>
        <w:t>第四章磋商内容与技术要求</w:t>
      </w:r>
      <w:r>
        <w:rPr>
          <w:b w:val="0"/>
          <w:bCs w:val="0"/>
          <w:sz w:val="24"/>
          <w:szCs w:val="18"/>
        </w:rPr>
        <w:tab/>
      </w:r>
      <w:r>
        <w:rPr>
          <w:rFonts w:hint="eastAsia"/>
          <w:b w:val="0"/>
          <w:bCs w:val="0"/>
          <w:sz w:val="24"/>
          <w:szCs w:val="18"/>
          <w:lang w:val="en-US" w:eastAsia="zh-CN"/>
        </w:rPr>
        <w:t>2</w:t>
      </w:r>
      <w:r>
        <w:rPr>
          <w:b w:val="0"/>
          <w:bCs w:val="0"/>
          <w:sz w:val="24"/>
          <w:szCs w:val="18"/>
        </w:rPr>
        <w:fldChar w:fldCharType="end"/>
      </w:r>
      <w:r>
        <w:rPr>
          <w:rFonts w:hint="eastAsia"/>
          <w:b w:val="0"/>
          <w:bCs w:val="0"/>
          <w:sz w:val="24"/>
          <w:szCs w:val="18"/>
          <w:lang w:val="en-US" w:eastAsia="zh-CN"/>
        </w:rPr>
        <w:t>1</w:t>
      </w:r>
    </w:p>
    <w:p>
      <w:pPr>
        <w:pStyle w:val="20"/>
        <w:tabs>
          <w:tab w:val="right" w:leader="dot" w:pos="9402"/>
        </w:tabs>
        <w:rPr>
          <w:rFonts w:hint="eastAsia" w:eastAsia="宋体" w:asciiTheme="minorHAnsi" w:hAnsiTheme="minorHAnsi" w:cstheme="minorBidi"/>
          <w:b w:val="0"/>
          <w:bCs w:val="0"/>
          <w:caps w:val="0"/>
          <w:sz w:val="20"/>
          <w:szCs w:val="21"/>
          <w:lang w:val="en-US" w:eastAsia="zh-CN"/>
        </w:rPr>
      </w:pPr>
      <w:r>
        <w:rPr>
          <w:b w:val="0"/>
          <w:bCs w:val="0"/>
          <w:sz w:val="24"/>
          <w:szCs w:val="18"/>
        </w:rPr>
        <w:fldChar w:fldCharType="begin"/>
      </w:r>
      <w:r>
        <w:rPr>
          <w:b w:val="0"/>
          <w:bCs w:val="0"/>
          <w:sz w:val="24"/>
          <w:szCs w:val="18"/>
        </w:rPr>
        <w:instrText xml:space="preserve"> HYPERLINK \l "_Toc497408604" </w:instrText>
      </w:r>
      <w:r>
        <w:rPr>
          <w:b w:val="0"/>
          <w:bCs w:val="0"/>
          <w:sz w:val="24"/>
          <w:szCs w:val="18"/>
        </w:rPr>
        <w:fldChar w:fldCharType="separate"/>
      </w:r>
      <w:r>
        <w:rPr>
          <w:rStyle w:val="33"/>
          <w:rFonts w:hint="eastAsia" w:ascii="宋体" w:hAnsi="宋体"/>
          <w:b w:val="0"/>
          <w:bCs w:val="0"/>
          <w:kern w:val="44"/>
          <w:sz w:val="24"/>
          <w:szCs w:val="18"/>
          <w:lang w:val="zh-CN"/>
        </w:rPr>
        <w:t>第五章供应商资格证明及相关文件要求</w:t>
      </w:r>
      <w:r>
        <w:rPr>
          <w:b w:val="0"/>
          <w:bCs w:val="0"/>
          <w:sz w:val="24"/>
          <w:szCs w:val="18"/>
        </w:rPr>
        <w:tab/>
      </w:r>
      <w:r>
        <w:rPr>
          <w:rFonts w:hint="eastAsia"/>
          <w:b w:val="0"/>
          <w:bCs w:val="0"/>
          <w:sz w:val="24"/>
          <w:szCs w:val="18"/>
          <w:lang w:val="en-US" w:eastAsia="zh-CN"/>
        </w:rPr>
        <w:t>3</w:t>
      </w:r>
      <w:r>
        <w:rPr>
          <w:b w:val="0"/>
          <w:bCs w:val="0"/>
          <w:sz w:val="24"/>
          <w:szCs w:val="18"/>
        </w:rPr>
        <w:fldChar w:fldCharType="end"/>
      </w:r>
      <w:r>
        <w:rPr>
          <w:rFonts w:hint="eastAsia"/>
          <w:b w:val="0"/>
          <w:bCs w:val="0"/>
          <w:sz w:val="24"/>
          <w:szCs w:val="18"/>
          <w:lang w:val="en-US" w:eastAsia="zh-CN"/>
        </w:rPr>
        <w:t>7</w:t>
      </w:r>
    </w:p>
    <w:p>
      <w:pPr>
        <w:pStyle w:val="20"/>
        <w:tabs>
          <w:tab w:val="right" w:leader="dot" w:pos="9402"/>
        </w:tabs>
        <w:rPr>
          <w:rFonts w:hint="eastAsia" w:eastAsia="宋体" w:asciiTheme="minorHAnsi" w:hAnsiTheme="minorHAnsi" w:cstheme="minorBidi"/>
          <w:b w:val="0"/>
          <w:bCs w:val="0"/>
          <w:caps w:val="0"/>
          <w:sz w:val="20"/>
          <w:szCs w:val="21"/>
          <w:lang w:val="en-US" w:eastAsia="zh-CN"/>
        </w:rPr>
      </w:pPr>
      <w:r>
        <w:rPr>
          <w:b w:val="0"/>
          <w:bCs w:val="0"/>
          <w:sz w:val="24"/>
          <w:szCs w:val="18"/>
        </w:rPr>
        <w:fldChar w:fldCharType="begin"/>
      </w:r>
      <w:r>
        <w:rPr>
          <w:b w:val="0"/>
          <w:bCs w:val="0"/>
          <w:sz w:val="24"/>
          <w:szCs w:val="18"/>
        </w:rPr>
        <w:instrText xml:space="preserve"> HYPERLINK \l "_Toc497408605" </w:instrText>
      </w:r>
      <w:r>
        <w:rPr>
          <w:b w:val="0"/>
          <w:bCs w:val="0"/>
          <w:sz w:val="24"/>
          <w:szCs w:val="18"/>
        </w:rPr>
        <w:fldChar w:fldCharType="separate"/>
      </w:r>
      <w:r>
        <w:rPr>
          <w:rStyle w:val="33"/>
          <w:rFonts w:hint="eastAsia" w:ascii="宋体" w:hAnsi="宋体"/>
          <w:b w:val="0"/>
          <w:bCs w:val="0"/>
          <w:kern w:val="44"/>
          <w:sz w:val="24"/>
          <w:szCs w:val="18"/>
          <w:lang w:val="zh-CN"/>
        </w:rPr>
        <w:t>第六章评标办法（综合评分）</w:t>
      </w:r>
      <w:r>
        <w:rPr>
          <w:b w:val="0"/>
          <w:bCs w:val="0"/>
          <w:sz w:val="24"/>
          <w:szCs w:val="18"/>
        </w:rPr>
        <w:tab/>
      </w:r>
      <w:r>
        <w:rPr>
          <w:rFonts w:hint="eastAsia"/>
          <w:b w:val="0"/>
          <w:bCs w:val="0"/>
          <w:sz w:val="24"/>
          <w:szCs w:val="18"/>
          <w:lang w:val="en-US" w:eastAsia="zh-CN"/>
        </w:rPr>
        <w:t>3</w:t>
      </w:r>
      <w:r>
        <w:rPr>
          <w:b w:val="0"/>
          <w:bCs w:val="0"/>
          <w:sz w:val="24"/>
          <w:szCs w:val="18"/>
        </w:rPr>
        <w:fldChar w:fldCharType="end"/>
      </w:r>
      <w:r>
        <w:rPr>
          <w:rFonts w:hint="eastAsia"/>
          <w:b w:val="0"/>
          <w:bCs w:val="0"/>
          <w:sz w:val="24"/>
          <w:szCs w:val="18"/>
          <w:lang w:val="en-US" w:eastAsia="zh-CN"/>
        </w:rPr>
        <w:t>9</w:t>
      </w:r>
    </w:p>
    <w:p>
      <w:pPr>
        <w:pStyle w:val="20"/>
        <w:tabs>
          <w:tab w:val="right" w:leader="dot" w:pos="9402"/>
        </w:tabs>
        <w:rPr>
          <w:rFonts w:hint="default" w:eastAsia="宋体" w:asciiTheme="minorHAnsi" w:hAnsiTheme="minorHAnsi" w:cstheme="minorBidi"/>
          <w:b w:val="0"/>
          <w:bCs w:val="0"/>
          <w:caps w:val="0"/>
          <w:sz w:val="20"/>
          <w:szCs w:val="21"/>
          <w:lang w:val="en-US" w:eastAsia="zh-CN"/>
        </w:rPr>
      </w:pPr>
      <w:r>
        <w:rPr>
          <w:b w:val="0"/>
          <w:bCs w:val="0"/>
          <w:sz w:val="24"/>
          <w:szCs w:val="18"/>
        </w:rPr>
        <w:fldChar w:fldCharType="begin"/>
      </w:r>
      <w:r>
        <w:rPr>
          <w:b w:val="0"/>
          <w:bCs w:val="0"/>
          <w:sz w:val="24"/>
          <w:szCs w:val="18"/>
        </w:rPr>
        <w:instrText xml:space="preserve"> HYPERLINK \l "_Toc497408606" </w:instrText>
      </w:r>
      <w:r>
        <w:rPr>
          <w:b w:val="0"/>
          <w:bCs w:val="0"/>
          <w:sz w:val="24"/>
          <w:szCs w:val="18"/>
        </w:rPr>
        <w:fldChar w:fldCharType="separate"/>
      </w:r>
      <w:r>
        <w:rPr>
          <w:rStyle w:val="33"/>
          <w:rFonts w:hint="eastAsia" w:ascii="宋体" w:hAnsi="宋体"/>
          <w:b w:val="0"/>
          <w:bCs w:val="0"/>
          <w:sz w:val="24"/>
          <w:szCs w:val="18"/>
        </w:rPr>
        <w:t>第七章响应文件格式与要求</w:t>
      </w:r>
      <w:r>
        <w:rPr>
          <w:b w:val="0"/>
          <w:bCs w:val="0"/>
          <w:sz w:val="24"/>
          <w:szCs w:val="18"/>
        </w:rPr>
        <w:tab/>
      </w:r>
      <w:r>
        <w:rPr>
          <w:b w:val="0"/>
          <w:bCs w:val="0"/>
          <w:sz w:val="24"/>
          <w:szCs w:val="18"/>
        </w:rPr>
        <w:fldChar w:fldCharType="end"/>
      </w:r>
      <w:r>
        <w:rPr>
          <w:rFonts w:hint="eastAsia"/>
          <w:b w:val="0"/>
          <w:bCs w:val="0"/>
          <w:sz w:val="24"/>
          <w:szCs w:val="18"/>
          <w:lang w:val="en-US" w:eastAsia="zh-CN"/>
        </w:rPr>
        <w:t>46</w:t>
      </w:r>
    </w:p>
    <w:p>
      <w:pPr>
        <w:pStyle w:val="20"/>
        <w:tabs>
          <w:tab w:val="right" w:leader="dot" w:pos="9402"/>
        </w:tabs>
        <w:rPr>
          <w:rFonts w:hint="default" w:eastAsia="宋体" w:asciiTheme="minorHAnsi" w:hAnsiTheme="minorHAnsi" w:cstheme="minorBidi"/>
          <w:b w:val="0"/>
          <w:bCs w:val="0"/>
          <w:caps w:val="0"/>
          <w:sz w:val="20"/>
          <w:szCs w:val="21"/>
          <w:lang w:val="en-US" w:eastAsia="zh-CN"/>
        </w:rPr>
      </w:pPr>
      <w:r>
        <w:rPr>
          <w:b w:val="0"/>
          <w:bCs w:val="0"/>
          <w:sz w:val="24"/>
          <w:szCs w:val="18"/>
        </w:rPr>
        <w:fldChar w:fldCharType="begin"/>
      </w:r>
      <w:r>
        <w:rPr>
          <w:b w:val="0"/>
          <w:bCs w:val="0"/>
          <w:sz w:val="24"/>
          <w:szCs w:val="18"/>
        </w:rPr>
        <w:instrText xml:space="preserve"> HYPERLINK \l "_Toc497408607" </w:instrText>
      </w:r>
      <w:r>
        <w:rPr>
          <w:b w:val="0"/>
          <w:bCs w:val="0"/>
          <w:sz w:val="24"/>
          <w:szCs w:val="18"/>
        </w:rPr>
        <w:fldChar w:fldCharType="separate"/>
      </w:r>
      <w:r>
        <w:rPr>
          <w:rStyle w:val="33"/>
          <w:rFonts w:hint="eastAsia" w:ascii="宋体" w:hAnsi="宋体"/>
          <w:b w:val="0"/>
          <w:bCs w:val="0"/>
          <w:sz w:val="24"/>
          <w:szCs w:val="18"/>
          <w:lang w:val="zh-CN"/>
        </w:rPr>
        <w:t>温馨提示</w:t>
      </w:r>
      <w:r>
        <w:rPr>
          <w:b w:val="0"/>
          <w:bCs w:val="0"/>
          <w:sz w:val="24"/>
          <w:szCs w:val="18"/>
        </w:rPr>
        <w:tab/>
      </w:r>
      <w:r>
        <w:rPr>
          <w:b w:val="0"/>
          <w:bCs w:val="0"/>
          <w:sz w:val="24"/>
          <w:szCs w:val="18"/>
        </w:rPr>
        <w:fldChar w:fldCharType="end"/>
      </w:r>
      <w:r>
        <w:rPr>
          <w:rFonts w:hint="eastAsia"/>
          <w:b w:val="0"/>
          <w:bCs w:val="0"/>
          <w:sz w:val="24"/>
          <w:szCs w:val="18"/>
          <w:lang w:val="en-US" w:eastAsia="zh-CN"/>
        </w:rPr>
        <w:t>74</w:t>
      </w:r>
    </w:p>
    <w:p>
      <w:pPr>
        <w:outlineLvl w:val="0"/>
        <w:rPr>
          <w:rFonts w:ascii="宋体" w:hAnsi="宋体"/>
          <w:b/>
          <w:color w:val="000000"/>
          <w:szCs w:val="28"/>
        </w:rPr>
      </w:pPr>
      <w:r>
        <w:rPr>
          <w:rFonts w:ascii="宋体" w:hAnsi="宋体"/>
          <w:b w:val="0"/>
          <w:bCs w:val="0"/>
          <w:color w:val="000000"/>
          <w:sz w:val="24"/>
          <w:szCs w:val="24"/>
        </w:rPr>
        <w:fldChar w:fldCharType="end"/>
      </w:r>
      <w:r>
        <w:rPr>
          <w:rFonts w:ascii="宋体" w:hAnsi="宋体"/>
          <w:b/>
          <w:color w:val="000000"/>
          <w:szCs w:val="28"/>
        </w:rPr>
        <w:br w:type="page"/>
      </w:r>
    </w:p>
    <w:p>
      <w:pPr>
        <w:pStyle w:val="49"/>
        <w:numPr>
          <w:ilvl w:val="0"/>
          <w:numId w:val="0"/>
        </w:numPr>
        <w:ind w:leftChars="0"/>
        <w:jc w:val="center"/>
        <w:outlineLvl w:val="0"/>
        <w:rPr>
          <w:b/>
          <w:bCs w:val="0"/>
          <w:sz w:val="24"/>
          <w:szCs w:val="20"/>
        </w:rPr>
      </w:pPr>
      <w:bookmarkStart w:id="0" w:name="_Toc497408600"/>
      <w:r>
        <w:rPr>
          <w:rFonts w:hint="eastAsia" w:ascii="宋体" w:hAnsi="宋体"/>
          <w:b/>
          <w:bCs w:val="0"/>
          <w:sz w:val="28"/>
          <w:szCs w:val="28"/>
          <w:lang w:val="en-US" w:eastAsia="zh-CN"/>
        </w:rPr>
        <w:t xml:space="preserve">第一章 </w:t>
      </w:r>
      <w:r>
        <w:rPr>
          <w:rFonts w:hint="eastAsia" w:ascii="宋体" w:hAnsi="宋体"/>
          <w:b/>
          <w:bCs w:val="0"/>
          <w:sz w:val="28"/>
          <w:szCs w:val="28"/>
        </w:rPr>
        <w:t>磋商公告</w:t>
      </w:r>
      <w:bookmarkEnd w:id="0"/>
    </w:p>
    <w:p>
      <w:pPr>
        <w:widowControl/>
        <w:jc w:val="center"/>
        <w:rPr>
          <w:b w:val="0"/>
          <w:bCs/>
          <w:sz w:val="32"/>
          <w:szCs w:val="21"/>
          <w:lang w:val="zh-CN"/>
        </w:rPr>
      </w:pPr>
      <w:r>
        <w:rPr>
          <w:rFonts w:hint="eastAsia" w:ascii="宋体" w:hAnsi="宋体"/>
          <w:b w:val="0"/>
          <w:bCs/>
          <w:sz w:val="28"/>
          <w:szCs w:val="28"/>
          <w:lang w:eastAsia="zh-CN"/>
        </w:rPr>
        <w:t>鄂托克前旗农牧业综合开发中心</w:t>
      </w:r>
      <w:r>
        <w:rPr>
          <w:rFonts w:hint="eastAsia" w:ascii="宋体" w:hAnsi="宋体"/>
          <w:b w:val="0"/>
          <w:bCs/>
          <w:sz w:val="28"/>
          <w:szCs w:val="28"/>
          <w:lang w:val="en-US" w:eastAsia="zh-CN"/>
        </w:rPr>
        <w:t>采购</w:t>
      </w:r>
      <w:r>
        <w:rPr>
          <w:rFonts w:hint="eastAsia" w:ascii="宋体" w:hAnsi="宋体"/>
          <w:b w:val="0"/>
          <w:bCs/>
          <w:sz w:val="28"/>
          <w:szCs w:val="28"/>
          <w:lang w:eastAsia="zh-CN"/>
        </w:rPr>
        <w:t>十二五以来高标准农田建设评估及上图入库工作项目</w:t>
      </w:r>
      <w:r>
        <w:rPr>
          <w:rFonts w:hint="eastAsia" w:ascii="宋体" w:hAnsi="宋体"/>
          <w:b w:val="0"/>
          <w:bCs/>
          <w:sz w:val="28"/>
          <w:szCs w:val="28"/>
        </w:rPr>
        <w:t>竞争性磋商招标公告</w:t>
      </w:r>
    </w:p>
    <w:p>
      <w:pPr>
        <w:spacing w:line="360" w:lineRule="auto"/>
        <w:ind w:firstLine="600" w:firstLineChars="250"/>
        <w:rPr>
          <w:rFonts w:ascii="宋体" w:hAnsi="宋体"/>
          <w:color w:val="000000"/>
          <w:sz w:val="24"/>
          <w:szCs w:val="24"/>
        </w:rPr>
      </w:pPr>
      <w:r>
        <w:rPr>
          <w:rFonts w:hint="eastAsia" w:ascii="宋体" w:hAnsi="宋体"/>
          <w:sz w:val="24"/>
          <w:szCs w:val="24"/>
          <w:lang w:val="en-US" w:eastAsia="zh-CN"/>
        </w:rPr>
        <w:t>鄂尔多斯市金博工程项目管理有限公司</w:t>
      </w:r>
      <w:r>
        <w:rPr>
          <w:rFonts w:hint="eastAsia" w:ascii="宋体" w:hAnsi="宋体"/>
          <w:sz w:val="24"/>
          <w:szCs w:val="24"/>
        </w:rPr>
        <w:t>受</w:t>
      </w:r>
      <w:r>
        <w:rPr>
          <w:rFonts w:hint="eastAsia" w:ascii="宋体" w:hAnsi="宋体"/>
          <w:sz w:val="24"/>
          <w:szCs w:val="24"/>
          <w:lang w:eastAsia="zh-CN"/>
        </w:rPr>
        <w:t>鄂托克前旗农牧业综合开发中心</w:t>
      </w:r>
      <w:r>
        <w:rPr>
          <w:rFonts w:hint="eastAsia" w:ascii="宋体" w:hAnsi="宋体"/>
          <w:sz w:val="24"/>
          <w:szCs w:val="24"/>
        </w:rPr>
        <w:t>委托，按照鄂托克前旗财政局审批（竞争性磋商）方式组织采购</w:t>
      </w:r>
      <w:r>
        <w:rPr>
          <w:rFonts w:hint="eastAsia" w:ascii="宋体" w:hAnsi="宋体"/>
          <w:color w:val="000000"/>
          <w:sz w:val="24"/>
          <w:szCs w:val="24"/>
          <w:lang w:eastAsia="zh-CN"/>
        </w:rPr>
        <w:t>十二五以来高标准农田建设评估及上图入库工作项目</w:t>
      </w:r>
      <w:r>
        <w:rPr>
          <w:rFonts w:hint="eastAsia" w:ascii="宋体" w:hAnsi="宋体"/>
          <w:color w:val="000000"/>
          <w:sz w:val="24"/>
          <w:szCs w:val="24"/>
        </w:rPr>
        <w:t>。欢迎符合资格条件的供应商前来报名参加。</w:t>
      </w:r>
    </w:p>
    <w:p>
      <w:pPr>
        <w:spacing w:line="360" w:lineRule="auto"/>
        <w:rPr>
          <w:rFonts w:ascii="宋体" w:hAnsi="宋体"/>
          <w:b/>
          <w:color w:val="000000"/>
          <w:sz w:val="24"/>
          <w:szCs w:val="24"/>
        </w:rPr>
      </w:pPr>
      <w:r>
        <w:rPr>
          <w:rFonts w:hint="eastAsia" w:ascii="宋体" w:hAnsi="宋体"/>
          <w:b/>
          <w:color w:val="000000"/>
          <w:sz w:val="24"/>
          <w:szCs w:val="24"/>
        </w:rPr>
        <w:t>一.项目概述</w:t>
      </w:r>
    </w:p>
    <w:p>
      <w:pPr>
        <w:pStyle w:val="49"/>
        <w:spacing w:line="360" w:lineRule="auto"/>
        <w:ind w:firstLine="480"/>
        <w:rPr>
          <w:rFonts w:ascii="宋体" w:hAnsi="宋体"/>
          <w:b/>
          <w:color w:val="000000"/>
          <w:sz w:val="24"/>
          <w:szCs w:val="24"/>
        </w:rPr>
      </w:pPr>
      <w:r>
        <w:rPr>
          <w:rFonts w:hint="eastAsia" w:ascii="宋体" w:hAnsi="宋体"/>
          <w:sz w:val="24"/>
          <w:szCs w:val="24"/>
        </w:rPr>
        <w:t>1.名称与编号</w:t>
      </w:r>
    </w:p>
    <w:p>
      <w:pPr>
        <w:spacing w:line="360" w:lineRule="auto"/>
        <w:ind w:firstLine="480" w:firstLineChars="200"/>
        <w:rPr>
          <w:rFonts w:hint="eastAsia" w:ascii="宋体" w:hAnsi="宋体" w:eastAsia="宋体"/>
          <w:color w:val="000000"/>
          <w:sz w:val="24"/>
          <w:szCs w:val="24"/>
          <w:lang w:eastAsia="zh-CN"/>
        </w:rPr>
      </w:pPr>
      <w:r>
        <w:rPr>
          <w:rFonts w:hint="eastAsia" w:ascii="宋体" w:hAnsi="宋体"/>
          <w:sz w:val="24"/>
          <w:szCs w:val="24"/>
        </w:rPr>
        <w:t>项目名称：</w:t>
      </w:r>
      <w:r>
        <w:rPr>
          <w:rFonts w:hint="eastAsia" w:ascii="宋体" w:hAnsi="宋体"/>
          <w:sz w:val="24"/>
          <w:szCs w:val="24"/>
          <w:lang w:eastAsia="zh-CN"/>
        </w:rPr>
        <w:t>鄂托克前旗农牧业综合开发中心</w:t>
      </w:r>
      <w:r>
        <w:rPr>
          <w:rFonts w:hint="eastAsia" w:ascii="宋体" w:hAnsi="宋体"/>
          <w:sz w:val="24"/>
          <w:szCs w:val="24"/>
          <w:lang w:val="en-US" w:eastAsia="zh-CN"/>
        </w:rPr>
        <w:t>采购</w:t>
      </w:r>
      <w:r>
        <w:rPr>
          <w:rFonts w:hint="eastAsia" w:ascii="宋体" w:hAnsi="宋体"/>
          <w:color w:val="000000"/>
          <w:sz w:val="24"/>
          <w:szCs w:val="24"/>
          <w:lang w:eastAsia="zh-CN"/>
        </w:rPr>
        <w:t>十二五以来高标准农田建设评估及上图入库工作项目</w:t>
      </w:r>
    </w:p>
    <w:p>
      <w:pPr>
        <w:spacing w:line="360" w:lineRule="auto"/>
        <w:ind w:firstLine="480" w:firstLineChars="200"/>
        <w:jc w:val="left"/>
        <w:rPr>
          <w:rFonts w:ascii="宋体" w:hAnsi="宋体"/>
          <w:sz w:val="24"/>
          <w:szCs w:val="24"/>
        </w:rPr>
      </w:pPr>
      <w:r>
        <w:rPr>
          <w:rFonts w:hint="eastAsia" w:ascii="宋体" w:hAnsi="宋体"/>
          <w:color w:val="000000"/>
          <w:sz w:val="24"/>
          <w:szCs w:val="24"/>
        </w:rPr>
        <w:t>批准文件编号：</w:t>
      </w:r>
      <w:r>
        <w:rPr>
          <w:rFonts w:hint="eastAsia" w:ascii="宋体" w:hAnsi="宋体"/>
          <w:color w:val="auto"/>
          <w:sz w:val="24"/>
          <w:szCs w:val="24"/>
        </w:rPr>
        <w:t>鄂财购</w:t>
      </w:r>
      <w:r>
        <w:rPr>
          <w:rFonts w:hint="eastAsia" w:ascii="宋体" w:hAnsi="宋体"/>
          <w:color w:val="auto"/>
          <w:sz w:val="24"/>
          <w:szCs w:val="24"/>
          <w:lang w:val="en-US" w:eastAsia="zh-CN"/>
        </w:rPr>
        <w:t>准</w:t>
      </w:r>
      <w:r>
        <w:rPr>
          <w:rFonts w:hint="eastAsia" w:ascii="宋体" w:hAnsi="宋体"/>
          <w:color w:val="auto"/>
          <w:sz w:val="24"/>
          <w:szCs w:val="24"/>
        </w:rPr>
        <w:t>字（电子）[</w:t>
      </w:r>
      <w:r>
        <w:rPr>
          <w:rFonts w:ascii="宋体" w:hAnsi="宋体"/>
          <w:color w:val="auto"/>
          <w:sz w:val="24"/>
          <w:szCs w:val="24"/>
        </w:rPr>
        <w:t>2020]QQ</w:t>
      </w:r>
      <w:r>
        <w:rPr>
          <w:rFonts w:hint="eastAsia" w:ascii="宋体" w:hAnsi="宋体"/>
          <w:color w:val="auto"/>
          <w:sz w:val="24"/>
          <w:szCs w:val="24"/>
          <w:lang w:val="en-US" w:eastAsia="zh-CN"/>
        </w:rPr>
        <w:t>00002</w:t>
      </w:r>
      <w:r>
        <w:rPr>
          <w:rFonts w:hint="eastAsia" w:ascii="宋体" w:hAnsi="宋体"/>
          <w:color w:val="auto"/>
          <w:sz w:val="24"/>
          <w:szCs w:val="24"/>
        </w:rPr>
        <w:t>号</w:t>
      </w:r>
    </w:p>
    <w:p>
      <w:pPr>
        <w:spacing w:line="360" w:lineRule="auto"/>
        <w:ind w:firstLine="480" w:firstLineChars="200"/>
        <w:jc w:val="left"/>
        <w:rPr>
          <w:rFonts w:ascii="宋体" w:hAnsi="宋体"/>
          <w:color w:val="000000"/>
          <w:sz w:val="24"/>
          <w:szCs w:val="24"/>
        </w:rPr>
      </w:pPr>
      <w:r>
        <w:rPr>
          <w:rFonts w:hint="eastAsia" w:ascii="宋体" w:hAnsi="宋体"/>
          <w:sz w:val="24"/>
          <w:szCs w:val="24"/>
        </w:rPr>
        <w:t>采购文件编号：</w:t>
      </w:r>
      <w:bookmarkStart w:id="139" w:name="_GoBack"/>
      <w:bookmarkEnd w:id="139"/>
      <w:r>
        <w:rPr>
          <w:rFonts w:hint="eastAsia" w:ascii="宋体" w:hAnsi="宋体"/>
          <w:color w:val="0000FF"/>
          <w:sz w:val="24"/>
          <w:szCs w:val="24"/>
          <w:lang w:eastAsia="zh-CN"/>
        </w:rPr>
        <w:t>CG2020FCS098</w:t>
      </w:r>
      <w:r>
        <w:rPr>
          <w:rFonts w:hint="eastAsia" w:ascii="宋体" w:hAnsi="宋体"/>
          <w:color w:val="0000FF"/>
          <w:sz w:val="24"/>
          <w:szCs w:val="24"/>
        </w:rPr>
        <w:t xml:space="preserve"> </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2.内容及分包情况（技术规格、参数及要求）</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746"/>
        <w:gridCol w:w="1899"/>
        <w:gridCol w:w="2162"/>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包号</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货物服务名称</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数量</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采购需求</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1</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sz w:val="24"/>
                <w:szCs w:val="24"/>
                <w:lang w:eastAsia="zh-CN"/>
              </w:rPr>
            </w:pPr>
            <w:r>
              <w:rPr>
                <w:rFonts w:hint="eastAsia" w:ascii="宋体" w:hAnsi="宋体"/>
                <w:sz w:val="21"/>
                <w:szCs w:val="21"/>
                <w:lang w:eastAsia="zh-CN"/>
              </w:rPr>
              <w:t>十二五以来高标准农田建设评估及上图入库工作项目</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1</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详见磋商文件</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lang w:eastAsia="zh-CN"/>
              </w:rPr>
              <w:t>601060</w:t>
            </w:r>
            <w:r>
              <w:rPr>
                <w:rFonts w:hint="eastAsia" w:ascii="宋体" w:hAnsi="宋体"/>
                <w:sz w:val="24"/>
                <w:szCs w:val="24"/>
              </w:rPr>
              <w:t>.00</w:t>
            </w:r>
          </w:p>
        </w:tc>
      </w:tr>
    </w:tbl>
    <w:p>
      <w:pPr>
        <w:spacing w:line="360" w:lineRule="auto"/>
        <w:rPr>
          <w:rFonts w:ascii="宋体" w:hAnsi="宋体"/>
          <w:b/>
          <w:sz w:val="24"/>
          <w:szCs w:val="24"/>
        </w:rPr>
      </w:pPr>
      <w:r>
        <w:rPr>
          <w:rFonts w:hint="eastAsia" w:ascii="宋体" w:hAnsi="宋体"/>
          <w:b/>
          <w:sz w:val="24"/>
          <w:szCs w:val="24"/>
        </w:rPr>
        <w:t>二.供应商的资格要求</w:t>
      </w:r>
    </w:p>
    <w:p>
      <w:pPr>
        <w:spacing w:line="360" w:lineRule="auto"/>
        <w:ind w:firstLine="480" w:firstLineChars="200"/>
        <w:rPr>
          <w:rFonts w:hint="default" w:eastAsia="宋体"/>
          <w:lang w:val="en-US" w:eastAsia="zh-CN"/>
        </w:rPr>
      </w:pPr>
      <w:r>
        <w:rPr>
          <w:rFonts w:hint="eastAsia" w:ascii="宋体" w:hAnsi="宋体"/>
          <w:color w:val="000000"/>
          <w:sz w:val="24"/>
          <w:szCs w:val="24"/>
        </w:rPr>
        <w:t>1.供应商应符合《中华人民共和国政府采购法》第二十二条规定的条件；</w:t>
      </w:r>
    </w:p>
    <w:p>
      <w:pPr>
        <w:pStyle w:val="23"/>
        <w:spacing w:line="360" w:lineRule="auto"/>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供应商</w:t>
      </w:r>
      <w:r>
        <w:rPr>
          <w:rFonts w:hint="eastAsia" w:ascii="宋体" w:hAnsi="宋体"/>
          <w:color w:val="000000" w:themeColor="text1"/>
          <w:sz w:val="24"/>
          <w:szCs w:val="24"/>
          <w:lang w:val="en-US" w:eastAsia="zh-CN"/>
          <w14:textFill>
            <w14:solidFill>
              <w14:schemeClr w14:val="tx1"/>
            </w14:solidFill>
          </w14:textFill>
        </w:rPr>
        <w:t>须同时具备水利行业丙级（含丙级）以上企业资质和农林行业专业乙级（含乙级）以上企业资质，并在人员、设备、资金等方面具有相应的能力；</w:t>
      </w:r>
    </w:p>
    <w:p>
      <w:pPr>
        <w:pStyle w:val="23"/>
        <w:spacing w:line="360" w:lineRule="auto"/>
        <w:ind w:firstLine="480" w:firstLineChars="200"/>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3.拟派项目负责人须具备水利或农林相关专业中级及以上技术职称；</w:t>
      </w:r>
    </w:p>
    <w:p>
      <w:pPr>
        <w:pStyle w:val="23"/>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.该项目不接受联合体投标。</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三.获取磋商文件的时间、地点、方式</w:t>
      </w:r>
    </w:p>
    <w:p>
      <w:pPr>
        <w:spacing w:line="360" w:lineRule="auto"/>
        <w:ind w:firstLine="480" w:firstLineChars="200"/>
        <w:textAlignment w:val="baseline"/>
        <w:rPr>
          <w:rFonts w:ascii="宋体" w:hAnsi="宋体"/>
          <w:sz w:val="24"/>
          <w:szCs w:val="24"/>
        </w:rPr>
      </w:pPr>
      <w:r>
        <w:rPr>
          <w:rFonts w:hint="eastAsia" w:ascii="宋体" w:hAnsi="宋体"/>
          <w:color w:val="000000" w:themeColor="text1"/>
          <w:sz w:val="24"/>
          <w:szCs w:val="24"/>
          <w14:textFill>
            <w14:solidFill>
              <w14:schemeClr w14:val="tx1"/>
            </w14:solidFill>
          </w14:textFill>
        </w:rPr>
        <w:t>符合上述条件的供应商可于</w:t>
      </w:r>
      <w:r>
        <w:rPr>
          <w:rFonts w:hint="eastAsia" w:ascii="宋体" w:hAnsi="宋体"/>
          <w:color w:val="000000" w:themeColor="text1"/>
          <w:sz w:val="24"/>
          <w:szCs w:val="24"/>
          <w:lang w:eastAsia="zh-CN"/>
          <w14:textFill>
            <w14:solidFill>
              <w14:schemeClr w14:val="tx1"/>
            </w14:solidFill>
          </w14:textFill>
        </w:rPr>
        <w:t>2020年04月03日</w:t>
      </w:r>
      <w:r>
        <w:rPr>
          <w:rFonts w:hint="eastAsia" w:ascii="宋体" w:hAnsi="宋体"/>
          <w:color w:val="000000" w:themeColor="text1"/>
          <w:sz w:val="24"/>
          <w:szCs w:val="24"/>
          <w14:textFill>
            <w14:solidFill>
              <w14:schemeClr w14:val="tx1"/>
            </w14:solidFill>
          </w14:textFill>
        </w:rPr>
        <w:t>起</w:t>
      </w:r>
      <w:r>
        <w:rPr>
          <w:rFonts w:hint="eastAsia" w:ascii="宋体" w:hAnsi="宋体"/>
          <w:sz w:val="24"/>
          <w:szCs w:val="24"/>
        </w:rPr>
        <w:t>登录内蒙古自治区政府采购网、内蒙古自治区公共资源交易网、鄂尔多斯市政府采购网、鄂尔多斯市公共资源交易网、鄂尔多斯市鄂托克前旗公共资源交易网、</w:t>
      </w:r>
      <w:r>
        <w:rPr>
          <w:rFonts w:hint="eastAsia" w:ascii="宋体" w:hAnsi="宋体"/>
          <w:bCs/>
          <w:sz w:val="24"/>
          <w:szCs w:val="24"/>
        </w:rPr>
        <w:t>鄂托克前旗人民政府网</w:t>
      </w:r>
      <w:r>
        <w:rPr>
          <w:rFonts w:hint="eastAsia" w:ascii="宋体" w:hAnsi="宋体"/>
          <w:sz w:val="24"/>
          <w:szCs w:val="24"/>
        </w:rPr>
        <w:t>站获取磋商文件。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1.内蒙古自治区政府采购网（http://www.nmgp.gov.cn）。登录网站页面，在“盟市旗县采购公告”中查询采购信息，点击信息公告页面下方的“相关附件”即可浏览、下载招标文件。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2.内蒙古自治区公共资源交易网（www.nmgggzyjy.gov.cn）。登录网站页面，在“政府采购采购公告”中查询采购信息。</w:t>
      </w:r>
    </w:p>
    <w:p>
      <w:pPr>
        <w:spacing w:line="360" w:lineRule="auto"/>
        <w:ind w:firstLine="480" w:firstLineChars="200"/>
        <w:textAlignment w:val="baseline"/>
        <w:rPr>
          <w:rFonts w:ascii="宋体" w:hAnsi="宋体"/>
          <w:sz w:val="24"/>
          <w:szCs w:val="24"/>
        </w:rPr>
      </w:pPr>
      <w:r>
        <w:rPr>
          <w:rFonts w:hint="eastAsia" w:ascii="宋体" w:hAnsi="宋体"/>
          <w:sz w:val="24"/>
          <w:szCs w:val="24"/>
        </w:rPr>
        <w:t>3.鄂尔多斯市政府采购网（http://www.ordoscg.gov.cn）。登陆网站页面，点击“政府采购公告”，查询采购信息，点击信息公告页面中“下载招标文件”可浏览、下载招标文件。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4.鄂尔多斯市公共资源交易网（http://www.ordosggzyjy.org.cn）。登陆网站页面，点击“政府采购”中的“信息公告”栏，查询采购信息，点击信息公告页面左下角“附件”即可浏览、下载招标文件。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5.鄂尔多斯市鄂托克前旗公共资源交易网（http://www.ordosggzyjy.org.cn/TPFront_etkqq/）。登陆网站页面，点击“政府采购”中的“信息公告”栏，查询采购信息，点击信息公告页面左下角“附件”即可浏览、下载招标文件</w:t>
      </w:r>
    </w:p>
    <w:p>
      <w:pPr>
        <w:spacing w:line="5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sz w:val="24"/>
          <w:szCs w:val="24"/>
        </w:rPr>
        <w:t>6</w:t>
      </w:r>
      <w:r>
        <w:rPr>
          <w:rFonts w:hint="eastAsia" w:ascii="宋体" w:hAnsi="宋体"/>
          <w:sz w:val="24"/>
          <w:szCs w:val="24"/>
        </w:rPr>
        <w:t>.</w:t>
      </w:r>
      <w:r>
        <w:rPr>
          <w:rFonts w:hint="eastAsia" w:ascii="宋体" w:hAnsi="宋体"/>
          <w:bCs/>
          <w:sz w:val="24"/>
          <w:szCs w:val="24"/>
        </w:rPr>
        <w:t>鄂托克前旗人民政府网（http://www.etkqq.gov.cn/）。</w:t>
      </w:r>
      <w:r>
        <w:rPr>
          <w:rFonts w:hint="eastAsia" w:ascii="宋体" w:hAnsi="宋体"/>
          <w:sz w:val="24"/>
          <w:szCs w:val="24"/>
        </w:rPr>
        <w:t>登陆网站页面，点击“信息公开目录</w:t>
      </w:r>
      <w:r>
        <w:rPr>
          <w:rFonts w:hint="eastAsia" w:ascii="宋体" w:hAnsi="宋体"/>
          <w:bCs/>
          <w:sz w:val="24"/>
          <w:szCs w:val="24"/>
        </w:rPr>
        <w:t>”栏，点击公共资源交易中心链接进入后，栏目右侧通知公告一栏中即可浏览采购公告、也可下载招标文件。</w:t>
      </w:r>
    </w:p>
    <w:p>
      <w:pPr>
        <w:spacing w:line="360" w:lineRule="auto"/>
        <w:ind w:firstLine="480" w:firstLineChars="200"/>
        <w:textAlignment w:val="baseline"/>
        <w:rPr>
          <w:rFonts w:ascii="宋体" w:hAnsi="宋体"/>
          <w:bCs/>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7.报名时间（</w:t>
      </w:r>
      <w:r>
        <w:rPr>
          <w:rFonts w:hint="eastAsia" w:ascii="宋体" w:hAnsi="宋体"/>
          <w:color w:val="000000" w:themeColor="text1"/>
          <w:sz w:val="24"/>
          <w:szCs w:val="24"/>
          <w14:textFill>
            <w14:solidFill>
              <w14:schemeClr w14:val="tx1"/>
            </w14:solidFill>
          </w14:textFill>
        </w:rPr>
        <w:t>磋商文件</w:t>
      </w:r>
      <w:r>
        <w:rPr>
          <w:rFonts w:hint="eastAsia" w:ascii="宋体" w:hAnsi="宋体" w:cs="宋体"/>
          <w:color w:val="000000" w:themeColor="text1"/>
          <w:kern w:val="0"/>
          <w:sz w:val="24"/>
          <w:szCs w:val="24"/>
          <w14:textFill>
            <w14:solidFill>
              <w14:schemeClr w14:val="tx1"/>
            </w14:solidFill>
          </w14:textFill>
        </w:rPr>
        <w:t>提供期限）：</w:t>
      </w:r>
      <w:r>
        <w:rPr>
          <w:rFonts w:hint="eastAsia" w:ascii="宋体" w:hAnsi="宋体"/>
          <w:bCs/>
          <w:color w:val="000000" w:themeColor="text1"/>
          <w:sz w:val="24"/>
          <w:szCs w:val="24"/>
          <w:lang w:eastAsia="zh-CN"/>
          <w14:textFill>
            <w14:solidFill>
              <w14:schemeClr w14:val="tx1"/>
            </w14:solidFill>
          </w14:textFill>
        </w:rPr>
        <w:t>2020年04月03日</w:t>
      </w:r>
      <w:r>
        <w:rPr>
          <w:rFonts w:hint="eastAsia" w:ascii="宋体" w:hAnsi="宋体"/>
          <w:bCs/>
          <w:color w:val="000000" w:themeColor="text1"/>
          <w:sz w:val="24"/>
          <w:szCs w:val="24"/>
          <w14:textFill>
            <w14:solidFill>
              <w14:schemeClr w14:val="tx1"/>
            </w14:solidFill>
          </w14:textFill>
        </w:rPr>
        <w:t>至</w:t>
      </w:r>
      <w:r>
        <w:rPr>
          <w:rFonts w:hint="eastAsia" w:ascii="宋体" w:hAnsi="宋体"/>
          <w:bCs/>
          <w:color w:val="000000" w:themeColor="text1"/>
          <w:sz w:val="24"/>
          <w:szCs w:val="24"/>
          <w:lang w:eastAsia="zh-CN"/>
          <w14:textFill>
            <w14:solidFill>
              <w14:schemeClr w14:val="tx1"/>
            </w14:solidFill>
          </w14:textFill>
        </w:rPr>
        <w:t>2020年04月10日</w:t>
      </w:r>
      <w:r>
        <w:rPr>
          <w:rFonts w:hint="eastAsia" w:ascii="宋体" w:hAnsi="宋体"/>
          <w:bCs/>
          <w:color w:val="000000" w:themeColor="text1"/>
          <w:sz w:val="24"/>
          <w:szCs w:val="24"/>
          <w14:textFill>
            <w14:solidFill>
              <w14:schemeClr w14:val="tx1"/>
            </w14:solidFill>
          </w14:textFill>
        </w:rPr>
        <w:t>17时30分。</w:t>
      </w:r>
    </w:p>
    <w:p>
      <w:pPr>
        <w:spacing w:line="360" w:lineRule="auto"/>
        <w:textAlignment w:val="baseline"/>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四.采购文件售价</w:t>
      </w:r>
    </w:p>
    <w:p>
      <w:pPr>
        <w:spacing w:line="360" w:lineRule="auto"/>
        <w:ind w:firstLine="480" w:firstLineChars="200"/>
        <w:rPr>
          <w:rFonts w:hint="eastAsia" w:ascii="宋体" w:hAnsi="宋体"/>
          <w:b w:val="0"/>
          <w:bCs/>
          <w:color w:val="000000" w:themeColor="text1"/>
          <w:sz w:val="24"/>
          <w:szCs w:val="24"/>
          <w14:textFill>
            <w14:solidFill>
              <w14:schemeClr w14:val="tx1"/>
            </w14:solidFill>
          </w14:textFill>
        </w:rPr>
      </w:pPr>
      <w:r>
        <w:rPr>
          <w:rFonts w:hint="eastAsia" w:ascii="宋体" w:hAnsi="宋体"/>
          <w:b w:val="0"/>
          <w:bCs/>
          <w:color w:val="000000" w:themeColor="text1"/>
          <w:sz w:val="24"/>
          <w:szCs w:val="24"/>
          <w14:textFill>
            <w14:solidFill>
              <w14:schemeClr w14:val="tx1"/>
            </w14:solidFill>
          </w14:textFill>
        </w:rPr>
        <w:t>本次采购文件的售价为</w:t>
      </w:r>
      <w:r>
        <w:rPr>
          <w:rFonts w:hint="eastAsia" w:ascii="宋体" w:hAnsi="宋体"/>
          <w:b w:val="0"/>
          <w:bCs/>
          <w:color w:val="000000" w:themeColor="text1"/>
          <w:sz w:val="24"/>
          <w:szCs w:val="24"/>
          <w:lang w:val="en-US" w:eastAsia="zh-CN"/>
          <w14:textFill>
            <w14:solidFill>
              <w14:schemeClr w14:val="tx1"/>
            </w14:solidFill>
          </w14:textFill>
        </w:rPr>
        <w:t>5</w:t>
      </w:r>
      <w:r>
        <w:rPr>
          <w:rFonts w:hint="eastAsia" w:ascii="宋体" w:hAnsi="宋体"/>
          <w:b w:val="0"/>
          <w:bCs/>
          <w:color w:val="000000" w:themeColor="text1"/>
          <w:sz w:val="24"/>
          <w:szCs w:val="24"/>
          <w14:textFill>
            <w14:solidFill>
              <w14:schemeClr w14:val="tx1"/>
            </w14:solidFill>
          </w14:textFill>
        </w:rPr>
        <w:t>00元人民币，开标现场收取，</w:t>
      </w:r>
      <w:r>
        <w:rPr>
          <w:rFonts w:hint="eastAsia" w:ascii="宋体" w:hAnsi="宋体"/>
          <w:b w:val="0"/>
          <w:bCs/>
          <w:color w:val="000000" w:themeColor="text1"/>
          <w:sz w:val="24"/>
          <w:szCs w:val="24"/>
          <w:lang w:val="en-US" w:eastAsia="zh-CN"/>
          <w14:textFill>
            <w14:solidFill>
              <w14:schemeClr w14:val="tx1"/>
            </w14:solidFill>
          </w14:textFill>
        </w:rPr>
        <w:t>售后不退，</w:t>
      </w:r>
      <w:r>
        <w:rPr>
          <w:rFonts w:hint="eastAsia" w:ascii="宋体" w:hAnsi="宋体"/>
          <w:b w:val="0"/>
          <w:bCs/>
          <w:color w:val="000000" w:themeColor="text1"/>
          <w:sz w:val="24"/>
          <w:szCs w:val="24"/>
          <w14:textFill>
            <w14:solidFill>
              <w14:schemeClr w14:val="tx1"/>
            </w14:solidFill>
          </w14:textFill>
        </w:rPr>
        <w:t>不交纳采购文件费的拒绝接收投标文件。</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五.递交投标（响应）文件截止时间、开标时间及地点</w:t>
      </w:r>
    </w:p>
    <w:p>
      <w:pPr>
        <w:spacing w:line="360" w:lineRule="auto"/>
        <w:ind w:firstLine="480" w:firstLineChars="20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递交投标（响应）文件截止时间：</w:t>
      </w:r>
      <w:r>
        <w:rPr>
          <w:rFonts w:hint="eastAsia" w:ascii="宋体" w:hAnsi="宋体"/>
          <w:color w:val="000000" w:themeColor="text1"/>
          <w:sz w:val="24"/>
          <w:szCs w:val="24"/>
          <w:lang w:eastAsia="zh-CN"/>
          <w14:textFill>
            <w14:solidFill>
              <w14:schemeClr w14:val="tx1"/>
            </w14:solidFill>
          </w14:textFill>
        </w:rPr>
        <w:t>2020年04月14日上午09时00分</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投标地点：鄂尔多斯市鄂托克前旗公共资源交易中心开标二室（鄂托克前旗公园西路文化产业园东区C2座）</w:t>
      </w:r>
    </w:p>
    <w:p>
      <w:pPr>
        <w:spacing w:line="360" w:lineRule="auto"/>
        <w:ind w:firstLine="480" w:firstLineChars="20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开标时间：</w:t>
      </w:r>
      <w:r>
        <w:rPr>
          <w:rFonts w:hint="eastAsia" w:ascii="宋体" w:hAnsi="宋体"/>
          <w:color w:val="000000" w:themeColor="text1"/>
          <w:sz w:val="24"/>
          <w:szCs w:val="24"/>
          <w:lang w:eastAsia="zh-CN"/>
          <w14:textFill>
            <w14:solidFill>
              <w14:schemeClr w14:val="tx1"/>
            </w14:solidFill>
          </w14:textFill>
        </w:rPr>
        <w:t>2020年04月14日上午09时00分</w:t>
      </w:r>
    </w:p>
    <w:p>
      <w:pPr>
        <w:spacing w:line="360" w:lineRule="auto"/>
        <w:ind w:firstLine="480" w:firstLineChars="200"/>
        <w:rPr>
          <w:rFonts w:ascii="宋体" w:hAnsi="宋体"/>
          <w:sz w:val="24"/>
          <w:szCs w:val="24"/>
        </w:rPr>
      </w:pPr>
      <w:r>
        <w:rPr>
          <w:rFonts w:hint="eastAsia" w:ascii="宋体" w:hAnsi="宋体"/>
          <w:sz w:val="24"/>
          <w:szCs w:val="24"/>
        </w:rPr>
        <w:t>开标地点：鄂尔多斯市鄂托克前旗公共资源交易中心开标二室（鄂托克前旗公园西路文化产业园东区C2座）</w:t>
      </w:r>
    </w:p>
    <w:p>
      <w:pPr>
        <w:spacing w:line="360" w:lineRule="auto"/>
        <w:rPr>
          <w:rFonts w:ascii="宋体" w:hAnsi="宋体"/>
          <w:b/>
          <w:sz w:val="24"/>
          <w:szCs w:val="24"/>
        </w:rPr>
      </w:pPr>
      <w:r>
        <w:rPr>
          <w:rFonts w:hint="eastAsia" w:ascii="宋体" w:hAnsi="宋体"/>
          <w:b/>
          <w:sz w:val="24"/>
          <w:szCs w:val="24"/>
        </w:rPr>
        <w:t>六.联系方式</w:t>
      </w:r>
    </w:p>
    <w:p>
      <w:pPr>
        <w:spacing w:line="360" w:lineRule="auto"/>
        <w:ind w:firstLine="480" w:firstLineChars="200"/>
        <w:rPr>
          <w:rFonts w:ascii="宋体" w:hAnsi="宋体"/>
          <w:sz w:val="24"/>
          <w:szCs w:val="24"/>
        </w:rPr>
      </w:pPr>
      <w:r>
        <w:rPr>
          <w:rFonts w:hint="eastAsia" w:ascii="宋体" w:hAnsi="宋体"/>
          <w:sz w:val="24"/>
          <w:szCs w:val="24"/>
        </w:rPr>
        <w:t>采购代理机构名称：</w:t>
      </w:r>
      <w:r>
        <w:rPr>
          <w:rFonts w:hint="eastAsia" w:ascii="宋体" w:hAnsi="宋体"/>
          <w:sz w:val="24"/>
          <w:szCs w:val="24"/>
          <w:lang w:val="en-US" w:eastAsia="zh-CN"/>
        </w:rPr>
        <w:t>鄂尔多斯市金博工程项目管理有限公司</w:t>
      </w:r>
    </w:p>
    <w:p>
      <w:pPr>
        <w:spacing w:line="360" w:lineRule="auto"/>
        <w:ind w:right="-140" w:rightChars="-50" w:firstLine="480" w:firstLineChars="200"/>
        <w:rPr>
          <w:rFonts w:hint="eastAsia" w:ascii="宋体" w:hAnsi="宋体" w:eastAsia="宋体"/>
          <w:color w:val="000000"/>
          <w:sz w:val="24"/>
          <w:szCs w:val="24"/>
          <w:lang w:eastAsia="zh-CN"/>
        </w:rPr>
      </w:pPr>
      <w:r>
        <w:rPr>
          <w:rFonts w:hint="eastAsia" w:ascii="宋体" w:hAnsi="宋体"/>
          <w:sz w:val="24"/>
          <w:szCs w:val="24"/>
        </w:rPr>
        <w:t>地址：</w:t>
      </w:r>
      <w:r>
        <w:rPr>
          <w:rFonts w:hint="eastAsia" w:ascii="宋体" w:hAnsi="宋体"/>
          <w:color w:val="000000"/>
          <w:sz w:val="24"/>
          <w:szCs w:val="24"/>
        </w:rPr>
        <w:t>鄂托克前旗</w:t>
      </w:r>
      <w:r>
        <w:rPr>
          <w:rFonts w:hint="eastAsia" w:ascii="宋体" w:hAnsi="宋体"/>
          <w:color w:val="000000"/>
          <w:sz w:val="24"/>
          <w:szCs w:val="24"/>
          <w:lang w:val="en-US" w:eastAsia="zh-CN"/>
        </w:rPr>
        <w:t>敖勒召其镇</w:t>
      </w:r>
    </w:p>
    <w:p>
      <w:pPr>
        <w:spacing w:line="360" w:lineRule="auto"/>
        <w:ind w:firstLine="480" w:firstLineChars="200"/>
        <w:rPr>
          <w:rFonts w:ascii="宋体" w:hAnsi="宋体"/>
          <w:sz w:val="24"/>
          <w:szCs w:val="24"/>
        </w:rPr>
      </w:pPr>
      <w:r>
        <w:rPr>
          <w:rFonts w:hint="eastAsia" w:ascii="宋体" w:hAnsi="宋体"/>
          <w:sz w:val="24"/>
          <w:szCs w:val="24"/>
        </w:rPr>
        <w:t>邮政编码：016200</w:t>
      </w:r>
    </w:p>
    <w:p>
      <w:pPr>
        <w:spacing w:line="360" w:lineRule="auto"/>
        <w:ind w:firstLine="480" w:firstLineChars="200"/>
        <w:rPr>
          <w:rFonts w:hint="eastAsia" w:ascii="宋体" w:hAnsi="宋体" w:eastAsia="宋体"/>
          <w:color w:val="000000"/>
          <w:sz w:val="24"/>
          <w:szCs w:val="24"/>
          <w:lang w:eastAsia="zh-CN"/>
        </w:rPr>
      </w:pPr>
      <w:r>
        <w:rPr>
          <w:rFonts w:hint="eastAsia" w:ascii="宋体" w:hAnsi="宋体"/>
          <w:sz w:val="24"/>
          <w:szCs w:val="24"/>
        </w:rPr>
        <w:t>联系人：</w:t>
      </w:r>
      <w:r>
        <w:rPr>
          <w:rFonts w:hint="eastAsia" w:ascii="宋体" w:hAnsi="宋体"/>
          <w:sz w:val="24"/>
          <w:szCs w:val="24"/>
          <w:lang w:eastAsia="zh-CN"/>
        </w:rPr>
        <w:t>林晓伟</w:t>
      </w:r>
      <w:r>
        <w:rPr>
          <w:rFonts w:hint="eastAsia" w:ascii="宋体" w:hAnsi="宋体"/>
          <w:sz w:val="24"/>
          <w:szCs w:val="24"/>
        </w:rPr>
        <w:t xml:space="preserve">      联系电话：</w:t>
      </w:r>
      <w:r>
        <w:rPr>
          <w:rFonts w:hint="eastAsia" w:ascii="宋体" w:hAnsi="宋体"/>
          <w:sz w:val="24"/>
          <w:szCs w:val="24"/>
          <w:lang w:eastAsia="zh-CN"/>
        </w:rPr>
        <w:t>18947706825</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采购单位名称：</w:t>
      </w:r>
      <w:r>
        <w:rPr>
          <w:rFonts w:hint="eastAsia" w:ascii="宋体" w:hAnsi="宋体"/>
          <w:sz w:val="24"/>
          <w:szCs w:val="24"/>
          <w:lang w:eastAsia="zh-CN"/>
        </w:rPr>
        <w:t>鄂托克前旗农牧业综合开发中心</w:t>
      </w:r>
    </w:p>
    <w:p>
      <w:pPr>
        <w:spacing w:line="360" w:lineRule="auto"/>
        <w:ind w:firstLine="480" w:firstLineChars="200"/>
        <w:rPr>
          <w:rFonts w:ascii="宋体" w:hAnsi="宋体"/>
          <w:sz w:val="24"/>
          <w:szCs w:val="24"/>
        </w:rPr>
      </w:pPr>
      <w:r>
        <w:rPr>
          <w:rFonts w:hint="eastAsia" w:ascii="宋体" w:hAnsi="宋体"/>
          <w:sz w:val="24"/>
          <w:szCs w:val="24"/>
        </w:rPr>
        <w:t>地址：</w:t>
      </w:r>
      <w:r>
        <w:rPr>
          <w:rFonts w:hint="eastAsia" w:ascii="宋体" w:hAnsi="宋体"/>
          <w:color w:val="000000"/>
          <w:sz w:val="24"/>
          <w:szCs w:val="24"/>
        </w:rPr>
        <w:t>鄂托克前旗</w:t>
      </w:r>
      <w:r>
        <w:rPr>
          <w:rFonts w:hint="eastAsia" w:ascii="宋体" w:hAnsi="宋体"/>
          <w:color w:val="000000"/>
          <w:sz w:val="24"/>
          <w:szCs w:val="24"/>
          <w:lang w:val="en-US" w:eastAsia="zh-CN"/>
        </w:rPr>
        <w:t>敖勒召其镇</w:t>
      </w:r>
    </w:p>
    <w:p>
      <w:pPr>
        <w:spacing w:line="360" w:lineRule="auto"/>
        <w:ind w:firstLine="480" w:firstLineChars="200"/>
        <w:rPr>
          <w:rFonts w:ascii="宋体" w:hAnsi="宋体"/>
          <w:sz w:val="24"/>
          <w:szCs w:val="24"/>
        </w:rPr>
      </w:pPr>
      <w:r>
        <w:rPr>
          <w:rFonts w:hint="eastAsia" w:ascii="宋体" w:hAnsi="宋体"/>
          <w:sz w:val="24"/>
          <w:szCs w:val="24"/>
        </w:rPr>
        <w:t>邮政编码：016200</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联系人：</w:t>
      </w:r>
      <w:r>
        <w:rPr>
          <w:rFonts w:hint="eastAsia" w:ascii="宋体" w:hAnsi="宋体"/>
          <w:sz w:val="24"/>
          <w:szCs w:val="24"/>
          <w:lang w:eastAsia="zh-CN"/>
        </w:rPr>
        <w:t>袁海强</w:t>
      </w:r>
      <w:r>
        <w:rPr>
          <w:rFonts w:hint="eastAsia" w:ascii="宋体" w:hAnsi="宋体"/>
          <w:sz w:val="24"/>
          <w:szCs w:val="24"/>
        </w:rPr>
        <w:t xml:space="preserve">       联系电话：</w:t>
      </w:r>
      <w:r>
        <w:rPr>
          <w:rFonts w:hint="eastAsia" w:ascii="宋体" w:hAnsi="宋体"/>
          <w:sz w:val="24"/>
          <w:szCs w:val="24"/>
          <w:lang w:eastAsia="zh-CN"/>
        </w:rPr>
        <w:t>13634776638</w:t>
      </w:r>
    </w:p>
    <w:p>
      <w:pPr>
        <w:spacing w:line="360" w:lineRule="auto"/>
        <w:ind w:firstLine="600" w:firstLineChars="250"/>
        <w:rPr>
          <w:rFonts w:ascii="宋体" w:hAnsi="宋体"/>
          <w:sz w:val="24"/>
          <w:szCs w:val="24"/>
        </w:rPr>
      </w:pPr>
      <w:r>
        <w:rPr>
          <w:rFonts w:hint="eastAsia" w:ascii="宋体" w:hAnsi="宋体"/>
          <w:sz w:val="24"/>
          <w:szCs w:val="24"/>
        </w:rPr>
        <w:t xml:space="preserve">                              </w:t>
      </w:r>
    </w:p>
    <w:p>
      <w:pPr>
        <w:pStyle w:val="23"/>
      </w:pPr>
    </w:p>
    <w:p>
      <w:pPr>
        <w:spacing w:line="360" w:lineRule="auto"/>
        <w:ind w:firstLine="3840" w:firstLineChars="1600"/>
        <w:rPr>
          <w:rFonts w:hint="eastAsia" w:ascii="宋体" w:hAnsi="宋体"/>
          <w:sz w:val="24"/>
          <w:szCs w:val="24"/>
          <w:lang w:val="en-US" w:eastAsia="zh-CN"/>
        </w:rPr>
      </w:pPr>
      <w:r>
        <w:rPr>
          <w:rFonts w:hint="eastAsia" w:ascii="宋体" w:hAnsi="宋体"/>
          <w:sz w:val="24"/>
          <w:szCs w:val="24"/>
          <w:lang w:val="en-US" w:eastAsia="zh-CN"/>
        </w:rPr>
        <w:t>鄂尔多斯市金博工程项目管理有限公司</w:t>
      </w:r>
    </w:p>
    <w:p>
      <w:pPr>
        <w:spacing w:line="360" w:lineRule="auto"/>
        <w:ind w:firstLine="4800" w:firstLineChars="200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2020年04月03日</w:t>
      </w:r>
    </w:p>
    <w:p>
      <w:pPr>
        <w:spacing w:line="360" w:lineRule="auto"/>
        <w:jc w:val="center"/>
        <w:rPr>
          <w:rFonts w:ascii="宋体" w:hAnsi="宋体"/>
          <w:b/>
          <w:sz w:val="24"/>
          <w:szCs w:val="24"/>
        </w:rPr>
      </w:pPr>
      <w:r>
        <w:rPr>
          <w:rFonts w:ascii="宋体" w:hAnsi="宋体"/>
          <w:b/>
          <w:sz w:val="24"/>
          <w:szCs w:val="24"/>
        </w:rPr>
        <w:br w:type="page"/>
      </w:r>
    </w:p>
    <w:p>
      <w:pPr>
        <w:spacing w:line="360" w:lineRule="auto"/>
        <w:jc w:val="center"/>
        <w:outlineLvl w:val="0"/>
        <w:rPr>
          <w:rFonts w:ascii="宋体" w:hAnsi="宋体"/>
          <w:b/>
          <w:sz w:val="24"/>
          <w:szCs w:val="24"/>
        </w:rPr>
      </w:pPr>
      <w:bookmarkStart w:id="1" w:name="_Toc497408601"/>
      <w:r>
        <w:rPr>
          <w:rFonts w:hint="eastAsia" w:ascii="宋体" w:hAnsi="宋体"/>
          <w:b/>
          <w:sz w:val="24"/>
          <w:szCs w:val="24"/>
        </w:rPr>
        <w:t>第二章 供应商须知</w:t>
      </w:r>
      <w:bookmarkEnd w:id="1"/>
    </w:p>
    <w:p>
      <w:pPr>
        <w:spacing w:line="360" w:lineRule="auto"/>
        <w:rPr>
          <w:rFonts w:ascii="宋体" w:hAnsi="宋体"/>
          <w:b/>
          <w:sz w:val="24"/>
          <w:szCs w:val="24"/>
        </w:rPr>
      </w:pPr>
      <w:r>
        <w:rPr>
          <w:rFonts w:hint="eastAsia" w:ascii="宋体" w:hAnsi="宋体"/>
          <w:b/>
          <w:sz w:val="24"/>
          <w:szCs w:val="24"/>
        </w:rPr>
        <w:t>一.前附表</w:t>
      </w:r>
    </w:p>
    <w:tbl>
      <w:tblPr>
        <w:tblStyle w:val="26"/>
        <w:tblW w:w="96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2465"/>
        <w:gridCol w:w="64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条款名称</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鄂托克前旗农牧业综合开发中心</w:t>
            </w:r>
          </w:p>
          <w:p>
            <w:pPr>
              <w:spacing w:line="360" w:lineRule="auto"/>
              <w:ind w:right="-140" w:rightChars="-5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联系人：</w:t>
            </w:r>
            <w:r>
              <w:rPr>
                <w:rFonts w:hint="eastAsia" w:asciiTheme="minorEastAsia" w:hAnsiTheme="minorEastAsia" w:eastAsiaTheme="minorEastAsia"/>
                <w:sz w:val="24"/>
                <w:szCs w:val="24"/>
                <w:lang w:eastAsia="zh-CN"/>
              </w:rPr>
              <w:t>袁海强</w:t>
            </w:r>
            <w:r>
              <w:rPr>
                <w:rFonts w:hint="eastAsia" w:asciiTheme="minorEastAsia" w:hAnsiTheme="minorEastAsia" w:eastAsiaTheme="minorEastAsia"/>
                <w:sz w:val="24"/>
                <w:szCs w:val="24"/>
              </w:rPr>
              <w:t xml:space="preserve">      联系电话：</w:t>
            </w:r>
            <w:r>
              <w:rPr>
                <w:rFonts w:hint="eastAsia" w:asciiTheme="minorEastAsia" w:hAnsiTheme="minorEastAsia" w:eastAsiaTheme="minorEastAsia"/>
                <w:sz w:val="24"/>
                <w:szCs w:val="24"/>
                <w:lang w:eastAsia="zh-CN"/>
              </w:rPr>
              <w:t>13634776638</w:t>
            </w:r>
          </w:p>
          <w:p>
            <w:pPr>
              <w:spacing w:line="360" w:lineRule="auto"/>
              <w:ind w:right="-140" w:rightChars="-50"/>
              <w:rPr>
                <w:rFonts w:asciiTheme="minorEastAsia" w:hAnsiTheme="minorEastAsia" w:eastAsiaTheme="minorEastAsia"/>
                <w:sz w:val="24"/>
                <w:szCs w:val="24"/>
              </w:rPr>
            </w:pPr>
            <w:r>
              <w:rPr>
                <w:rFonts w:hint="eastAsia" w:asciiTheme="minorEastAsia" w:hAnsiTheme="minorEastAsia" w:eastAsiaTheme="minorEastAsia"/>
                <w:sz w:val="24"/>
                <w:szCs w:val="24"/>
              </w:rPr>
              <w:t>地址：</w:t>
            </w:r>
            <w:r>
              <w:rPr>
                <w:rFonts w:hint="eastAsia" w:ascii="宋体" w:hAnsi="宋体"/>
                <w:color w:val="000000"/>
                <w:sz w:val="24"/>
                <w:szCs w:val="24"/>
              </w:rPr>
              <w:t>鄂托克前旗</w:t>
            </w:r>
            <w:r>
              <w:rPr>
                <w:rFonts w:hint="eastAsia" w:ascii="宋体" w:hAnsi="宋体"/>
                <w:color w:val="000000"/>
                <w:sz w:val="24"/>
                <w:szCs w:val="24"/>
                <w:lang w:val="en-US" w:eastAsia="zh-CN"/>
              </w:rPr>
              <w:t>敖勒召其镇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采购代理机构</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sz w:val="24"/>
                <w:szCs w:val="24"/>
                <w:lang w:val="en-US" w:eastAsia="zh-CN"/>
              </w:rPr>
              <w:t>鄂尔多斯市金博工程项目管理有限公司</w:t>
            </w:r>
            <w:r>
              <w:rPr>
                <w:rFonts w:hint="eastAsia" w:ascii="宋体" w:hAnsi="宋体"/>
                <w:color w:val="000000"/>
                <w:sz w:val="24"/>
                <w:szCs w:val="24"/>
              </w:rPr>
              <w:t xml:space="preserve"> </w:t>
            </w:r>
          </w:p>
          <w:p>
            <w:pPr>
              <w:spacing w:line="360" w:lineRule="auto"/>
              <w:ind w:right="-140" w:rightChars="-50"/>
              <w:rPr>
                <w:rFonts w:hint="eastAsia" w:ascii="宋体" w:hAnsi="宋体" w:eastAsia="宋体"/>
                <w:color w:val="000000"/>
                <w:sz w:val="24"/>
                <w:szCs w:val="24"/>
                <w:lang w:eastAsia="zh-CN"/>
              </w:rPr>
            </w:pPr>
            <w:r>
              <w:rPr>
                <w:rFonts w:hint="eastAsia" w:ascii="宋体" w:hAnsi="宋体"/>
                <w:color w:val="000000"/>
                <w:sz w:val="24"/>
                <w:szCs w:val="24"/>
              </w:rPr>
              <w:t>联系人：</w:t>
            </w:r>
            <w:r>
              <w:rPr>
                <w:rFonts w:hint="eastAsia" w:ascii="宋体" w:hAnsi="宋体"/>
                <w:color w:val="000000"/>
                <w:sz w:val="24"/>
                <w:szCs w:val="24"/>
                <w:lang w:eastAsia="zh-CN"/>
              </w:rPr>
              <w:t>林晓伟</w:t>
            </w:r>
            <w:r>
              <w:rPr>
                <w:rFonts w:hint="eastAsia" w:ascii="宋体" w:hAnsi="宋体"/>
                <w:color w:val="000000"/>
                <w:sz w:val="24"/>
                <w:szCs w:val="24"/>
              </w:rPr>
              <w:t xml:space="preserve">      联系电话：</w:t>
            </w:r>
            <w:r>
              <w:rPr>
                <w:rFonts w:hint="eastAsia" w:ascii="宋体" w:hAnsi="宋体"/>
                <w:color w:val="000000"/>
                <w:sz w:val="24"/>
                <w:szCs w:val="24"/>
                <w:lang w:eastAsia="zh-CN"/>
              </w:rPr>
              <w:t>18947706825</w:t>
            </w:r>
          </w:p>
          <w:p>
            <w:pPr>
              <w:spacing w:line="360" w:lineRule="auto"/>
              <w:ind w:right="-140" w:rightChars="-50"/>
              <w:rPr>
                <w:rFonts w:ascii="宋体" w:hAnsi="宋体"/>
                <w:color w:val="000000"/>
                <w:sz w:val="24"/>
                <w:szCs w:val="24"/>
              </w:rPr>
            </w:pPr>
            <w:r>
              <w:rPr>
                <w:rFonts w:hint="eastAsia" w:ascii="宋体" w:hAnsi="宋体"/>
                <w:color w:val="000000"/>
                <w:sz w:val="24"/>
                <w:szCs w:val="24"/>
              </w:rPr>
              <w:t>地址：鄂托克前旗</w:t>
            </w:r>
            <w:r>
              <w:rPr>
                <w:rFonts w:hint="eastAsia" w:ascii="宋体" w:hAnsi="宋体"/>
                <w:color w:val="000000"/>
                <w:sz w:val="24"/>
                <w:szCs w:val="24"/>
                <w:lang w:val="en-US" w:eastAsia="zh-CN"/>
              </w:rPr>
              <w:t>敖勒召其镇</w:t>
            </w:r>
            <w:r>
              <w:rPr>
                <w:rFonts w:hint="eastAsia" w:ascii="宋体" w:hAnsi="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项目内容及要求</w:t>
            </w:r>
          </w:p>
        </w:tc>
        <w:tc>
          <w:tcPr>
            <w:tcW w:w="645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textAlignment w:val="baseline"/>
              <w:rPr>
                <w:rFonts w:ascii="宋体" w:hAnsi="宋体"/>
                <w:color w:val="000000"/>
                <w:sz w:val="24"/>
                <w:szCs w:val="24"/>
              </w:rPr>
            </w:pPr>
            <w:r>
              <w:rPr>
                <w:rFonts w:hint="eastAsia" w:ascii="宋体" w:hAnsi="宋体"/>
                <w:color w:val="000000"/>
                <w:sz w:val="24"/>
                <w:szCs w:val="24"/>
              </w:rPr>
              <w:t>详见磋商文件第四章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采购预算</w:t>
            </w:r>
          </w:p>
        </w:tc>
        <w:tc>
          <w:tcPr>
            <w:tcW w:w="645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 w:val="24"/>
                <w:szCs w:val="24"/>
                <w:lang w:val="en-US" w:eastAsia="zh-CN"/>
              </w:rPr>
            </w:pPr>
            <w:r>
              <w:rPr>
                <w:rFonts w:hint="eastAsia" w:ascii="宋体" w:hAnsi="宋体"/>
                <w:color w:val="000000"/>
                <w:sz w:val="24"/>
                <w:szCs w:val="24"/>
                <w:u w:val="none"/>
                <w:lang w:val="en-US" w:eastAsia="zh-CN"/>
              </w:rPr>
              <w:t>总预算为</w:t>
            </w:r>
            <w:r>
              <w:rPr>
                <w:rFonts w:hint="eastAsia" w:ascii="宋体" w:hAnsi="宋体"/>
                <w:color w:val="000000"/>
                <w:sz w:val="24"/>
                <w:szCs w:val="24"/>
                <w:u w:val="single"/>
                <w:lang w:eastAsia="zh-CN"/>
              </w:rPr>
              <w:t>601060</w:t>
            </w:r>
            <w:r>
              <w:rPr>
                <w:rFonts w:ascii="宋体" w:hAnsi="宋体"/>
                <w:color w:val="000000"/>
                <w:sz w:val="24"/>
                <w:szCs w:val="24"/>
                <w:u w:val="single"/>
              </w:rPr>
              <w:t>.00</w:t>
            </w:r>
            <w:r>
              <w:rPr>
                <w:rFonts w:hint="eastAsia" w:ascii="宋体" w:hAnsi="宋体"/>
                <w:color w:val="000000"/>
                <w:sz w:val="24"/>
                <w:szCs w:val="24"/>
              </w:rPr>
              <w:t xml:space="preserve"> 元</w:t>
            </w:r>
            <w:r>
              <w:rPr>
                <w:rFonts w:hint="eastAsia" w:ascii="宋体" w:hAnsi="宋体"/>
                <w:color w:val="000000"/>
                <w:sz w:val="24"/>
                <w:szCs w:val="24"/>
                <w:lang w:eastAsia="zh-CN"/>
              </w:rPr>
              <w:t>，</w:t>
            </w:r>
            <w:r>
              <w:rPr>
                <w:rFonts w:hint="eastAsia" w:ascii="宋体" w:hAnsi="宋体"/>
                <w:color w:val="auto"/>
                <w:sz w:val="24"/>
                <w:szCs w:val="24"/>
                <w:lang w:val="en-US" w:eastAsia="zh-CN"/>
              </w:rPr>
              <w:t>其中：</w:t>
            </w:r>
          </w:p>
          <w:p>
            <w:pPr>
              <w:numPr>
                <w:ilvl w:val="0"/>
                <w:numId w:val="2"/>
              </w:numPr>
              <w:rPr>
                <w:rFonts w:hint="eastAsia" w:ascii="宋体" w:hAnsi="宋体"/>
                <w:color w:val="auto"/>
                <w:sz w:val="24"/>
                <w:szCs w:val="24"/>
                <w:lang w:val="en-US" w:eastAsia="zh-CN"/>
              </w:rPr>
            </w:pPr>
            <w:r>
              <w:rPr>
                <w:rFonts w:hint="eastAsia" w:ascii="宋体" w:hAnsi="宋体"/>
                <w:color w:val="auto"/>
                <w:sz w:val="24"/>
                <w:szCs w:val="24"/>
                <w:lang w:eastAsia="zh-CN"/>
              </w:rPr>
              <w:t>“十二五”以来各类农田建设项目实地勘察评价及上图入库：</w:t>
            </w:r>
            <w:r>
              <w:rPr>
                <w:rFonts w:hint="eastAsia" w:ascii="宋体" w:hAnsi="宋体"/>
                <w:color w:val="auto"/>
                <w:sz w:val="24"/>
                <w:szCs w:val="24"/>
                <w:u w:val="single"/>
                <w:lang w:val="en-US" w:eastAsia="zh-CN"/>
              </w:rPr>
              <w:t>495460.00</w:t>
            </w:r>
            <w:r>
              <w:rPr>
                <w:rFonts w:hint="eastAsia" w:ascii="宋体" w:hAnsi="宋体"/>
                <w:color w:val="auto"/>
                <w:sz w:val="24"/>
                <w:szCs w:val="24"/>
                <w:lang w:val="en-US" w:eastAsia="zh-CN"/>
              </w:rPr>
              <w:t>元</w:t>
            </w:r>
          </w:p>
          <w:p>
            <w:pPr>
              <w:spacing w:line="360" w:lineRule="auto"/>
              <w:rPr>
                <w:rFonts w:ascii="宋体" w:hAnsi="宋体"/>
                <w:color w:val="000000"/>
                <w:sz w:val="24"/>
                <w:szCs w:val="24"/>
              </w:rPr>
            </w:pPr>
            <w:r>
              <w:rPr>
                <w:rFonts w:hint="eastAsia" w:ascii="宋体" w:hAnsi="宋体"/>
                <w:color w:val="auto"/>
                <w:sz w:val="24"/>
                <w:szCs w:val="24"/>
                <w:lang w:val="en-US" w:eastAsia="zh-CN"/>
              </w:rPr>
              <w:t>2.</w:t>
            </w:r>
            <w:r>
              <w:rPr>
                <w:rFonts w:hint="eastAsia" w:ascii="宋体" w:hAnsi="宋体"/>
                <w:color w:val="auto"/>
                <w:sz w:val="24"/>
                <w:szCs w:val="24"/>
                <w:lang w:eastAsia="zh-CN"/>
              </w:rPr>
              <w:t>三年（</w:t>
            </w:r>
            <w:r>
              <w:rPr>
                <w:rFonts w:hint="eastAsia" w:ascii="宋体" w:hAnsi="宋体"/>
                <w:color w:val="auto"/>
                <w:sz w:val="24"/>
                <w:szCs w:val="24"/>
                <w:lang w:val="en-US" w:eastAsia="zh-CN"/>
              </w:rPr>
              <w:t>2020-2022</w:t>
            </w:r>
            <w:r>
              <w:rPr>
                <w:rFonts w:hint="eastAsia" w:ascii="宋体" w:hAnsi="宋体"/>
                <w:color w:val="auto"/>
                <w:sz w:val="24"/>
                <w:szCs w:val="24"/>
                <w:lang w:eastAsia="zh-CN"/>
              </w:rPr>
              <w:t>）规划工作：</w:t>
            </w:r>
            <w:r>
              <w:rPr>
                <w:rFonts w:hint="eastAsia" w:ascii="宋体" w:hAnsi="宋体"/>
                <w:color w:val="auto"/>
                <w:sz w:val="24"/>
                <w:szCs w:val="24"/>
                <w:u w:val="single"/>
                <w:lang w:val="en-US" w:eastAsia="zh-CN"/>
              </w:rPr>
              <w:t>105600.00</w:t>
            </w:r>
            <w:r>
              <w:rPr>
                <w:rFonts w:hint="eastAsia" w:ascii="宋体" w:hAnsi="宋体"/>
                <w:color w:val="auto"/>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5</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分包情况</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☑一整包、□共包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6</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付款方式</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☑国库集中支付、□单位自行支付、□其他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7</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采购方式</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8</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评标办法</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9</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磋商小组数量</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磋商小组依法组建，由采购人代表和评审专家组成共</w:t>
            </w:r>
            <w:r>
              <w:rPr>
                <w:rFonts w:hint="eastAsia" w:ascii="宋体" w:hAnsi="宋体"/>
                <w:color w:val="000000" w:themeColor="text1"/>
                <w:sz w:val="24"/>
                <w:szCs w:val="24"/>
                <w:u w:val="single"/>
                <w14:textFill>
                  <w14:solidFill>
                    <w14:schemeClr w14:val="tx1"/>
                  </w14:solidFill>
                </w14:textFill>
              </w:rPr>
              <w:t xml:space="preserve"> 3 </w:t>
            </w:r>
            <w:r>
              <w:rPr>
                <w:rFonts w:hint="eastAsia" w:ascii="宋体" w:hAnsi="宋体"/>
                <w:color w:val="000000" w:themeColor="text1"/>
                <w:sz w:val="24"/>
                <w:szCs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成交供应商确定</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□采购人授权磋商小组按照评审原则直接确定成交供应商。</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☑采购人按照评标报告中推荐的成交候选人确定成交供应商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供应商资格要求</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投标有效期</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rPr>
              <w:t>从提交响应文件的截止之日起90日历天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提交响应文件时间</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2020年04月14日08时</w:t>
            </w:r>
            <w:r>
              <w:rPr>
                <w:rFonts w:hint="eastAsia" w:ascii="宋体" w:hAnsi="宋体"/>
                <w:color w:val="000000" w:themeColor="text1"/>
                <w:sz w:val="24"/>
                <w:szCs w:val="24"/>
                <w14:textFill>
                  <w14:solidFill>
                    <w14:schemeClr w14:val="tx1"/>
                  </w14:solidFill>
                </w14:textFill>
              </w:rPr>
              <w:t>30分--</w:t>
            </w:r>
            <w:r>
              <w:rPr>
                <w:rFonts w:hint="eastAsia" w:ascii="宋体" w:hAnsi="宋体"/>
                <w:color w:val="000000" w:themeColor="text1"/>
                <w:sz w:val="24"/>
                <w:szCs w:val="24"/>
                <w:lang w:val="en-US" w:eastAsia="zh-CN"/>
                <w14:textFill>
                  <w14:solidFill>
                    <w14:schemeClr w14:val="tx1"/>
                  </w14:solidFill>
                </w14:textFill>
              </w:rPr>
              <w:t>09</w:t>
            </w:r>
            <w:r>
              <w:rPr>
                <w:rFonts w:hint="eastAsia" w:ascii="宋体" w:hAnsi="宋体"/>
                <w:color w:val="000000" w:themeColor="text1"/>
                <w:sz w:val="24"/>
                <w:szCs w:val="24"/>
                <w:lang w:eastAsia="zh-CN"/>
                <w14:textFill>
                  <w14:solidFill>
                    <w14:schemeClr w14:val="tx1"/>
                  </w14:solidFill>
                </w14:textFill>
              </w:rPr>
              <w:t>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开标时间</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2020年04月14日09时00分</w:t>
            </w:r>
            <w:r>
              <w:rPr>
                <w:rFonts w:hint="eastAsia" w:ascii="宋体" w:hAnsi="宋体"/>
                <w:color w:val="000000" w:themeColor="text1"/>
                <w:sz w:val="24"/>
                <w:szCs w:val="24"/>
                <w14:textFill>
                  <w14:solidFill>
                    <w14:schemeClr w14:val="tx1"/>
                  </w14:solidFill>
                </w14:textFill>
              </w:rPr>
              <w:t>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15</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开标地点</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color w:val="000000"/>
                <w:sz w:val="24"/>
                <w:szCs w:val="24"/>
              </w:rPr>
            </w:pPr>
            <w:r>
              <w:rPr>
                <w:rFonts w:hint="eastAsia" w:ascii="宋体" w:hAnsi="宋体"/>
                <w:sz w:val="24"/>
                <w:szCs w:val="24"/>
              </w:rPr>
              <w:t>鄂尔多斯市鄂托克前旗公共资源交易中心开标二室（鄂托克前旗公园西路文化产业园东区C2座）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宋体" w:hAnsi="宋体"/>
                <w:color w:val="000000"/>
                <w:sz w:val="24"/>
                <w:szCs w:val="24"/>
              </w:rPr>
            </w:pPr>
            <w:r>
              <w:rPr>
                <w:rFonts w:hint="eastAsia" w:ascii="宋体" w:hAnsi="宋体"/>
                <w:color w:val="000000"/>
                <w:sz w:val="24"/>
                <w:szCs w:val="24"/>
              </w:rPr>
              <w:t xml:space="preserve"> 16</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响应文件数量</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color w:val="000000"/>
                <w:sz w:val="24"/>
                <w:szCs w:val="24"/>
              </w:rPr>
            </w:pPr>
            <w:r>
              <w:rPr>
                <w:rFonts w:hint="eastAsia" w:ascii="宋体" w:hAnsi="宋体"/>
                <w:color w:val="000000"/>
                <w:sz w:val="24"/>
                <w:szCs w:val="24"/>
              </w:rPr>
              <w:t>正本1份、副本2份，电子</w:t>
            </w:r>
            <w:r>
              <w:rPr>
                <w:rFonts w:hint="eastAsia" w:ascii="宋体" w:hAnsi="宋体"/>
                <w:sz w:val="24"/>
                <w:szCs w:val="24"/>
              </w:rPr>
              <w:t>U盘</w:t>
            </w:r>
            <w:r>
              <w:rPr>
                <w:rFonts w:hint="eastAsia" w:ascii="宋体" w:hAnsi="宋体"/>
                <w:sz w:val="24"/>
                <w:szCs w:val="24"/>
                <w:lang w:val="en-US" w:eastAsia="zh-CN"/>
              </w:rPr>
              <w:t>3</w:t>
            </w:r>
            <w:r>
              <w:rPr>
                <w:rFonts w:hint="eastAsia" w:ascii="宋体" w:hAnsi="宋体"/>
                <w:sz w:val="24"/>
                <w:szCs w:val="24"/>
              </w:rPr>
              <w:t>份</w:t>
            </w:r>
            <w:r>
              <w:rPr>
                <w:rFonts w:hint="eastAsia" w:ascii="宋体" w:hAnsi="宋体"/>
                <w:color w:val="000000"/>
                <w:sz w:val="24"/>
                <w:szCs w:val="24"/>
              </w:rPr>
              <w:t>（标明</w:t>
            </w:r>
            <w:r>
              <w:rPr>
                <w:rFonts w:hint="eastAsia" w:ascii="宋体" w:hAnsi="宋体"/>
                <w:color w:val="000000"/>
                <w:sz w:val="24"/>
                <w:szCs w:val="24"/>
                <w:lang w:eastAsia="zh-CN"/>
              </w:rPr>
              <w:t>供应商</w:t>
            </w:r>
            <w:r>
              <w:rPr>
                <w:rFonts w:hint="eastAsia" w:ascii="宋体" w:hAnsi="宋体"/>
                <w:color w:val="000000"/>
                <w:sz w:val="24"/>
                <w:szCs w:val="24"/>
              </w:rPr>
              <w:t>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17</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s="宋体"/>
                <w:sz w:val="24"/>
                <w:szCs w:val="24"/>
              </w:rPr>
              <w:t>投标现场演示</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18</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现场踏勘</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s="宋体"/>
                <w:sz w:val="24"/>
                <w:szCs w:val="24"/>
                <w:u w:val="single"/>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19</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备选方案</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联合体投标</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olor w:val="000000"/>
                <w:sz w:val="24"/>
                <w:szCs w:val="24"/>
              </w:rPr>
              <w:t>□接受、☑不接受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履约保证金</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hint="eastAsia" w:ascii="宋体" w:hAnsi="宋体" w:eastAsia="宋体"/>
                <w:sz w:val="24"/>
                <w:szCs w:val="24"/>
                <w:lang w:eastAsia="zh-CN"/>
              </w:rPr>
            </w:pPr>
            <w:r>
              <w:rPr>
                <w:rFonts w:hint="eastAsia" w:ascii="宋体" w:hAnsi="宋体"/>
                <w:color w:val="00000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采购机构代理费用</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lang w:val="en-US" w:eastAsia="zh-CN"/>
              </w:rPr>
              <w:t>由中标人支付，按内蒙古自治区工程建设协会文件，内工建协[2016]17号文件规定收费收取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投标保证金</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sz w:val="24"/>
                <w:szCs w:val="24"/>
              </w:rPr>
            </w:pPr>
            <w:r>
              <w:rPr>
                <w:rFonts w:hint="eastAsia" w:ascii="宋体" w:hAnsi="宋体"/>
                <w:sz w:val="24"/>
                <w:szCs w:val="24"/>
              </w:rPr>
              <w:t>本招标项目采用“虚拟子账户”形式及法律法规规定的其它缴纳方式收退投标保证金。请各</w:t>
            </w:r>
            <w:r>
              <w:rPr>
                <w:rFonts w:hint="eastAsia" w:ascii="宋体" w:hAnsi="宋体"/>
                <w:sz w:val="24"/>
                <w:szCs w:val="24"/>
                <w:lang w:eastAsia="zh-CN"/>
              </w:rPr>
              <w:t>供应商</w:t>
            </w:r>
            <w:r>
              <w:rPr>
                <w:rFonts w:hint="eastAsia" w:ascii="宋体" w:hAnsi="宋体"/>
                <w:sz w:val="24"/>
                <w:szCs w:val="24"/>
              </w:rPr>
              <w:t>特别关注并严格遵照招标文件中有关投标保证金缴纳的规定。</w:t>
            </w:r>
          </w:p>
          <w:p>
            <w:pPr>
              <w:spacing w:line="360" w:lineRule="auto"/>
              <w:ind w:left="-140" w:leftChars="-50" w:right="-140" w:rightChars="-50"/>
              <w:rPr>
                <w:rFonts w:hint="eastAsia" w:ascii="宋体" w:hAnsi="宋体"/>
                <w:bCs/>
                <w:sz w:val="24"/>
                <w:szCs w:val="24"/>
              </w:rPr>
            </w:pPr>
            <w:r>
              <w:rPr>
                <w:rFonts w:hint="eastAsia" w:ascii="宋体" w:hAnsi="宋体"/>
                <w:bCs/>
                <w:sz w:val="24"/>
                <w:szCs w:val="24"/>
              </w:rPr>
              <w:t>保证金人民币：</w:t>
            </w:r>
          </w:p>
          <w:p>
            <w:pPr>
              <w:spacing w:line="360" w:lineRule="auto"/>
              <w:ind w:left="-140" w:leftChars="-50" w:right="-140" w:rightChars="-50" w:firstLine="482" w:firstLineChars="200"/>
              <w:rPr>
                <w:rFonts w:hint="eastAsia" w:ascii="宋体" w:hAnsi="宋体"/>
                <w:b/>
                <w:bCs w:val="0"/>
                <w:color w:val="000000" w:themeColor="text1"/>
                <w:sz w:val="24"/>
                <w:szCs w:val="24"/>
                <w14:textFill>
                  <w14:solidFill>
                    <w14:schemeClr w14:val="tx1"/>
                  </w14:solidFill>
                </w14:textFill>
              </w:rPr>
            </w:pPr>
            <w:r>
              <w:rPr>
                <w:rFonts w:hint="eastAsia" w:ascii="宋体" w:hAnsi="宋体"/>
                <w:b/>
                <w:bCs w:val="0"/>
                <w:color w:val="000000" w:themeColor="text1"/>
                <w:sz w:val="24"/>
                <w:szCs w:val="24"/>
                <w:lang w:val="en-US" w:eastAsia="zh-CN"/>
                <w14:textFill>
                  <w14:solidFill>
                    <w14:schemeClr w14:val="tx1"/>
                  </w14:solidFill>
                </w14:textFill>
              </w:rPr>
              <w:t>大写：壹万贰仟</w:t>
            </w:r>
            <w:r>
              <w:rPr>
                <w:rFonts w:hint="eastAsia" w:ascii="宋体" w:hAnsi="宋体"/>
                <w:b/>
                <w:bCs w:val="0"/>
                <w:color w:val="000000" w:themeColor="text1"/>
                <w:sz w:val="24"/>
                <w:szCs w:val="24"/>
                <w14:textFill>
                  <w14:solidFill>
                    <w14:schemeClr w14:val="tx1"/>
                  </w14:solidFill>
                </w14:textFill>
              </w:rPr>
              <w:t xml:space="preserve">元整 </w:t>
            </w:r>
          </w:p>
          <w:p>
            <w:pPr>
              <w:spacing w:line="360" w:lineRule="auto"/>
              <w:ind w:left="-140" w:leftChars="-50" w:right="-140" w:rightChars="-50" w:firstLine="482" w:firstLineChars="200"/>
              <w:rPr>
                <w:rFonts w:ascii="宋体" w:hAnsi="宋体"/>
                <w:b/>
                <w:bCs w:val="0"/>
                <w:color w:val="000000" w:themeColor="text1"/>
                <w:sz w:val="24"/>
                <w:szCs w:val="24"/>
                <w14:textFill>
                  <w14:solidFill>
                    <w14:schemeClr w14:val="tx1"/>
                  </w14:solidFill>
                </w14:textFill>
              </w:rPr>
            </w:pPr>
            <w:r>
              <w:rPr>
                <w:rFonts w:hint="eastAsia" w:ascii="宋体" w:hAnsi="宋体"/>
                <w:b/>
                <w:bCs w:val="0"/>
                <w:color w:val="000000" w:themeColor="text1"/>
                <w:sz w:val="24"/>
                <w:szCs w:val="24"/>
                <w:lang w:val="en-US" w:eastAsia="zh-CN"/>
                <w14:textFill>
                  <w14:solidFill>
                    <w14:schemeClr w14:val="tx1"/>
                  </w14:solidFill>
                </w14:textFill>
              </w:rPr>
              <w:t>小写：12000</w:t>
            </w:r>
            <w:r>
              <w:rPr>
                <w:rFonts w:hint="eastAsia" w:ascii="宋体" w:hAnsi="宋体"/>
                <w:b/>
                <w:bCs w:val="0"/>
                <w:color w:val="000000" w:themeColor="text1"/>
                <w:sz w:val="24"/>
                <w:szCs w:val="24"/>
                <w14:textFill>
                  <w14:solidFill>
                    <w14:schemeClr w14:val="tx1"/>
                  </w14:solidFill>
                </w14:textFill>
              </w:rPr>
              <w:t>.00元</w:t>
            </w:r>
          </w:p>
          <w:p>
            <w:pPr>
              <w:spacing w:line="360" w:lineRule="auto"/>
              <w:ind w:left="-140" w:leftChars="-50" w:right="-140" w:rightChars="-50"/>
              <w:rPr>
                <w:rFonts w:ascii="宋体" w:hAnsi="宋体"/>
                <w:sz w:val="24"/>
                <w:szCs w:val="24"/>
              </w:rPr>
            </w:pPr>
            <w:r>
              <w:rPr>
                <w:rFonts w:hint="eastAsia" w:ascii="宋体" w:hAnsi="宋体"/>
                <w:sz w:val="24"/>
                <w:szCs w:val="24"/>
              </w:rPr>
              <w:t>开户银行：鄂托克前旗农村商业银行股份有限公司</w:t>
            </w:r>
          </w:p>
          <w:p>
            <w:pPr>
              <w:spacing w:line="360" w:lineRule="auto"/>
              <w:ind w:left="-140" w:leftChars="-50" w:right="-140" w:rightChars="-50"/>
              <w:rPr>
                <w:rFonts w:ascii="宋体" w:hAnsi="宋体"/>
                <w:sz w:val="24"/>
                <w:szCs w:val="24"/>
              </w:rPr>
            </w:pPr>
            <w:r>
              <w:rPr>
                <w:rFonts w:hint="eastAsia" w:ascii="宋体" w:hAnsi="宋体"/>
                <w:sz w:val="24"/>
                <w:szCs w:val="24"/>
              </w:rPr>
              <w:t>行号：402205481279</w:t>
            </w:r>
          </w:p>
          <w:p>
            <w:pPr>
              <w:spacing w:line="360" w:lineRule="auto"/>
              <w:ind w:left="-140" w:leftChars="-50" w:right="-140" w:rightChars="-50"/>
              <w:rPr>
                <w:rFonts w:ascii="宋体" w:hAnsi="宋体"/>
                <w:sz w:val="24"/>
                <w:szCs w:val="24"/>
              </w:rPr>
            </w:pPr>
            <w:r>
              <w:rPr>
                <w:rFonts w:hint="eastAsia" w:ascii="宋体" w:hAnsi="宋体"/>
                <w:sz w:val="24"/>
                <w:szCs w:val="24"/>
              </w:rPr>
              <w:t>开户单位：鄂尔多斯市鄂托克前旗公共资源交易中心</w:t>
            </w:r>
          </w:p>
          <w:p>
            <w:pPr>
              <w:spacing w:line="360" w:lineRule="auto"/>
              <w:ind w:left="-140" w:leftChars="-50" w:right="-140" w:rightChars="-50"/>
              <w:rPr>
                <w:rFonts w:ascii="宋体" w:hAnsi="宋体"/>
                <w:sz w:val="24"/>
                <w:szCs w:val="24"/>
              </w:rPr>
            </w:pPr>
            <w:r>
              <w:rPr>
                <w:rFonts w:hint="eastAsia" w:ascii="宋体" w:hAnsi="宋体"/>
                <w:sz w:val="24"/>
                <w:szCs w:val="24"/>
              </w:rPr>
              <w:t>账号：详见“政府采购投标信息回执函”下方所附“保证金缴纳信息”中载明的账号</w:t>
            </w:r>
          </w:p>
          <w:p>
            <w:pPr>
              <w:spacing w:line="360" w:lineRule="auto"/>
              <w:rPr>
                <w:rFonts w:ascii="宋体" w:hAnsi="宋体"/>
                <w:color w:val="000000"/>
                <w:sz w:val="24"/>
                <w:szCs w:val="24"/>
              </w:rPr>
            </w:pPr>
            <w:r>
              <w:rPr>
                <w:rFonts w:hint="eastAsia" w:ascii="宋体" w:hAnsi="宋体"/>
                <w:sz w:val="24"/>
                <w:szCs w:val="24"/>
              </w:rPr>
              <w:t>投标保证金缴纳、退还联系人：白俊艳   0477—7625245投标</w:t>
            </w:r>
            <w:r>
              <w:rPr>
                <w:rFonts w:hint="eastAsia" w:ascii="宋体" w:hAnsi="宋体" w:cs="宋体"/>
                <w:kern w:val="0"/>
                <w:sz w:val="24"/>
                <w:szCs w:val="24"/>
              </w:rPr>
              <w:t>保证金缴纳截止时间：</w:t>
            </w:r>
            <w:r>
              <w:rPr>
                <w:rFonts w:hint="eastAsia" w:ascii="宋体" w:hAnsi="宋体" w:cs="宋体"/>
                <w:color w:val="auto"/>
                <w:kern w:val="0"/>
                <w:sz w:val="24"/>
                <w:szCs w:val="24"/>
                <w:lang w:eastAsia="zh-CN"/>
              </w:rPr>
              <w:t>2020年04月14日上午09时00分</w:t>
            </w:r>
            <w:r>
              <w:rPr>
                <w:rFonts w:hint="eastAsia" w:ascii="宋体" w:hAnsi="宋体" w:cs="宋体"/>
                <w:color w:val="auto"/>
                <w:kern w:val="0"/>
                <w:sz w:val="24"/>
                <w:szCs w:val="24"/>
              </w:rPr>
              <w:t>前</w:t>
            </w:r>
          </w:p>
        </w:tc>
      </w:tr>
    </w:tbl>
    <w:p>
      <w:pPr>
        <w:spacing w:line="360" w:lineRule="auto"/>
        <w:rPr>
          <w:rFonts w:ascii="宋体" w:hAnsi="宋体"/>
          <w:b/>
          <w:sz w:val="24"/>
          <w:szCs w:val="24"/>
        </w:rPr>
      </w:pPr>
      <w:r>
        <w:rPr>
          <w:rFonts w:hint="eastAsia" w:ascii="宋体" w:hAnsi="宋体"/>
          <w:b/>
          <w:sz w:val="24"/>
          <w:szCs w:val="24"/>
        </w:rPr>
        <w:t>二.报名须知</w:t>
      </w:r>
    </w:p>
    <w:p>
      <w:pPr>
        <w:spacing w:line="360" w:lineRule="auto"/>
        <w:rPr>
          <w:rFonts w:ascii="宋体" w:hAnsi="宋体"/>
          <w:b/>
          <w:sz w:val="24"/>
          <w:szCs w:val="24"/>
        </w:rPr>
      </w:pPr>
      <w:r>
        <w:rPr>
          <w:rFonts w:hint="eastAsia" w:ascii="宋体" w:hAnsi="宋体"/>
          <w:b/>
          <w:sz w:val="24"/>
          <w:szCs w:val="24"/>
        </w:rPr>
        <w:t>1.报名方式</w:t>
      </w:r>
    </w:p>
    <w:p>
      <w:pPr>
        <w:spacing w:line="360" w:lineRule="auto"/>
        <w:ind w:firstLine="480" w:firstLineChars="200"/>
        <w:rPr>
          <w:rFonts w:ascii="宋体" w:hAnsi="宋体" w:cs="宋体"/>
          <w:kern w:val="0"/>
          <w:sz w:val="24"/>
          <w:szCs w:val="24"/>
        </w:rPr>
      </w:pPr>
      <w:r>
        <w:rPr>
          <w:rFonts w:hint="eastAsia" w:ascii="宋体" w:hAnsi="宋体"/>
          <w:sz w:val="24"/>
          <w:szCs w:val="24"/>
        </w:rPr>
        <w:t>1.1</w:t>
      </w:r>
      <w:r>
        <w:rPr>
          <w:rFonts w:hint="eastAsia" w:ascii="宋体" w:hAnsi="宋体" w:cs="宋体"/>
          <w:kern w:val="0"/>
          <w:sz w:val="24"/>
          <w:szCs w:val="24"/>
        </w:rPr>
        <w:t>报名方式采用网上报名，流程如下：</w:t>
      </w:r>
    </w:p>
    <w:p>
      <w:pPr>
        <w:spacing w:line="360" w:lineRule="auto"/>
        <w:ind w:firstLine="480" w:firstLineChars="200"/>
        <w:rPr>
          <w:rFonts w:ascii="宋体" w:hAnsi="宋体"/>
          <w:sz w:val="24"/>
          <w:szCs w:val="24"/>
        </w:rPr>
      </w:pPr>
      <w:r>
        <w:rPr>
          <w:rFonts w:hint="eastAsia" w:ascii="宋体" w:hAnsi="宋体"/>
          <w:sz w:val="24"/>
          <w:szCs w:val="24"/>
        </w:rPr>
        <w:t>登录登录《鄂尔多斯市公共资源交易网》（http://www.ordosggzyjy.org.cn）或《鄂尔多斯市鄂托克前旗公共资源交易中心网》（http://www.ordosggzyjy.org.cn/TPFront_etkqq/）页面</w:t>
      </w:r>
      <w:r>
        <w:rPr>
          <w:rFonts w:hint="eastAsia" w:ascii="宋体" w:hAnsi="宋体" w:cs="宋体"/>
          <w:kern w:val="0"/>
          <w:sz w:val="24"/>
          <w:szCs w:val="24"/>
        </w:rPr>
        <w:t>，点击“政府采购”中的“采购公告”栏，打开本项目的磋商公告，点击公告页面下方的“企业报名”或“自然人报名”进入“投标项目信息”，填写“供应商信息”、“保证金缴纳开户行信息”、“分包信息”、“回执码找回信息填写”，按照页面提示点击“确认报名”，进入下一步“回执信息”页面并点击红色字体“点击此处”，在进入新页面中核对报名信息，并点击“保证金缴纳信息获取”处获取“</w:t>
      </w:r>
      <w:r>
        <w:rPr>
          <w:rFonts w:ascii="宋体" w:hAnsi="宋体" w:cs="宋体"/>
          <w:kern w:val="0"/>
          <w:sz w:val="24"/>
          <w:szCs w:val="24"/>
        </w:rPr>
        <w:t>保证金缴纳信息</w:t>
      </w:r>
      <w:r>
        <w:rPr>
          <w:rFonts w:hint="eastAsia" w:ascii="宋体" w:hAnsi="宋体" w:cs="宋体"/>
          <w:kern w:val="0"/>
          <w:sz w:val="24"/>
          <w:szCs w:val="24"/>
        </w:rPr>
        <w:t>”。</w:t>
      </w:r>
    </w:p>
    <w:p>
      <w:pPr>
        <w:spacing w:line="360" w:lineRule="auto"/>
        <w:ind w:firstLine="480" w:firstLineChars="200"/>
        <w:rPr>
          <w:rFonts w:ascii="宋体" w:hAnsi="宋体"/>
          <w:sz w:val="24"/>
          <w:szCs w:val="24"/>
        </w:rPr>
      </w:pPr>
      <w:r>
        <w:rPr>
          <w:rFonts w:hint="eastAsia" w:ascii="宋体" w:hAnsi="宋体" w:cs="宋体"/>
          <w:kern w:val="0"/>
          <w:sz w:val="24"/>
          <w:szCs w:val="24"/>
        </w:rPr>
        <w:t>1.2缴纳投标保证金。</w:t>
      </w:r>
      <w:r>
        <w:rPr>
          <w:rFonts w:hint="eastAsia" w:ascii="宋体" w:hAnsi="宋体"/>
          <w:sz w:val="24"/>
          <w:szCs w:val="24"/>
        </w:rPr>
        <w:t>本磋商项目采用“虚拟子账号”形式收退投标保证金，每一个供应商在所投的每一项目或标包会自动生成一个账号，</w:t>
      </w:r>
      <w:r>
        <w:rPr>
          <w:rFonts w:hint="eastAsia" w:ascii="宋体" w:hAnsi="宋体" w:cs="宋体"/>
          <w:kern w:val="0"/>
          <w:sz w:val="24"/>
          <w:szCs w:val="24"/>
        </w:rPr>
        <w:t>称为“虚拟子账号”。供应商</w:t>
      </w:r>
      <w:r>
        <w:rPr>
          <w:rFonts w:hint="eastAsia" w:ascii="宋体" w:hAnsi="宋体"/>
          <w:sz w:val="24"/>
          <w:szCs w:val="24"/>
        </w:rPr>
        <w:t>在进行投标信息确认后，应查看“</w:t>
      </w:r>
      <w:r>
        <w:rPr>
          <w:rFonts w:ascii="宋体" w:hAnsi="宋体" w:cs="宋体"/>
          <w:kern w:val="0"/>
          <w:sz w:val="24"/>
          <w:szCs w:val="24"/>
        </w:rPr>
        <w:t>保证金缴纳信息</w:t>
      </w:r>
      <w:r>
        <w:rPr>
          <w:rFonts w:hint="eastAsia" w:ascii="宋体" w:hAnsi="宋体"/>
          <w:sz w:val="24"/>
          <w:szCs w:val="24"/>
        </w:rPr>
        <w:t>”下方所载明的账号，并按照磋商文件规定的金额、时间电汇</w:t>
      </w:r>
      <w:r>
        <w:rPr>
          <w:rFonts w:hint="eastAsia" w:ascii="宋体" w:hAnsi="宋体" w:cs="宋体"/>
          <w:kern w:val="0"/>
          <w:sz w:val="24"/>
          <w:szCs w:val="24"/>
        </w:rPr>
        <w:t>或转账</w:t>
      </w:r>
      <w:r>
        <w:rPr>
          <w:rFonts w:hint="eastAsia" w:ascii="宋体" w:hAnsi="宋体"/>
          <w:sz w:val="24"/>
          <w:szCs w:val="24"/>
        </w:rPr>
        <w:t xml:space="preserve">至上述账号中，付款人名称必须为投标单位全称且与报名信息一致，该账号可以自动识别单位名称、缴纳金额金额是否正确，缴纳时间是否符合磋商文件的规定，如果不符合，一律不予收取。   </w:t>
      </w:r>
    </w:p>
    <w:p>
      <w:pPr>
        <w:spacing w:line="360" w:lineRule="auto"/>
        <w:ind w:firstLine="480" w:firstLineChars="200"/>
        <w:textAlignment w:val="baseline"/>
        <w:rPr>
          <w:rFonts w:ascii="宋体" w:hAnsi="宋体"/>
          <w:sz w:val="24"/>
          <w:szCs w:val="24"/>
        </w:rPr>
      </w:pPr>
      <w:r>
        <w:rPr>
          <w:rFonts w:hint="eastAsia" w:ascii="宋体" w:hAnsi="宋体" w:cs="宋体"/>
          <w:kern w:val="0"/>
          <w:sz w:val="24"/>
          <w:szCs w:val="24"/>
        </w:rPr>
        <w:t>1.3查看报名状况。用“回执码”登录可查看报名状况；只有“是否缴纳保证金”显示“已缴纳”，报名才能成功。</w:t>
      </w:r>
    </w:p>
    <w:p>
      <w:pPr>
        <w:spacing w:line="360" w:lineRule="auto"/>
        <w:rPr>
          <w:rFonts w:ascii="宋体" w:hAnsi="宋体"/>
          <w:b/>
          <w:sz w:val="24"/>
          <w:szCs w:val="24"/>
        </w:rPr>
      </w:pPr>
      <w:r>
        <w:rPr>
          <w:rFonts w:hint="eastAsia" w:ascii="宋体" w:hAnsi="宋体"/>
          <w:b/>
          <w:sz w:val="24"/>
          <w:szCs w:val="24"/>
        </w:rPr>
        <w:t>2.报名时间及报名截止时间（网上报名）</w:t>
      </w:r>
    </w:p>
    <w:p>
      <w:pPr>
        <w:spacing w:line="360" w:lineRule="auto"/>
        <w:ind w:firstLine="480" w:firstLineChars="200"/>
        <w:rPr>
          <w:rFonts w:ascii="宋体" w:hAnsi="宋体"/>
          <w:color w:val="auto"/>
          <w:sz w:val="24"/>
          <w:szCs w:val="24"/>
        </w:rPr>
      </w:pPr>
      <w:r>
        <w:rPr>
          <w:rFonts w:hint="eastAsia" w:ascii="宋体" w:hAnsi="宋体" w:cs="宋体"/>
          <w:color w:val="auto"/>
          <w:kern w:val="0"/>
          <w:sz w:val="24"/>
          <w:szCs w:val="24"/>
        </w:rPr>
        <w:t>2.1报名时间（磋商文件提供期限）：</w:t>
      </w:r>
      <w:r>
        <w:rPr>
          <w:rFonts w:hint="eastAsia" w:ascii="宋体" w:hAnsi="宋体"/>
          <w:color w:val="auto"/>
          <w:sz w:val="24"/>
          <w:szCs w:val="24"/>
          <w:lang w:eastAsia="zh-CN"/>
        </w:rPr>
        <w:t>2020年04月03日</w:t>
      </w:r>
      <w:r>
        <w:rPr>
          <w:rFonts w:hint="eastAsia" w:ascii="宋体" w:hAnsi="宋体"/>
          <w:color w:val="auto"/>
          <w:sz w:val="24"/>
          <w:szCs w:val="24"/>
        </w:rPr>
        <w:t>至</w:t>
      </w:r>
      <w:r>
        <w:rPr>
          <w:rFonts w:hint="eastAsia" w:ascii="宋体" w:hAnsi="宋体"/>
          <w:color w:val="auto"/>
          <w:sz w:val="24"/>
          <w:szCs w:val="24"/>
          <w:lang w:eastAsia="zh-CN"/>
        </w:rPr>
        <w:t>2020年04月10日</w:t>
      </w:r>
      <w:r>
        <w:rPr>
          <w:rFonts w:hint="eastAsia" w:ascii="宋体" w:hAnsi="宋体"/>
          <w:color w:val="auto"/>
          <w:sz w:val="24"/>
          <w:szCs w:val="24"/>
        </w:rPr>
        <w:t>下午17时30分止</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2.2保证金缴纳截止时间（同提交响应文件截止时间）：</w:t>
      </w:r>
      <w:r>
        <w:rPr>
          <w:rFonts w:hint="eastAsia" w:ascii="宋体" w:hAnsi="宋体"/>
          <w:color w:val="auto"/>
          <w:sz w:val="24"/>
          <w:szCs w:val="24"/>
          <w:lang w:eastAsia="zh-CN"/>
        </w:rPr>
        <w:t>2020年04月14日上午09时00分</w:t>
      </w:r>
      <w:r>
        <w:rPr>
          <w:rFonts w:hint="eastAsia" w:ascii="宋体" w:hAnsi="宋体"/>
          <w:color w:val="auto"/>
          <w:sz w:val="24"/>
          <w:szCs w:val="24"/>
        </w:rPr>
        <w:t>。</w:t>
      </w:r>
    </w:p>
    <w:p>
      <w:pPr>
        <w:spacing w:line="360" w:lineRule="auto"/>
        <w:rPr>
          <w:rFonts w:ascii="宋体" w:hAnsi="宋体"/>
          <w:sz w:val="24"/>
          <w:szCs w:val="24"/>
        </w:rPr>
      </w:pPr>
      <w:r>
        <w:rPr>
          <w:rFonts w:hint="eastAsia" w:ascii="宋体" w:hAnsi="宋体"/>
          <w:b/>
          <w:sz w:val="24"/>
          <w:szCs w:val="24"/>
        </w:rPr>
        <w:t>3.特别提示</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3.1“回执码”是用来查询报名状况的登录码，供应商在完成保证金缴纳后，应及时用“回执码”登陆查询报名状况，关注所投项目或标包的保证金缴纳确认状态，如果在开标前仍显示“未缴纳”状态时，应及时查找原因，必要时可联系财务人员进行咨询，以确保投标保证金缴纳情况符合磋商文件规定。供应商未按照磋商文件要求缴纳投标保证金导致的一切后果由供应商自行承担。</w:t>
      </w:r>
    </w:p>
    <w:p>
      <w:pPr>
        <w:spacing w:line="360" w:lineRule="auto"/>
        <w:ind w:firstLine="480" w:firstLineChars="200"/>
        <w:rPr>
          <w:rFonts w:ascii="宋体" w:hAnsi="宋体"/>
          <w:sz w:val="24"/>
          <w:szCs w:val="24"/>
        </w:rPr>
      </w:pPr>
      <w:r>
        <w:rPr>
          <w:rFonts w:hint="eastAsia" w:ascii="宋体" w:hAnsi="宋体"/>
          <w:sz w:val="24"/>
          <w:szCs w:val="24"/>
        </w:rPr>
        <w:t>3.2由于投标保证金到账需要一定时间，请供应商在投标截止前及早缴纳，以免导致报名无效。</w:t>
      </w:r>
    </w:p>
    <w:p>
      <w:pPr>
        <w:spacing w:line="360" w:lineRule="auto"/>
        <w:ind w:firstLine="480" w:firstLineChars="200"/>
        <w:rPr>
          <w:rFonts w:ascii="宋体" w:hAnsi="宋体"/>
          <w:sz w:val="24"/>
          <w:szCs w:val="24"/>
        </w:rPr>
      </w:pPr>
      <w:r>
        <w:rPr>
          <w:rFonts w:hint="eastAsia" w:ascii="宋体" w:hAnsi="宋体"/>
          <w:sz w:val="24"/>
          <w:szCs w:val="24"/>
        </w:rPr>
        <w:t>3.3若报名成功将以短信的方式进行提示，如已完成报名信息的填写并缴纳投标保证金后仍未收到报名成功短信，请及时用“回执码”登陆查询报名状况及保证金缴纳状态。</w:t>
      </w:r>
    </w:p>
    <w:p>
      <w:pPr>
        <w:spacing w:line="360" w:lineRule="auto"/>
        <w:ind w:firstLine="480" w:firstLineChars="200"/>
        <w:rPr>
          <w:rFonts w:ascii="宋体" w:hAnsi="宋体"/>
          <w:sz w:val="24"/>
          <w:szCs w:val="24"/>
        </w:rPr>
      </w:pPr>
      <w:r>
        <w:rPr>
          <w:rFonts w:hint="eastAsia" w:ascii="宋体" w:hAnsi="宋体"/>
          <w:sz w:val="24"/>
          <w:szCs w:val="24"/>
        </w:rPr>
        <w:t>3.4网上报名成功而放弃参加投标的供应商，请在提交响应文件前以书面形式并加盖单位公章（扫描件发送至</w:t>
      </w:r>
      <w:r>
        <w:fldChar w:fldCharType="begin"/>
      </w:r>
      <w:r>
        <w:instrText xml:space="preserve"> HYPERLINK "javascript:;" </w:instrText>
      </w:r>
      <w:r>
        <w:fldChar w:fldCharType="separate"/>
      </w:r>
      <w:r>
        <w:rPr>
          <w:rStyle w:val="33"/>
          <w:rFonts w:hint="eastAsia" w:ascii="宋体" w:hAnsi="宋体" w:cs="宋体"/>
          <w:kern w:val="0"/>
          <w:sz w:val="24"/>
          <w:szCs w:val="24"/>
          <w:lang w:eastAsia="zh-CN"/>
        </w:rPr>
        <w:t>117826335</w:t>
      </w:r>
      <w:r>
        <w:rPr>
          <w:rStyle w:val="33"/>
          <w:rFonts w:hint="eastAsia" w:ascii="宋体" w:hAnsi="宋体" w:cs="宋体"/>
          <w:kern w:val="0"/>
          <w:sz w:val="24"/>
          <w:szCs w:val="24"/>
        </w:rPr>
        <w:t>@qq.com</w:t>
      </w:r>
      <w:r>
        <w:rPr>
          <w:rStyle w:val="33"/>
          <w:rFonts w:hint="eastAsia" w:ascii="宋体" w:hAnsi="宋体" w:cs="宋体"/>
          <w:kern w:val="0"/>
          <w:sz w:val="24"/>
          <w:szCs w:val="24"/>
        </w:rPr>
        <w:fldChar w:fldCharType="end"/>
      </w:r>
      <w:r>
        <w:rPr>
          <w:rFonts w:hint="eastAsia" w:ascii="宋体" w:hAnsi="宋体"/>
          <w:sz w:val="24"/>
          <w:szCs w:val="24"/>
        </w:rPr>
        <w:t>或书面送达）通知鄂尔多斯市鄂托克前旗公共资源交易中心，并在网上报名页面中撤销报名。放弃投标未予告知的，鄂尔多斯市鄂托克前旗公共资源交易中心将给予不诚信行为记录并在鄂尔多斯市公共资源交易网上公开通报。</w:t>
      </w:r>
    </w:p>
    <w:p>
      <w:pPr>
        <w:spacing w:line="360" w:lineRule="auto"/>
        <w:rPr>
          <w:rFonts w:ascii="宋体" w:hAnsi="宋体"/>
          <w:b/>
          <w:sz w:val="24"/>
          <w:szCs w:val="24"/>
        </w:rPr>
      </w:pPr>
      <w:r>
        <w:rPr>
          <w:rFonts w:hint="eastAsia" w:ascii="宋体" w:hAnsi="宋体"/>
          <w:b/>
          <w:sz w:val="24"/>
          <w:szCs w:val="24"/>
        </w:rPr>
        <w:t>三.说明</w:t>
      </w:r>
    </w:p>
    <w:p>
      <w:pPr>
        <w:spacing w:line="360" w:lineRule="auto"/>
        <w:rPr>
          <w:rFonts w:ascii="宋体" w:hAnsi="宋体" w:cs="宋体"/>
          <w:b/>
          <w:sz w:val="24"/>
          <w:szCs w:val="24"/>
        </w:rPr>
      </w:pPr>
      <w:r>
        <w:rPr>
          <w:rFonts w:hint="eastAsia" w:ascii="宋体" w:hAnsi="宋体" w:cs="宋体"/>
          <w:b/>
          <w:sz w:val="24"/>
          <w:szCs w:val="24"/>
        </w:rPr>
        <w:t>1.总则</w:t>
      </w:r>
    </w:p>
    <w:p>
      <w:pPr>
        <w:spacing w:line="360" w:lineRule="auto"/>
        <w:ind w:firstLine="480" w:firstLineChars="200"/>
        <w:rPr>
          <w:rFonts w:ascii="宋体" w:hAnsi="宋体" w:cs="宋体"/>
          <w:b/>
          <w:sz w:val="24"/>
          <w:szCs w:val="24"/>
        </w:rPr>
      </w:pPr>
      <w:r>
        <w:rPr>
          <w:rFonts w:hint="eastAsia" w:ascii="宋体" w:hAnsi="宋体" w:cs="宋体"/>
          <w:sz w:val="24"/>
          <w:szCs w:val="24"/>
        </w:rPr>
        <w:t>本磋商文件依据《中华人民共和国政府采购法》、《中华人民共和国政府采购法实施条例》和《政府采购竞争性磋商采购方式管理暂行办法》（财库〔2014〕214号）及国家和自治区有关法律、法规、规章制度编制。</w:t>
      </w:r>
    </w:p>
    <w:p>
      <w:pPr>
        <w:spacing w:line="360" w:lineRule="auto"/>
        <w:ind w:firstLine="480" w:firstLineChars="200"/>
        <w:rPr>
          <w:rFonts w:ascii="宋体" w:hAnsi="宋体"/>
          <w:sz w:val="24"/>
          <w:szCs w:val="24"/>
        </w:rPr>
      </w:pPr>
      <w:r>
        <w:rPr>
          <w:rFonts w:hint="eastAsia" w:ascii="宋体" w:hAnsi="宋体"/>
          <w:sz w:val="24"/>
          <w:szCs w:val="24"/>
        </w:rPr>
        <w:t>供应商应仔细阅读本项目信息公告及磋商文件的所有内容（包括变更、补充、澄清以及修改等，且均为磋商文件的组成部分），按照磋商文件要求以及格式编制响应文件，并保证其真实性，否则一切后果自负。</w:t>
      </w:r>
    </w:p>
    <w:p>
      <w:pPr>
        <w:spacing w:line="360" w:lineRule="auto"/>
        <w:ind w:firstLine="480" w:firstLineChars="200"/>
        <w:rPr>
          <w:rFonts w:ascii="宋体" w:hAnsi="宋体"/>
          <w:sz w:val="24"/>
          <w:szCs w:val="24"/>
        </w:rPr>
      </w:pPr>
      <w:r>
        <w:rPr>
          <w:rFonts w:hint="eastAsia" w:ascii="宋体" w:hAnsi="宋体"/>
          <w:sz w:val="24"/>
          <w:szCs w:val="24"/>
        </w:rPr>
        <w:t>本次竞争性磋商项目，</w:t>
      </w:r>
      <w:r>
        <w:rPr>
          <w:rFonts w:ascii="宋体" w:hAnsi="宋体"/>
          <w:sz w:val="24"/>
          <w:szCs w:val="24"/>
        </w:rPr>
        <w:t>是以磋商公告的方式邀请非特定的供应商参加投标</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本磋商文件所称货物，是指各种形态和种类的物品。提供的货物必须合法生产或销售且符合国家有关标准要求。</w:t>
      </w:r>
    </w:p>
    <w:p>
      <w:pPr>
        <w:pStyle w:val="16"/>
        <w:adjustRightInd w:val="0"/>
        <w:snapToGrid w:val="0"/>
        <w:spacing w:line="360" w:lineRule="auto"/>
        <w:rPr>
          <w:rFonts w:hAnsi="宋体"/>
          <w:b/>
          <w:kern w:val="2"/>
          <w:sz w:val="24"/>
          <w:szCs w:val="24"/>
        </w:rPr>
      </w:pPr>
      <w:r>
        <w:rPr>
          <w:rFonts w:hint="eastAsia" w:hAnsi="宋体"/>
          <w:b/>
          <w:kern w:val="2"/>
          <w:sz w:val="24"/>
          <w:szCs w:val="24"/>
        </w:rPr>
        <w:t>2.适用范围</w:t>
      </w:r>
    </w:p>
    <w:p>
      <w:pPr>
        <w:pStyle w:val="16"/>
        <w:adjustRightInd w:val="0"/>
        <w:snapToGrid w:val="0"/>
        <w:spacing w:line="360" w:lineRule="auto"/>
        <w:ind w:firstLine="480" w:firstLineChars="200"/>
        <w:rPr>
          <w:rFonts w:hAnsi="宋体"/>
          <w:b/>
          <w:kern w:val="2"/>
          <w:sz w:val="24"/>
          <w:szCs w:val="24"/>
        </w:rPr>
      </w:pPr>
      <w:r>
        <w:rPr>
          <w:rFonts w:hint="eastAsia" w:hAnsi="宋体" w:cs="宋体"/>
          <w:sz w:val="24"/>
          <w:szCs w:val="24"/>
        </w:rPr>
        <w:t>本磋商文件仅适用于本次磋商公告中所涉及的项目和内容。</w:t>
      </w:r>
    </w:p>
    <w:p>
      <w:pPr>
        <w:pStyle w:val="16"/>
        <w:adjustRightInd w:val="0"/>
        <w:snapToGrid w:val="0"/>
        <w:spacing w:line="360" w:lineRule="auto"/>
        <w:rPr>
          <w:rFonts w:hAnsi="宋体"/>
          <w:b/>
          <w:sz w:val="24"/>
          <w:szCs w:val="24"/>
        </w:rPr>
      </w:pPr>
      <w:r>
        <w:rPr>
          <w:rFonts w:hint="eastAsia" w:hAnsi="宋体"/>
          <w:b/>
          <w:sz w:val="24"/>
          <w:szCs w:val="24"/>
        </w:rPr>
        <w:t>3.投标费用</w:t>
      </w:r>
    </w:p>
    <w:p>
      <w:pPr>
        <w:spacing w:line="360" w:lineRule="auto"/>
        <w:ind w:firstLine="480" w:firstLineChars="200"/>
        <w:rPr>
          <w:rFonts w:hAnsi="宋体" w:cs="Arial"/>
          <w:color w:val="000000"/>
          <w:sz w:val="24"/>
          <w:szCs w:val="24"/>
        </w:rPr>
      </w:pPr>
      <w:r>
        <w:rPr>
          <w:rFonts w:hint="eastAsia" w:hAnsi="宋体"/>
          <w:sz w:val="24"/>
          <w:szCs w:val="24"/>
        </w:rPr>
        <w:t>3.1供应商应承担所有与准备和参加投标有关的费用。不论投标结果如何，</w:t>
      </w:r>
      <w:r>
        <w:rPr>
          <w:rFonts w:hint="eastAsia" w:hAnsi="宋体"/>
          <w:sz w:val="24"/>
          <w:szCs w:val="24"/>
          <w:lang w:val="en-US" w:eastAsia="zh-CN"/>
        </w:rPr>
        <w:t>鄂尔多斯市金博工程项目管理有限公司</w:t>
      </w:r>
      <w:r>
        <w:rPr>
          <w:rFonts w:hint="eastAsia" w:hAnsi="宋体" w:cs="Arial"/>
          <w:color w:val="000000"/>
          <w:sz w:val="24"/>
          <w:szCs w:val="24"/>
        </w:rPr>
        <w:t>和采购人均无义务和责任承担相关费用。</w:t>
      </w:r>
    </w:p>
    <w:p>
      <w:pPr>
        <w:spacing w:line="360" w:lineRule="auto"/>
        <w:ind w:firstLine="480" w:firstLineChars="200"/>
        <w:rPr>
          <w:rFonts w:hAnsi="宋体" w:cs="Arial"/>
          <w:color w:val="auto"/>
          <w:sz w:val="24"/>
          <w:szCs w:val="24"/>
        </w:rPr>
      </w:pPr>
      <w:r>
        <w:rPr>
          <w:rFonts w:hint="eastAsia" w:ascii="宋体" w:hAnsi="宋体"/>
          <w:color w:val="auto"/>
          <w:sz w:val="24"/>
          <w:szCs w:val="24"/>
        </w:rPr>
        <w:t>3.2每标包中标人需承担本次项目评审专家劳务费（根据实际情况收取）。</w:t>
      </w:r>
    </w:p>
    <w:p>
      <w:pPr>
        <w:spacing w:line="360" w:lineRule="auto"/>
        <w:rPr>
          <w:rFonts w:ascii="宋体" w:hAnsi="宋体" w:cs="Arial"/>
          <w:b/>
          <w:color w:val="000000"/>
          <w:sz w:val="24"/>
          <w:szCs w:val="24"/>
        </w:rPr>
      </w:pPr>
      <w:r>
        <w:rPr>
          <w:rFonts w:hint="eastAsia" w:ascii="宋体" w:hAnsi="宋体" w:cs="Arial"/>
          <w:b/>
          <w:color w:val="000000"/>
          <w:sz w:val="24"/>
          <w:szCs w:val="24"/>
        </w:rPr>
        <w:t>4.当事人</w:t>
      </w:r>
    </w:p>
    <w:p>
      <w:pPr>
        <w:spacing w:line="360" w:lineRule="auto"/>
        <w:ind w:firstLine="480" w:firstLineChars="200"/>
        <w:rPr>
          <w:rFonts w:ascii="宋体" w:hAnsi="宋体"/>
          <w:color w:val="000000"/>
          <w:sz w:val="24"/>
          <w:szCs w:val="24"/>
        </w:rPr>
      </w:pPr>
      <w:r>
        <w:rPr>
          <w:rFonts w:hint="eastAsia" w:ascii="宋体" w:hAnsi="宋体"/>
          <w:sz w:val="24"/>
          <w:szCs w:val="24"/>
        </w:rPr>
        <w:t>4.1“采购人”是指</w:t>
      </w:r>
      <w:r>
        <w:rPr>
          <w:rFonts w:hint="eastAsia" w:ascii="宋体" w:hAnsi="宋体" w:cs="Arial"/>
          <w:color w:val="000000"/>
          <w:sz w:val="24"/>
          <w:szCs w:val="24"/>
        </w:rPr>
        <w:t>依法进行政府采购的国家机关、事业单位、团体组织。本磋商文件的采购人特指</w:t>
      </w:r>
      <w:r>
        <w:rPr>
          <w:rFonts w:hint="eastAsia" w:asciiTheme="minorEastAsia" w:hAnsiTheme="minorEastAsia" w:eastAsiaTheme="minorEastAsia"/>
          <w:b/>
          <w:bCs/>
          <w:sz w:val="24"/>
          <w:szCs w:val="24"/>
          <w:lang w:eastAsia="zh-CN"/>
        </w:rPr>
        <w:t>鄂托克前旗农牧业综合开发中心</w:t>
      </w:r>
      <w:r>
        <w:rPr>
          <w:rFonts w:hint="eastAsia" w:ascii="宋体" w:hAnsi="宋体" w:cs="Arial"/>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4.2“集中采购机构”是指人民政府依法设立的代理集中采购项目的执行机构。本磋商文件的集中采购机构特指</w:t>
      </w:r>
      <w:r>
        <w:rPr>
          <w:rFonts w:hint="eastAsia" w:ascii="宋体" w:hAnsi="宋体"/>
          <w:b/>
          <w:bCs/>
          <w:color w:val="000000"/>
          <w:sz w:val="24"/>
          <w:szCs w:val="24"/>
          <w:lang w:val="en-US" w:eastAsia="zh-CN"/>
        </w:rPr>
        <w:t>鄂尔多斯市金博工程项目管理有限公司</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4.3“供应商”是指向采购人提供货物、工程或者服务的法人、其他组织或者自然人。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4.4“磋商小组”是指根据《中华人民共和国政府采购法》等法律法规规定，由采购人代表和有关专家组成以确定成交供应商或者推荐成交候选人的临时组织。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4.5“成交供应商”是指经磋商小组评审确定的对磋商文件做出实质性响应，取得与采购人签订合同资格的供应商。</w:t>
      </w:r>
    </w:p>
    <w:p>
      <w:pPr>
        <w:spacing w:line="360" w:lineRule="auto"/>
        <w:rPr>
          <w:rFonts w:ascii="宋体" w:hAnsi="宋体"/>
          <w:b/>
          <w:color w:val="000000"/>
          <w:sz w:val="24"/>
          <w:szCs w:val="24"/>
        </w:rPr>
      </w:pPr>
      <w:r>
        <w:rPr>
          <w:rFonts w:hint="eastAsia" w:ascii="宋体" w:hAnsi="宋体"/>
          <w:b/>
          <w:color w:val="000000"/>
          <w:sz w:val="24"/>
          <w:szCs w:val="24"/>
        </w:rPr>
        <w:t>5.合格的供应商</w:t>
      </w:r>
    </w:p>
    <w:p>
      <w:pPr>
        <w:spacing w:line="360" w:lineRule="auto"/>
        <w:ind w:firstLine="480" w:firstLineChars="200"/>
        <w:rPr>
          <w:rFonts w:ascii="宋体" w:hAnsi="宋体"/>
          <w:bCs/>
          <w:sz w:val="24"/>
          <w:szCs w:val="24"/>
        </w:rPr>
      </w:pPr>
      <w:r>
        <w:rPr>
          <w:rFonts w:hint="eastAsia" w:ascii="宋体" w:hAnsi="宋体"/>
          <w:sz w:val="24"/>
          <w:szCs w:val="24"/>
        </w:rPr>
        <w:t>5.1具有独立承担民事责任的能力、</w:t>
      </w:r>
      <w:r>
        <w:rPr>
          <w:rFonts w:hint="eastAsia" w:ascii="宋体" w:hAnsi="宋体"/>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5.2 符合本磋商文件规定的资格要求，并按照要求提供相关证明材料。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5.3单位负责人为同一人或者存在直接控股、管理关系的不同供应商，不得参加同一合同项下的政府采购活动。</w:t>
      </w:r>
    </w:p>
    <w:p>
      <w:pPr>
        <w:spacing w:line="360" w:lineRule="auto"/>
        <w:ind w:firstLine="480" w:firstLineChars="200"/>
        <w:rPr>
          <w:rFonts w:ascii="宋体" w:hAnsi="宋体"/>
          <w:bCs/>
          <w:sz w:val="24"/>
          <w:szCs w:val="24"/>
        </w:rPr>
      </w:pPr>
      <w:r>
        <w:rPr>
          <w:rFonts w:hint="eastAsia" w:ascii="宋体" w:hAnsi="宋体"/>
          <w:bCs/>
          <w:sz w:val="24"/>
          <w:szCs w:val="24"/>
        </w:rPr>
        <w:t>5.4为采购项目提供整体设计、规范编制或者项目管理、监理、检测等服务的供应商，不得再参加该采购项目的其他采购活动。</w:t>
      </w:r>
    </w:p>
    <w:p>
      <w:pPr>
        <w:spacing w:line="360" w:lineRule="auto"/>
        <w:ind w:firstLine="480" w:firstLineChars="200"/>
        <w:rPr>
          <w:rFonts w:ascii="宋体" w:hAnsi="宋体"/>
          <w:bCs/>
          <w:sz w:val="24"/>
          <w:szCs w:val="24"/>
        </w:rPr>
      </w:pPr>
      <w:r>
        <w:rPr>
          <w:rFonts w:hint="eastAsia" w:ascii="宋体" w:hAnsi="宋体"/>
          <w:bCs/>
          <w:sz w:val="24"/>
          <w:szCs w:val="24"/>
        </w:rPr>
        <w:t>5.5由于法人分支机构不能独立承担民事责任，不能以分支机构的身份参加政府采购，只能以法人身份参加。</w:t>
      </w:r>
    </w:p>
    <w:p>
      <w:pPr>
        <w:tabs>
          <w:tab w:val="left" w:pos="567"/>
        </w:tabs>
        <w:spacing w:line="360" w:lineRule="auto"/>
        <w:rPr>
          <w:rFonts w:ascii="宋体" w:hAnsi="宋体"/>
          <w:b/>
          <w:bCs/>
          <w:sz w:val="24"/>
          <w:szCs w:val="24"/>
        </w:rPr>
      </w:pPr>
      <w:r>
        <w:rPr>
          <w:rFonts w:hint="eastAsia" w:ascii="宋体" w:hAnsi="宋体"/>
          <w:b/>
          <w:bCs/>
          <w:sz w:val="24"/>
          <w:szCs w:val="24"/>
        </w:rPr>
        <w:t>6.以联合体形式投标的，应符合以下规定：</w:t>
      </w:r>
    </w:p>
    <w:p>
      <w:pPr>
        <w:spacing w:line="360" w:lineRule="auto"/>
        <w:ind w:firstLine="480" w:firstLineChars="200"/>
        <w:rPr>
          <w:rFonts w:ascii="宋体" w:hAnsi="宋体"/>
          <w:bCs/>
          <w:sz w:val="24"/>
          <w:szCs w:val="24"/>
        </w:rPr>
      </w:pPr>
      <w:r>
        <w:rPr>
          <w:rFonts w:hint="eastAsia" w:ascii="宋体" w:hAnsi="宋体"/>
          <w:bCs/>
          <w:sz w:val="24"/>
          <w:szCs w:val="24"/>
        </w:rPr>
        <w:t>6.1联合体各方应签订联合体协议书，明确联合体牵头人和各方权利义务，并装订至响应文件中。</w:t>
      </w:r>
    </w:p>
    <w:p>
      <w:pPr>
        <w:spacing w:line="360" w:lineRule="auto"/>
        <w:ind w:firstLine="480" w:firstLineChars="200"/>
        <w:rPr>
          <w:rFonts w:ascii="宋体" w:hAnsi="宋体"/>
          <w:bCs/>
          <w:sz w:val="24"/>
          <w:szCs w:val="24"/>
        </w:rPr>
      </w:pPr>
      <w:r>
        <w:rPr>
          <w:rFonts w:hint="eastAsia" w:ascii="宋体" w:hAnsi="宋体"/>
          <w:bCs/>
          <w:sz w:val="24"/>
          <w:szCs w:val="24"/>
        </w:rPr>
        <w:t>6.2联合体各方均应当具备政府采购法第二十二条规定的条件，并提供联合体各方的相关证明材料。</w:t>
      </w:r>
    </w:p>
    <w:p>
      <w:pPr>
        <w:spacing w:line="360" w:lineRule="auto"/>
        <w:ind w:firstLine="480" w:firstLineChars="200"/>
        <w:rPr>
          <w:rFonts w:ascii="宋体" w:hAnsi="宋体"/>
          <w:sz w:val="24"/>
          <w:szCs w:val="24"/>
        </w:rPr>
      </w:pPr>
      <w:r>
        <w:rPr>
          <w:rFonts w:hint="eastAsia" w:ascii="宋体" w:hAnsi="宋体" w:cs="宋体"/>
          <w:sz w:val="24"/>
          <w:szCs w:val="24"/>
        </w:rPr>
        <w:t>6.3联合体成员存在不良信用记录的，视同联合体存在不良信用记录。</w:t>
      </w:r>
    </w:p>
    <w:p>
      <w:pPr>
        <w:spacing w:line="360" w:lineRule="auto"/>
        <w:ind w:firstLine="480" w:firstLineChars="200"/>
        <w:rPr>
          <w:rFonts w:ascii="宋体" w:hAnsi="宋体"/>
          <w:sz w:val="24"/>
          <w:szCs w:val="24"/>
        </w:rPr>
      </w:pPr>
      <w:r>
        <w:rPr>
          <w:rFonts w:hint="eastAsia" w:ascii="宋体" w:hAnsi="宋体"/>
          <w:sz w:val="24"/>
          <w:szCs w:val="24"/>
        </w:rPr>
        <w:t>6.4</w:t>
      </w:r>
      <w:r>
        <w:rPr>
          <w:rFonts w:hint="eastAsia" w:ascii="宋体" w:hAnsi="宋体" w:cs="宋体"/>
          <w:sz w:val="24"/>
          <w:szCs w:val="24"/>
        </w:rPr>
        <w:t>联合体各方中至少应当有一方符合采购人规定的资格要求。由</w:t>
      </w:r>
      <w:r>
        <w:rPr>
          <w:rFonts w:hint="eastAsia" w:ascii="宋体" w:hAnsi="宋体"/>
          <w:sz w:val="24"/>
          <w:szCs w:val="24"/>
        </w:rPr>
        <w:t>同一资质条件的供应商组成的联合体，应当按照资质等级较低的供应商确定联合体资质等级。</w:t>
      </w:r>
    </w:p>
    <w:p>
      <w:pPr>
        <w:spacing w:line="360" w:lineRule="auto"/>
        <w:ind w:firstLine="480" w:firstLineChars="200"/>
        <w:rPr>
          <w:rFonts w:ascii="宋体" w:hAnsi="宋体"/>
          <w:sz w:val="24"/>
          <w:szCs w:val="24"/>
        </w:rPr>
      </w:pPr>
      <w:r>
        <w:rPr>
          <w:rFonts w:hint="eastAsia" w:ascii="宋体" w:hAnsi="宋体"/>
          <w:sz w:val="24"/>
          <w:szCs w:val="24"/>
        </w:rPr>
        <w:t>6.5联合体各方不得再以自己名义单独在同一项目中投标，也不得组成新的联合体参加同一项目投标。</w:t>
      </w:r>
    </w:p>
    <w:p>
      <w:pPr>
        <w:spacing w:line="360" w:lineRule="auto"/>
        <w:ind w:firstLine="480" w:firstLineChars="200"/>
        <w:rPr>
          <w:rFonts w:ascii="宋体" w:hAnsi="宋体"/>
          <w:sz w:val="24"/>
          <w:szCs w:val="24"/>
        </w:rPr>
      </w:pPr>
      <w:r>
        <w:rPr>
          <w:rFonts w:hint="eastAsia" w:ascii="宋体" w:hAnsi="宋体"/>
          <w:sz w:val="24"/>
          <w:szCs w:val="24"/>
        </w:rPr>
        <w:t>6.6联合体各方应当共同与采购人签订采购合同，就合同约定的事项对采购人承担连带责任。</w:t>
      </w:r>
    </w:p>
    <w:p>
      <w:pPr>
        <w:spacing w:line="360" w:lineRule="auto"/>
        <w:ind w:firstLine="480" w:firstLineChars="200"/>
        <w:rPr>
          <w:rFonts w:ascii="宋体" w:hAnsi="宋体"/>
          <w:sz w:val="24"/>
          <w:szCs w:val="24"/>
        </w:rPr>
      </w:pPr>
      <w:r>
        <w:rPr>
          <w:rFonts w:hint="eastAsia" w:ascii="宋体" w:hAnsi="宋体"/>
          <w:sz w:val="24"/>
          <w:szCs w:val="24"/>
        </w:rPr>
        <w:t>6.7 投标报名时，应以联合体协议中确定的主体方名义报名，以主体方名义缴纳投标保证金，对联合体各方均具有约束力。</w:t>
      </w:r>
    </w:p>
    <w:p>
      <w:pPr>
        <w:spacing w:line="360" w:lineRule="auto"/>
        <w:rPr>
          <w:rFonts w:ascii="宋体" w:hAnsi="宋体"/>
          <w:b/>
          <w:sz w:val="24"/>
          <w:szCs w:val="24"/>
        </w:rPr>
      </w:pPr>
      <w:r>
        <w:rPr>
          <w:rFonts w:hint="eastAsia" w:ascii="宋体" w:hAnsi="宋体"/>
          <w:b/>
          <w:sz w:val="24"/>
          <w:szCs w:val="24"/>
        </w:rPr>
        <w:t>7.语言文字以及度量衡单位</w:t>
      </w:r>
    </w:p>
    <w:p>
      <w:pPr>
        <w:spacing w:line="360" w:lineRule="auto"/>
        <w:ind w:firstLine="480" w:firstLineChars="200"/>
        <w:rPr>
          <w:rFonts w:ascii="宋体" w:hAnsi="宋体"/>
          <w:sz w:val="24"/>
          <w:szCs w:val="24"/>
        </w:rPr>
      </w:pPr>
      <w:r>
        <w:rPr>
          <w:rFonts w:hint="eastAsia" w:ascii="宋体" w:hAnsi="宋体"/>
          <w:sz w:val="24"/>
          <w:szCs w:val="24"/>
        </w:rPr>
        <w:t>7.1所有文件使用的语言文字为简体中文。专用术语使用外文的，应附有简体中文注释，否则</w:t>
      </w:r>
      <w:r>
        <w:rPr>
          <w:rFonts w:hint="eastAsia" w:ascii="宋体" w:hAnsi="宋体" w:cs="宋体"/>
          <w:sz w:val="24"/>
          <w:szCs w:val="24"/>
        </w:rPr>
        <w:t>视为无效</w:t>
      </w:r>
    </w:p>
    <w:p>
      <w:pPr>
        <w:spacing w:line="360" w:lineRule="auto"/>
        <w:ind w:firstLine="480" w:firstLineChars="200"/>
        <w:rPr>
          <w:rFonts w:ascii="宋体" w:hAnsi="宋体"/>
          <w:sz w:val="24"/>
          <w:szCs w:val="24"/>
        </w:rPr>
      </w:pPr>
      <w:r>
        <w:rPr>
          <w:rFonts w:hint="eastAsia" w:ascii="宋体" w:hAnsi="宋体"/>
          <w:sz w:val="24"/>
          <w:szCs w:val="24"/>
        </w:rPr>
        <w:t>7.2所有计量均采用中国法定的计量单位。</w:t>
      </w:r>
    </w:p>
    <w:p>
      <w:pPr>
        <w:spacing w:line="360" w:lineRule="auto"/>
        <w:ind w:firstLine="480" w:firstLineChars="200"/>
        <w:rPr>
          <w:rFonts w:ascii="宋体" w:hAnsi="宋体"/>
          <w:sz w:val="24"/>
          <w:szCs w:val="24"/>
        </w:rPr>
      </w:pPr>
      <w:r>
        <w:rPr>
          <w:rFonts w:hint="eastAsia" w:ascii="宋体" w:hAnsi="宋体"/>
          <w:sz w:val="24"/>
          <w:szCs w:val="24"/>
        </w:rPr>
        <w:t>7.3所有报价一律使用人民币，货币单位：元。</w:t>
      </w:r>
    </w:p>
    <w:p>
      <w:pPr>
        <w:spacing w:line="360" w:lineRule="auto"/>
        <w:rPr>
          <w:rFonts w:ascii="宋体" w:hAnsi="宋体"/>
          <w:b/>
          <w:sz w:val="24"/>
          <w:szCs w:val="24"/>
        </w:rPr>
      </w:pPr>
      <w:r>
        <w:rPr>
          <w:rFonts w:hint="eastAsia" w:ascii="宋体" w:hAnsi="宋体"/>
          <w:b/>
          <w:sz w:val="24"/>
          <w:szCs w:val="24"/>
        </w:rPr>
        <w:t>8.踏勘现场</w:t>
      </w:r>
    </w:p>
    <w:p>
      <w:pPr>
        <w:spacing w:line="360" w:lineRule="auto"/>
        <w:ind w:firstLine="480" w:firstLineChars="200"/>
        <w:rPr>
          <w:rFonts w:ascii="宋体" w:hAnsi="宋体"/>
          <w:b/>
          <w:sz w:val="24"/>
          <w:szCs w:val="24"/>
        </w:rPr>
      </w:pPr>
      <w:r>
        <w:rPr>
          <w:rFonts w:hint="eastAsia" w:ascii="宋体" w:hAnsi="宋体"/>
          <w:sz w:val="24"/>
          <w:szCs w:val="24"/>
        </w:rPr>
        <w:t xml:space="preserve">8.1磋商文件规定组织踏勘现场的，采购人按磋商文件规定的时间、地点组织供应商踏勘项目现场。 </w:t>
      </w:r>
    </w:p>
    <w:p>
      <w:pPr>
        <w:spacing w:line="360" w:lineRule="auto"/>
        <w:ind w:firstLine="480" w:firstLineChars="200"/>
        <w:rPr>
          <w:rFonts w:ascii="宋体" w:hAnsi="宋体"/>
          <w:sz w:val="24"/>
          <w:szCs w:val="24"/>
        </w:rPr>
      </w:pPr>
      <w:r>
        <w:rPr>
          <w:rFonts w:hint="eastAsia" w:ascii="宋体" w:hAnsi="宋体"/>
          <w:sz w:val="24"/>
          <w:szCs w:val="24"/>
        </w:rPr>
        <w:t>8.2供应商自行承担踏勘现场发生的责任、风险和自身费用。</w:t>
      </w:r>
    </w:p>
    <w:p>
      <w:pPr>
        <w:spacing w:line="360" w:lineRule="auto"/>
        <w:ind w:firstLine="480" w:firstLineChars="200"/>
        <w:rPr>
          <w:rFonts w:ascii="宋体" w:hAnsi="宋体"/>
          <w:sz w:val="24"/>
          <w:szCs w:val="24"/>
        </w:rPr>
      </w:pPr>
      <w:r>
        <w:rPr>
          <w:rFonts w:hint="eastAsia" w:ascii="宋体" w:hAnsi="宋体"/>
          <w:sz w:val="24"/>
          <w:szCs w:val="24"/>
        </w:rPr>
        <w:t>8.3采购人在踏勘现场中介绍的资料和数据等，不构成对磋商文件的修改或不作为供应商编制响应文件的依据。</w:t>
      </w:r>
    </w:p>
    <w:p>
      <w:pPr>
        <w:spacing w:line="360" w:lineRule="auto"/>
        <w:rPr>
          <w:rFonts w:ascii="宋体" w:hAnsi="宋体"/>
          <w:b/>
          <w:sz w:val="24"/>
          <w:szCs w:val="24"/>
        </w:rPr>
      </w:pPr>
      <w:r>
        <w:rPr>
          <w:rFonts w:hint="eastAsia" w:ascii="宋体" w:hAnsi="宋体"/>
          <w:b/>
          <w:sz w:val="24"/>
          <w:szCs w:val="24"/>
        </w:rPr>
        <w:t>9.其他条款</w:t>
      </w:r>
    </w:p>
    <w:p>
      <w:pPr>
        <w:spacing w:line="360" w:lineRule="auto"/>
        <w:ind w:firstLine="480" w:firstLineChars="200"/>
        <w:rPr>
          <w:rFonts w:ascii="宋体" w:hAnsi="宋体"/>
          <w:sz w:val="24"/>
          <w:szCs w:val="24"/>
        </w:rPr>
      </w:pPr>
      <w:r>
        <w:rPr>
          <w:rFonts w:hint="eastAsia" w:ascii="宋体" w:hAnsi="宋体"/>
          <w:sz w:val="24"/>
          <w:szCs w:val="24"/>
        </w:rPr>
        <w:t>无论中标与否供应商递交的响应文件均不予退还。</w:t>
      </w:r>
    </w:p>
    <w:p>
      <w:pPr>
        <w:spacing w:line="360" w:lineRule="auto"/>
        <w:rPr>
          <w:rFonts w:ascii="宋体" w:hAnsi="宋体"/>
          <w:b/>
          <w:sz w:val="24"/>
          <w:szCs w:val="24"/>
        </w:rPr>
      </w:pPr>
      <w:r>
        <w:rPr>
          <w:rFonts w:hint="eastAsia" w:ascii="宋体" w:hAnsi="宋体"/>
          <w:b/>
          <w:sz w:val="24"/>
          <w:szCs w:val="24"/>
        </w:rPr>
        <w:t>四.磋商文件的澄清或者修改</w:t>
      </w:r>
    </w:p>
    <w:p>
      <w:pPr>
        <w:spacing w:line="360" w:lineRule="auto"/>
        <w:ind w:firstLine="480" w:firstLineChars="200"/>
        <w:rPr>
          <w:rFonts w:ascii="宋体" w:hAnsi="宋体"/>
          <w:sz w:val="24"/>
          <w:szCs w:val="24"/>
        </w:rPr>
      </w:pPr>
      <w:r>
        <w:rPr>
          <w:rFonts w:hint="eastAsia" w:ascii="宋体" w:hAnsi="宋体"/>
          <w:sz w:val="24"/>
          <w:szCs w:val="24"/>
        </w:rPr>
        <w:t>提交首次响应文件截止之日前，采购人、</w:t>
      </w:r>
      <w:r>
        <w:rPr>
          <w:rFonts w:hint="eastAsia" w:ascii="宋体" w:hAnsi="宋体"/>
          <w:sz w:val="24"/>
          <w:szCs w:val="24"/>
          <w:lang w:val="en-US" w:eastAsia="zh-CN"/>
        </w:rPr>
        <w:t>鄂尔多斯市金博工程项目管理有限公司</w:t>
      </w:r>
      <w:r>
        <w:rPr>
          <w:rFonts w:hint="eastAsia" w:ascii="宋体" w:hAnsi="宋体"/>
          <w:sz w:val="24"/>
          <w:szCs w:val="24"/>
        </w:rPr>
        <w:t>或者磋商小组可以对已发出的磋商文件进行必要的澄清或者修改，澄清或者修改的内容作为磋商文件的组成部分。澄清或者修改的内容可能影响响应文件编制的，采购人、</w:t>
      </w:r>
      <w:r>
        <w:rPr>
          <w:rFonts w:hint="eastAsia" w:ascii="宋体" w:hAnsi="宋体"/>
          <w:sz w:val="24"/>
          <w:szCs w:val="24"/>
          <w:lang w:val="en-US" w:eastAsia="zh-CN"/>
        </w:rPr>
        <w:t>鄂尔多斯市金博工程项目管理有限公司</w:t>
      </w:r>
      <w:r>
        <w:rPr>
          <w:rFonts w:hint="eastAsia" w:ascii="宋体" w:hAnsi="宋体"/>
          <w:sz w:val="24"/>
          <w:szCs w:val="24"/>
        </w:rPr>
        <w:t>应当在提交首次响应文件截止时间至少5日前，不足5日的，采购人、</w:t>
      </w:r>
      <w:r>
        <w:rPr>
          <w:rFonts w:hint="eastAsia" w:ascii="宋体" w:hAnsi="宋体"/>
          <w:sz w:val="24"/>
          <w:szCs w:val="24"/>
          <w:lang w:val="en-US" w:eastAsia="zh-CN"/>
        </w:rPr>
        <w:t>鄂尔多斯市金博工程项目管理有限公司</w:t>
      </w:r>
      <w:r>
        <w:rPr>
          <w:rFonts w:hint="eastAsia" w:ascii="宋体" w:hAnsi="宋体"/>
          <w:sz w:val="24"/>
          <w:szCs w:val="24"/>
        </w:rPr>
        <w:t>应当顺延提交首次响应文件截止时间。</w:t>
      </w:r>
      <w:r>
        <w:rPr>
          <w:rFonts w:hint="eastAsia" w:ascii="宋体" w:hAnsi="宋体" w:cs="宋体"/>
          <w:kern w:val="0"/>
          <w:sz w:val="24"/>
          <w:szCs w:val="24"/>
        </w:rPr>
        <w:t>同时</w:t>
      </w:r>
      <w:r>
        <w:rPr>
          <w:rFonts w:hint="eastAsia" w:ascii="宋体" w:hAnsi="宋体"/>
          <w:sz w:val="24"/>
          <w:szCs w:val="24"/>
        </w:rPr>
        <w:t>在“内蒙古自治区政府采购网”、“内蒙古自治区公共资源交易网”、“鄂尔多斯市政府采购网”和“鄂尔多斯市公共资源交易网”“鄂托克前旗人民政府网”上发布澄清或者变更公告进行通知。澄清或者变更公告的内容为磋商文件的组成部分，供应商应自行上网查询，采购人或</w:t>
      </w:r>
      <w:r>
        <w:rPr>
          <w:rFonts w:hint="eastAsia" w:ascii="宋体" w:hAnsi="宋体"/>
          <w:sz w:val="24"/>
          <w:szCs w:val="24"/>
          <w:lang w:val="en-US" w:eastAsia="zh-CN"/>
        </w:rPr>
        <w:t>鄂尔多斯市金博工程项目管理有限公司</w:t>
      </w:r>
      <w:r>
        <w:rPr>
          <w:rFonts w:hint="eastAsia" w:ascii="宋体" w:hAnsi="宋体"/>
          <w:sz w:val="24"/>
          <w:szCs w:val="24"/>
        </w:rPr>
        <w:t>不承担供应商未及时关注相关信息的责任。</w:t>
      </w:r>
    </w:p>
    <w:p>
      <w:pPr>
        <w:spacing w:line="360" w:lineRule="auto"/>
        <w:rPr>
          <w:rFonts w:ascii="宋体" w:hAnsi="宋体"/>
          <w:b/>
          <w:sz w:val="24"/>
          <w:szCs w:val="24"/>
        </w:rPr>
      </w:pPr>
      <w:r>
        <w:rPr>
          <w:rFonts w:hint="eastAsia" w:ascii="宋体" w:hAnsi="宋体"/>
          <w:b/>
          <w:sz w:val="24"/>
          <w:szCs w:val="24"/>
        </w:rPr>
        <w:t>五.响应文件</w:t>
      </w:r>
    </w:p>
    <w:p>
      <w:pPr>
        <w:spacing w:line="360" w:lineRule="auto"/>
        <w:rPr>
          <w:rFonts w:ascii="宋体" w:hAnsi="宋体"/>
          <w:b/>
          <w:sz w:val="24"/>
          <w:szCs w:val="24"/>
        </w:rPr>
      </w:pPr>
      <w:r>
        <w:rPr>
          <w:rFonts w:hint="eastAsia" w:ascii="宋体" w:hAnsi="宋体"/>
          <w:b/>
          <w:sz w:val="24"/>
          <w:szCs w:val="24"/>
        </w:rPr>
        <w:t>1.响应文件的构成</w:t>
      </w:r>
    </w:p>
    <w:p>
      <w:pPr>
        <w:spacing w:line="360" w:lineRule="auto"/>
        <w:ind w:firstLine="480" w:firstLineChars="200"/>
        <w:rPr>
          <w:rFonts w:ascii="宋体" w:hAnsi="宋体"/>
          <w:sz w:val="24"/>
          <w:szCs w:val="24"/>
        </w:rPr>
      </w:pPr>
      <w:r>
        <w:rPr>
          <w:rFonts w:hint="eastAsia" w:ascii="宋体" w:hAnsi="宋体"/>
          <w:sz w:val="24"/>
          <w:szCs w:val="24"/>
        </w:rPr>
        <w:t>响应文件应按照磋商文件第七章“响应文件格式”进行编写（可以增加附页），作为响应文件的组成部分。</w:t>
      </w:r>
    </w:p>
    <w:p>
      <w:pPr>
        <w:spacing w:line="360" w:lineRule="auto"/>
        <w:rPr>
          <w:rFonts w:ascii="宋体" w:hAnsi="宋体"/>
          <w:b/>
          <w:sz w:val="24"/>
          <w:szCs w:val="24"/>
        </w:rPr>
      </w:pPr>
      <w:r>
        <w:rPr>
          <w:rFonts w:hint="eastAsia" w:ascii="宋体" w:hAnsi="宋体"/>
          <w:b/>
          <w:sz w:val="24"/>
          <w:szCs w:val="24"/>
        </w:rPr>
        <w:t>2.投标报价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2.1 </w:t>
      </w:r>
      <w:r>
        <w:rPr>
          <w:rFonts w:ascii="宋体" w:hAnsi="宋体"/>
          <w:sz w:val="24"/>
          <w:szCs w:val="24"/>
        </w:rPr>
        <w:t>供应商应按照“第四章磋商内容与要求”的供货内容</w:t>
      </w:r>
      <w:r>
        <w:rPr>
          <w:rFonts w:hint="eastAsia" w:ascii="宋体" w:hAnsi="宋体"/>
          <w:sz w:val="24"/>
          <w:szCs w:val="24"/>
        </w:rPr>
        <w:t>、</w:t>
      </w:r>
      <w:r>
        <w:rPr>
          <w:rFonts w:ascii="宋体" w:hAnsi="宋体"/>
          <w:sz w:val="24"/>
          <w:szCs w:val="24"/>
        </w:rPr>
        <w:t>责任范围以及合同条款进行报价。并按“开标一览表”和“投标货物分项报价明细表”规定的格式报出总价和分项价格</w:t>
      </w:r>
      <w:r>
        <w:rPr>
          <w:rFonts w:ascii="宋体" w:hAnsi="宋体"/>
          <w:kern w:val="0"/>
          <w:sz w:val="24"/>
          <w:szCs w:val="24"/>
        </w:rPr>
        <w:t>。投标总价中不得包含磋商文件要求以外的内容，否则，在评审时不予核减。</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2.2</w:t>
      </w:r>
      <w:r>
        <w:rPr>
          <w:rFonts w:hint="eastAsia" w:ascii="宋体" w:hAnsi="宋体"/>
          <w:sz w:val="24"/>
          <w:szCs w:val="24"/>
        </w:rPr>
        <w:t>投标报价的范</w:t>
      </w:r>
      <w:r>
        <w:rPr>
          <w:rFonts w:hint="eastAsia" w:ascii="宋体" w:hAnsi="宋体"/>
          <w:kern w:val="0"/>
          <w:sz w:val="24"/>
          <w:szCs w:val="24"/>
        </w:rPr>
        <w:t>围：本项目实行两轮报价，第一轮为响应性报价，第二轮为磋商后报价（也是最后报价），必要时可进行第三轮报价。投标报价含本采购文件要求、合同履约需要及施工过程中所产生的全部费用。</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sz w:val="24"/>
          <w:szCs w:val="24"/>
        </w:rPr>
        <w:t>2.3投标报价不得有选择性报价和附有条件的报价，每一种规格的货物只允许有一个报价，不得缺项、漏项、不得高于预算价或最高限价。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sz w:val="24"/>
          <w:szCs w:val="24"/>
        </w:rPr>
        <w:t>2.4</w:t>
      </w:r>
      <w:r>
        <w:rPr>
          <w:rFonts w:ascii="宋体" w:hAnsi="宋体"/>
          <w:sz w:val="24"/>
          <w:szCs w:val="24"/>
        </w:rPr>
        <w:t>对报价的计算错误按以下原则修正：</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）响应文件中开标一览表（报价表）内容与响应文件中相应内容不一致的，以开标一览表（报价表）为准；</w:t>
      </w:r>
    </w:p>
    <w:p>
      <w:pPr>
        <w:widowControl/>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）大写金额和小写金额不一致的，以大写金额为准；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）单价金额小数点或者百分比有明显错位的，以开标一览表的总价为准，并修改单价。</w:t>
      </w:r>
    </w:p>
    <w:p>
      <w:pPr>
        <w:spacing w:line="360" w:lineRule="auto"/>
        <w:rPr>
          <w:rFonts w:ascii="宋体" w:hAnsi="宋体"/>
          <w:b/>
          <w:sz w:val="24"/>
          <w:szCs w:val="24"/>
        </w:rPr>
      </w:pPr>
      <w:r>
        <w:rPr>
          <w:rFonts w:hint="eastAsia" w:ascii="宋体" w:hAnsi="宋体"/>
          <w:b/>
          <w:sz w:val="24"/>
          <w:szCs w:val="24"/>
        </w:rPr>
        <w:t>3.响应文件的密封、签署、盖章要求等</w:t>
      </w:r>
    </w:p>
    <w:p>
      <w:pPr>
        <w:spacing w:line="360" w:lineRule="auto"/>
        <w:ind w:firstLine="480" w:firstLineChars="200"/>
        <w:rPr>
          <w:rFonts w:ascii="宋体" w:hAnsi="宋体"/>
          <w:sz w:val="24"/>
          <w:szCs w:val="24"/>
        </w:rPr>
      </w:pPr>
      <w:r>
        <w:rPr>
          <w:rFonts w:hint="eastAsia" w:ascii="宋体" w:hAnsi="宋体"/>
          <w:sz w:val="24"/>
          <w:szCs w:val="24"/>
        </w:rPr>
        <w:t>3.1纸质响应文件编制要求：响应文件应用A4纸书写、打印。正本和副本的封面上应清楚地标记“正本”或“副本”的字样，副本可采用正本复印件。当副本和正本不一致时，以正本为准。响应文件的正本与副本应分别装订成册，并编制目录，页码必须连续（所附的图纸、不能重新打印的资料和印刷品等除外）。</w:t>
      </w:r>
    </w:p>
    <w:p>
      <w:pPr>
        <w:spacing w:line="360" w:lineRule="auto"/>
        <w:ind w:firstLine="480" w:firstLineChars="200"/>
        <w:rPr>
          <w:rFonts w:ascii="宋体" w:hAnsi="宋体"/>
          <w:sz w:val="24"/>
          <w:szCs w:val="24"/>
        </w:rPr>
      </w:pPr>
      <w:r>
        <w:rPr>
          <w:rFonts w:hint="eastAsia" w:ascii="宋体" w:hAnsi="宋体"/>
          <w:sz w:val="24"/>
          <w:szCs w:val="24"/>
        </w:rPr>
        <w:t>3.2电子版响应文件编制要求：提供PDF格式和word格式电子文档一份，内容必须一致，在电子文档上标明供应商全称。（电子文档须使用U盘）</w:t>
      </w:r>
      <w:r>
        <w:rPr>
          <w:rFonts w:hint="eastAsia" w:ascii="宋体" w:hAnsi="宋体"/>
          <w:kern w:val="0"/>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3.3响应文件正、副本中要求签署盖章的应按要求由供应商的法定代表人或其授权委托人签字并加盖公章。响应文件应尽量避免涂改、行间插字或删除，如果出现上述情况，改动之处应当加盖公章或由供应商的法定代表人（授权委托人）签字确认。</w:t>
      </w:r>
    </w:p>
    <w:p>
      <w:pPr>
        <w:spacing w:line="360" w:lineRule="auto"/>
        <w:ind w:firstLine="480" w:firstLineChars="200"/>
        <w:rPr>
          <w:rFonts w:ascii="宋体" w:hAnsi="宋体"/>
          <w:sz w:val="24"/>
          <w:szCs w:val="24"/>
        </w:rPr>
      </w:pPr>
      <w:r>
        <w:rPr>
          <w:rFonts w:hint="eastAsia" w:ascii="宋体" w:hAnsi="宋体"/>
          <w:sz w:val="24"/>
          <w:szCs w:val="24"/>
        </w:rPr>
        <w:t>3.4响应文件的密封。供应商</w:t>
      </w:r>
      <w:r>
        <w:rPr>
          <w:rFonts w:ascii="宋体" w:hAnsi="宋体"/>
          <w:sz w:val="24"/>
          <w:szCs w:val="24"/>
        </w:rPr>
        <w:t>应使用密封袋将</w:t>
      </w:r>
      <w:r>
        <w:rPr>
          <w:rFonts w:hint="eastAsia" w:ascii="宋体" w:hAnsi="宋体"/>
          <w:sz w:val="24"/>
          <w:szCs w:val="24"/>
        </w:rPr>
        <w:t>响应文件</w:t>
      </w:r>
      <w:r>
        <w:rPr>
          <w:rFonts w:ascii="宋体" w:hAnsi="宋体"/>
          <w:sz w:val="24"/>
          <w:szCs w:val="24"/>
        </w:rPr>
        <w:t>密封</w:t>
      </w:r>
      <w:r>
        <w:rPr>
          <w:rFonts w:hint="eastAsia" w:ascii="宋体" w:hAnsi="宋体"/>
          <w:sz w:val="24"/>
          <w:szCs w:val="24"/>
        </w:rPr>
        <w:t>，电子文档可密封至响应文件中也可单独密封。密封封面上需注明“项目名称”、“项目编号”、“分包号”、“供应商全称”和《</w:t>
      </w:r>
      <w:r>
        <w:rPr>
          <w:rFonts w:hint="eastAsia" w:ascii="宋体" w:hAnsi="宋体"/>
          <w:sz w:val="24"/>
          <w:szCs w:val="24"/>
          <w:lang w:eastAsia="zh-CN"/>
        </w:rPr>
        <w:t>磋商</w:t>
      </w:r>
      <w:r>
        <w:rPr>
          <w:rFonts w:hint="eastAsia" w:ascii="宋体" w:hAnsi="宋体"/>
          <w:sz w:val="24"/>
          <w:szCs w:val="24"/>
        </w:rPr>
        <w:t>文件》或《电子版》字样，并在密封包装上</w:t>
      </w:r>
      <w:r>
        <w:rPr>
          <w:rFonts w:ascii="宋体" w:hAnsi="宋体"/>
          <w:sz w:val="24"/>
          <w:szCs w:val="24"/>
        </w:rPr>
        <w:t>粘贴密封条</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3.5供应商按上述规定进行密封和标记后，将响应文件按照</w:t>
      </w:r>
      <w:r>
        <w:rPr>
          <w:rFonts w:hint="eastAsia" w:ascii="宋体" w:hAnsi="宋体"/>
          <w:sz w:val="24"/>
          <w:szCs w:val="24"/>
          <w:lang w:eastAsia="zh-CN"/>
        </w:rPr>
        <w:t>磋商</w:t>
      </w:r>
      <w:r>
        <w:rPr>
          <w:rFonts w:hint="eastAsia" w:ascii="宋体" w:hAnsi="宋体"/>
          <w:sz w:val="24"/>
          <w:szCs w:val="24"/>
        </w:rPr>
        <w:t>文件的要求送达指定地点。如果未按上述规定进行密封和标记，采购代理机构对误投或提前启封概不负责。</w:t>
      </w:r>
    </w:p>
    <w:p>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：1、供应商在响应文件及相关书面文件中的单位公章（包括印章、公章等）均指与供应商名称全称一致的标准公章，不得使用其他形式（如带有“专用章”、“财务章”、“业务章”等）的印章。</w:t>
      </w:r>
    </w:p>
    <w:p>
      <w:pPr>
        <w:pStyle w:val="23"/>
        <w:ind w:firstLine="480" w:firstLineChars="200"/>
      </w:pPr>
      <w:r>
        <w:rPr>
          <w:rFonts w:hint="eastAsia" w:ascii="宋体" w:hAnsi="宋体"/>
          <w:sz w:val="24"/>
          <w:szCs w:val="24"/>
        </w:rPr>
        <w:t>2、供应商应单独密封、单独递交一份《开标一览表》，用于唱标时使用。</w:t>
      </w:r>
    </w:p>
    <w:p>
      <w:pPr>
        <w:spacing w:line="360" w:lineRule="auto"/>
        <w:rPr>
          <w:rFonts w:ascii="宋体" w:hAnsi="宋体"/>
          <w:b/>
          <w:sz w:val="24"/>
          <w:szCs w:val="24"/>
        </w:rPr>
      </w:pPr>
      <w:r>
        <w:rPr>
          <w:rFonts w:hint="eastAsia" w:ascii="宋体" w:hAnsi="宋体"/>
          <w:b/>
          <w:sz w:val="24"/>
          <w:szCs w:val="24"/>
        </w:rPr>
        <w:t>4.投标有效期</w:t>
      </w:r>
    </w:p>
    <w:p>
      <w:pPr>
        <w:spacing w:line="360" w:lineRule="auto"/>
        <w:ind w:firstLine="480" w:firstLineChars="200"/>
        <w:rPr>
          <w:rFonts w:ascii="宋体" w:hAnsi="宋体"/>
          <w:sz w:val="24"/>
          <w:szCs w:val="24"/>
        </w:rPr>
      </w:pPr>
      <w:r>
        <w:rPr>
          <w:rFonts w:hint="eastAsia" w:ascii="宋体" w:hAnsi="宋体"/>
          <w:sz w:val="24"/>
          <w:szCs w:val="24"/>
        </w:rPr>
        <w:t>4.1投标有效期从提交响应文件的截止之日起算。响应文件中承诺的投标有效期应当不少于磋商文件中载明的投标有效期。投标有效期内供应商撤销响应文件的，采购人或者采购代理机构可以不退还投标保证金。</w:t>
      </w:r>
    </w:p>
    <w:p>
      <w:pPr>
        <w:spacing w:line="360" w:lineRule="auto"/>
        <w:ind w:firstLine="480" w:firstLineChars="200"/>
        <w:rPr>
          <w:rFonts w:ascii="宋体" w:hAnsi="宋体"/>
          <w:sz w:val="24"/>
          <w:szCs w:val="24"/>
        </w:rPr>
      </w:pPr>
      <w:r>
        <w:rPr>
          <w:rFonts w:hint="eastAsia" w:ascii="宋体" w:hAnsi="宋体"/>
          <w:sz w:val="24"/>
          <w:szCs w:val="24"/>
        </w:rPr>
        <w:t>4.2出现特殊情况需要延长投标有效期的，采购人以书面形式通知所有供应商延长投标有效期。供应商同意延长的，应相应延长其投标保证金的有效期，但不得要求或被允许修改或撤销其响应文件；供应商拒绝延长的，其投标失效，但供应商有权收回其投标保证金。</w:t>
      </w:r>
    </w:p>
    <w:p>
      <w:pPr>
        <w:spacing w:line="360" w:lineRule="auto"/>
        <w:rPr>
          <w:rFonts w:ascii="宋体" w:hAnsi="宋体"/>
          <w:b/>
          <w:sz w:val="24"/>
          <w:szCs w:val="24"/>
        </w:rPr>
      </w:pPr>
      <w:r>
        <w:rPr>
          <w:rFonts w:hint="eastAsia" w:ascii="宋体" w:hAnsi="宋体"/>
          <w:b/>
          <w:sz w:val="24"/>
          <w:szCs w:val="24"/>
        </w:rPr>
        <w:t>5.投标保证金</w:t>
      </w:r>
    </w:p>
    <w:p>
      <w:pPr>
        <w:spacing w:line="360" w:lineRule="auto"/>
        <w:ind w:firstLine="480" w:firstLineChars="200"/>
        <w:rPr>
          <w:rFonts w:ascii="宋体" w:hAnsi="宋体"/>
          <w:sz w:val="24"/>
          <w:szCs w:val="24"/>
        </w:rPr>
      </w:pPr>
      <w:r>
        <w:rPr>
          <w:rFonts w:hint="eastAsia" w:ascii="宋体" w:hAnsi="宋体"/>
          <w:sz w:val="24"/>
          <w:szCs w:val="24"/>
        </w:rPr>
        <w:t>5.1投标保证金的缴纳</w:t>
      </w:r>
    </w:p>
    <w:p>
      <w:pPr>
        <w:spacing w:line="360" w:lineRule="auto"/>
        <w:ind w:firstLine="480" w:firstLineChars="200"/>
        <w:rPr>
          <w:rFonts w:ascii="宋体" w:hAnsi="宋体"/>
          <w:sz w:val="24"/>
          <w:szCs w:val="24"/>
        </w:rPr>
      </w:pPr>
      <w:r>
        <w:rPr>
          <w:rFonts w:hint="eastAsia" w:ascii="宋体" w:hAnsi="宋体"/>
          <w:sz w:val="24"/>
          <w:szCs w:val="24"/>
        </w:rPr>
        <w:t>供应商在提交响应文件的同时，应按供应商须知前附表规定的金额、开户银行、行号、开户单位、账号和磋商文件本章“报名须知”规定的投标保证金缴纳要求递交投标保证金，并作为其响应文件的组成部分。</w:t>
      </w:r>
    </w:p>
    <w:p>
      <w:pPr>
        <w:spacing w:line="360" w:lineRule="auto"/>
        <w:ind w:firstLine="480" w:firstLineChars="200"/>
        <w:rPr>
          <w:rFonts w:ascii="宋体" w:hAnsi="宋体"/>
          <w:sz w:val="24"/>
          <w:szCs w:val="24"/>
        </w:rPr>
      </w:pPr>
      <w:r>
        <w:rPr>
          <w:rFonts w:hint="eastAsia" w:ascii="宋体" w:hAnsi="宋体"/>
          <w:sz w:val="24"/>
          <w:szCs w:val="24"/>
        </w:rPr>
        <w:t>5.2投标保证金的退还：</w:t>
      </w:r>
    </w:p>
    <w:p>
      <w:pPr>
        <w:spacing w:line="360" w:lineRule="auto"/>
        <w:ind w:firstLine="480" w:firstLineChars="200"/>
        <w:rPr>
          <w:rFonts w:ascii="宋体" w:hAnsi="宋体"/>
          <w:sz w:val="24"/>
          <w:szCs w:val="24"/>
        </w:rPr>
      </w:pPr>
      <w:r>
        <w:rPr>
          <w:rFonts w:hint="eastAsia" w:ascii="宋体" w:hAnsi="宋体"/>
          <w:sz w:val="24"/>
          <w:szCs w:val="24"/>
        </w:rPr>
        <w:t>（1）未成交供应商投标保证金，自成交通知书发出之日起5个工作日内退还；</w:t>
      </w:r>
    </w:p>
    <w:p>
      <w:pPr>
        <w:spacing w:line="360" w:lineRule="auto"/>
        <w:ind w:firstLine="480" w:firstLineChars="200"/>
        <w:rPr>
          <w:rFonts w:ascii="宋体" w:hAnsi="宋体"/>
          <w:sz w:val="24"/>
          <w:szCs w:val="24"/>
        </w:rPr>
      </w:pPr>
      <w:r>
        <w:rPr>
          <w:rFonts w:hint="eastAsia" w:ascii="宋体" w:hAnsi="宋体"/>
          <w:sz w:val="24"/>
          <w:szCs w:val="24"/>
        </w:rPr>
        <w:t>（2）成交供应商投标保证金，自政府采购合同签订之日起5个工作日内退还。</w:t>
      </w:r>
    </w:p>
    <w:p>
      <w:pPr>
        <w:spacing w:line="360" w:lineRule="auto"/>
        <w:ind w:firstLine="480" w:firstLineChars="200"/>
        <w:rPr>
          <w:rFonts w:ascii="宋体" w:hAnsi="宋体"/>
          <w:sz w:val="24"/>
          <w:szCs w:val="24"/>
        </w:rPr>
      </w:pPr>
      <w:r>
        <w:rPr>
          <w:rFonts w:hint="eastAsia" w:ascii="宋体" w:hAnsi="宋体"/>
          <w:sz w:val="24"/>
          <w:szCs w:val="24"/>
        </w:rPr>
        <w:t>5.3有下列情形之一的，投标保证金将不予退还：</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（1）中标后，无正当理由放弃中标资格；</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（2）中标后，无正当理由不与磋商人签订合同；</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（3）在签订合同时，向磋商人提出附加条件；</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（4）不按照磋商文件要求提交履约保证金；</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（5）要求修改、补充和撤销响应文件的实质性内容；</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（6）要求更改磋商文件和成交结果公告的实质性内容；</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（7）法律法规和磋商文件规定的其他情形。</w:t>
      </w:r>
    </w:p>
    <w:p>
      <w:pPr>
        <w:spacing w:line="360" w:lineRule="auto"/>
        <w:rPr>
          <w:rFonts w:ascii="宋体" w:hAnsi="宋体"/>
          <w:color w:val="000000"/>
          <w:sz w:val="24"/>
          <w:szCs w:val="24"/>
        </w:rPr>
      </w:pPr>
      <w:r>
        <w:rPr>
          <w:rFonts w:hint="eastAsia" w:ascii="宋体" w:hAnsi="宋体"/>
          <w:b/>
          <w:sz w:val="24"/>
          <w:szCs w:val="24"/>
        </w:rPr>
        <w:t>6.</w:t>
      </w:r>
      <w:r>
        <w:rPr>
          <w:rFonts w:ascii="宋体" w:hAnsi="宋体"/>
          <w:b/>
          <w:sz w:val="24"/>
          <w:szCs w:val="24"/>
        </w:rPr>
        <w:t>响应文件的修改和撤回</w:t>
      </w:r>
    </w:p>
    <w:p>
      <w:pPr>
        <w:spacing w:line="360" w:lineRule="auto"/>
        <w:ind w:firstLine="480" w:firstLineChars="200"/>
        <w:rPr>
          <w:rFonts w:ascii="宋体" w:hAnsi="宋体"/>
          <w:sz w:val="24"/>
          <w:szCs w:val="24"/>
        </w:rPr>
      </w:pPr>
      <w:r>
        <w:rPr>
          <w:rFonts w:hint="eastAsia" w:ascii="宋体" w:hAnsi="宋体"/>
          <w:sz w:val="24"/>
          <w:szCs w:val="24"/>
        </w:rPr>
        <w:t>供应商在提交响应文件截止时间前，可以对所递交的响应文件进行补充、修改或者撤回。补充、修改的内容旁签署（法人或授权委托人签署）、盖章后生效，并作为响应文件的组成部分，补充、修改的内容与响应文件不一致的，以补充、修改的内容为准；撤回的应以书面形式告知</w:t>
      </w:r>
      <w:r>
        <w:rPr>
          <w:rFonts w:hint="eastAsia" w:ascii="宋体" w:hAnsi="宋体"/>
          <w:sz w:val="24"/>
          <w:szCs w:val="24"/>
          <w:lang w:val="en-US" w:eastAsia="zh-CN"/>
        </w:rPr>
        <w:t>鄂尔多斯市金博工程项目管理有限公司</w:t>
      </w:r>
      <w:r>
        <w:rPr>
          <w:rFonts w:hint="eastAsia" w:ascii="宋体" w:hAnsi="宋体"/>
          <w:sz w:val="24"/>
          <w:szCs w:val="24"/>
        </w:rPr>
        <w:t>或采购人。</w:t>
      </w:r>
    </w:p>
    <w:p>
      <w:pPr>
        <w:spacing w:line="360" w:lineRule="auto"/>
        <w:ind w:firstLine="480" w:firstLineChars="200"/>
        <w:rPr>
          <w:rFonts w:ascii="宋体" w:hAnsi="宋体"/>
          <w:sz w:val="24"/>
          <w:szCs w:val="24"/>
        </w:rPr>
      </w:pPr>
      <w:r>
        <w:rPr>
          <w:rFonts w:hint="eastAsia" w:ascii="宋体" w:hAnsi="宋体"/>
          <w:sz w:val="24"/>
          <w:szCs w:val="24"/>
        </w:rPr>
        <w:t>在提交响应文件截止时间后到磋商文件规定的投标有效期终止之前，供应商不得补充、修改、替代或者撤回其响应文件。</w:t>
      </w:r>
    </w:p>
    <w:p>
      <w:pPr>
        <w:spacing w:line="360" w:lineRule="auto"/>
        <w:rPr>
          <w:rFonts w:ascii="宋体" w:hAnsi="宋体"/>
          <w:sz w:val="24"/>
          <w:szCs w:val="24"/>
        </w:rPr>
      </w:pPr>
      <w:r>
        <w:rPr>
          <w:rFonts w:hint="eastAsia" w:ascii="宋体" w:hAnsi="宋体"/>
          <w:b/>
          <w:sz w:val="24"/>
          <w:szCs w:val="24"/>
        </w:rPr>
        <w:t>7.响应文件的递交</w:t>
      </w:r>
    </w:p>
    <w:p>
      <w:pPr>
        <w:spacing w:line="360" w:lineRule="auto"/>
        <w:ind w:firstLine="480" w:firstLineChars="200"/>
        <w:rPr>
          <w:rFonts w:ascii="宋体" w:hAnsi="宋体"/>
          <w:sz w:val="24"/>
          <w:szCs w:val="24"/>
        </w:rPr>
      </w:pPr>
      <w:r>
        <w:rPr>
          <w:rFonts w:hint="eastAsia" w:ascii="宋体" w:hAnsi="宋体"/>
          <w:sz w:val="24"/>
          <w:szCs w:val="24"/>
        </w:rPr>
        <w:t>在磋商文件要求提交响应文件的截止时间之后送达或没有将《开标一览表》单独密封、单独递交的响应文件，为无效响应文件，采购单位或采购代理机构将拒收。</w:t>
      </w:r>
    </w:p>
    <w:p>
      <w:pPr>
        <w:spacing w:line="360" w:lineRule="auto"/>
        <w:rPr>
          <w:rFonts w:ascii="宋体" w:hAnsi="宋体"/>
          <w:b/>
          <w:sz w:val="24"/>
          <w:szCs w:val="24"/>
        </w:rPr>
      </w:pPr>
      <w:r>
        <w:rPr>
          <w:rFonts w:hint="eastAsia" w:ascii="宋体" w:hAnsi="宋体"/>
          <w:b/>
          <w:sz w:val="24"/>
          <w:szCs w:val="24"/>
        </w:rPr>
        <w:t>8.样品（演示）</w:t>
      </w:r>
    </w:p>
    <w:p>
      <w:pPr>
        <w:spacing w:line="360" w:lineRule="auto"/>
        <w:ind w:firstLine="480" w:firstLineChars="200"/>
        <w:rPr>
          <w:rFonts w:ascii="宋体" w:hAnsi="宋体"/>
          <w:sz w:val="24"/>
          <w:szCs w:val="24"/>
        </w:rPr>
      </w:pPr>
      <w:r>
        <w:rPr>
          <w:rFonts w:hint="eastAsia" w:ascii="宋体" w:hAnsi="宋体"/>
          <w:sz w:val="24"/>
          <w:szCs w:val="24"/>
        </w:rPr>
        <w:t>磋商文件规定供应商提交样品的，样品属于响应文件的组成部分。样品的生产、运输、安装、保全等一切费用由供应商自理。</w:t>
      </w:r>
    </w:p>
    <w:p>
      <w:pPr>
        <w:spacing w:line="360" w:lineRule="auto"/>
        <w:ind w:firstLine="480" w:firstLineChars="200"/>
        <w:rPr>
          <w:rFonts w:ascii="宋体" w:hAnsi="宋体"/>
          <w:sz w:val="24"/>
          <w:szCs w:val="24"/>
        </w:rPr>
      </w:pPr>
      <w:r>
        <w:rPr>
          <w:rFonts w:hint="eastAsia" w:ascii="宋体" w:hAnsi="宋体"/>
          <w:sz w:val="24"/>
          <w:szCs w:val="24"/>
        </w:rPr>
        <w:t>8.1开标前，供应商应将样品送达至指定地点，并按要求摆放并做好展示。若需要现场演示的，供应商应提前做好演示准备（包括演示设备）。</w:t>
      </w:r>
    </w:p>
    <w:p>
      <w:pPr>
        <w:spacing w:line="360" w:lineRule="auto"/>
        <w:ind w:firstLine="480" w:firstLineChars="200"/>
        <w:rPr>
          <w:rFonts w:ascii="宋体" w:hAnsi="宋体"/>
          <w:sz w:val="24"/>
          <w:szCs w:val="24"/>
        </w:rPr>
      </w:pPr>
      <w:r>
        <w:rPr>
          <w:rFonts w:hint="eastAsia" w:ascii="宋体" w:hAnsi="宋体"/>
          <w:sz w:val="24"/>
          <w:szCs w:val="24"/>
        </w:rPr>
        <w:t>8.2评标结束后，成交供应商与采购人共同清点、检查和密封样品，由成交供应商送至采购人指定地点封存。未中标供应商将样品自行带回。</w:t>
      </w:r>
    </w:p>
    <w:p>
      <w:pPr>
        <w:spacing w:line="360" w:lineRule="auto"/>
        <w:rPr>
          <w:rFonts w:ascii="宋体" w:hAnsi="宋体"/>
          <w:b/>
          <w:sz w:val="24"/>
          <w:szCs w:val="24"/>
        </w:rPr>
      </w:pPr>
      <w:r>
        <w:rPr>
          <w:rFonts w:hint="eastAsia" w:ascii="宋体" w:hAnsi="宋体"/>
          <w:b/>
          <w:sz w:val="24"/>
          <w:szCs w:val="24"/>
        </w:rPr>
        <w:t>六.开标</w:t>
      </w:r>
    </w:p>
    <w:p>
      <w:pPr>
        <w:spacing w:line="360" w:lineRule="auto"/>
        <w:rPr>
          <w:rFonts w:ascii="宋体" w:hAnsi="宋体"/>
          <w:b/>
          <w:sz w:val="24"/>
          <w:szCs w:val="24"/>
        </w:rPr>
      </w:pPr>
      <w:r>
        <w:rPr>
          <w:rFonts w:hint="eastAsia" w:ascii="宋体" w:hAnsi="宋体"/>
          <w:b/>
          <w:sz w:val="24"/>
          <w:szCs w:val="24"/>
        </w:rPr>
        <w:t>1.开标时间和地点</w:t>
      </w:r>
    </w:p>
    <w:p>
      <w:pPr>
        <w:spacing w:line="360" w:lineRule="auto"/>
        <w:ind w:firstLine="480" w:firstLineChars="200"/>
        <w:rPr>
          <w:rFonts w:ascii="宋体" w:hAnsi="宋体"/>
          <w:sz w:val="24"/>
          <w:szCs w:val="24"/>
        </w:rPr>
      </w:pPr>
      <w:r>
        <w:rPr>
          <w:rFonts w:hint="eastAsia" w:ascii="宋体" w:hAnsi="宋体"/>
          <w:sz w:val="24"/>
          <w:szCs w:val="24"/>
        </w:rPr>
        <w:t>开标时间与提交响应文件截止时间为同一时间；开标地点为磋商文件规定的地点。邀请所有供应商的法定代表人或其授权委托人准时参加。</w:t>
      </w:r>
    </w:p>
    <w:p>
      <w:pPr>
        <w:spacing w:line="360" w:lineRule="auto"/>
        <w:ind w:firstLine="480" w:firstLineChars="200"/>
        <w:rPr>
          <w:rFonts w:ascii="宋体" w:hAnsi="宋体"/>
          <w:sz w:val="24"/>
          <w:szCs w:val="24"/>
        </w:rPr>
      </w:pPr>
      <w:r>
        <w:rPr>
          <w:rFonts w:hint="eastAsia" w:ascii="宋体" w:hAnsi="宋体"/>
          <w:sz w:val="24"/>
          <w:szCs w:val="24"/>
        </w:rPr>
        <w:t>采购人、</w:t>
      </w:r>
      <w:r>
        <w:rPr>
          <w:rFonts w:hint="eastAsia" w:ascii="宋体" w:hAnsi="宋体"/>
          <w:sz w:val="24"/>
          <w:szCs w:val="24"/>
          <w:lang w:val="en-US" w:eastAsia="zh-CN"/>
        </w:rPr>
        <w:t>鄂尔多斯市金博工程项目管理有限公司</w:t>
      </w:r>
      <w:r>
        <w:rPr>
          <w:rFonts w:hint="eastAsia" w:ascii="宋体" w:hAnsi="宋体"/>
          <w:sz w:val="24"/>
          <w:szCs w:val="24"/>
        </w:rPr>
        <w:t>对误投或未按规定时间、地点进行投标的概不负责。</w:t>
      </w:r>
    </w:p>
    <w:p>
      <w:pPr>
        <w:spacing w:line="360" w:lineRule="auto"/>
        <w:rPr>
          <w:rFonts w:ascii="宋体" w:hAnsi="宋体"/>
          <w:b/>
          <w:sz w:val="24"/>
          <w:szCs w:val="24"/>
        </w:rPr>
      </w:pPr>
      <w:r>
        <w:rPr>
          <w:rFonts w:hint="eastAsia" w:ascii="宋体" w:hAnsi="宋体"/>
          <w:b/>
          <w:sz w:val="24"/>
          <w:szCs w:val="24"/>
        </w:rPr>
        <w:t>2.开标程序</w:t>
      </w:r>
    </w:p>
    <w:p>
      <w:pPr>
        <w:spacing w:line="360" w:lineRule="auto"/>
        <w:ind w:firstLine="480" w:firstLineChars="200"/>
        <w:rPr>
          <w:rFonts w:ascii="宋体" w:hAnsi="宋体"/>
          <w:sz w:val="24"/>
          <w:szCs w:val="24"/>
        </w:rPr>
      </w:pPr>
      <w:r>
        <w:rPr>
          <w:rFonts w:hint="eastAsia" w:ascii="宋体" w:hAnsi="宋体"/>
          <w:sz w:val="24"/>
          <w:szCs w:val="24"/>
        </w:rPr>
        <w:t>2.1主持人按下列程序进行开标：</w:t>
      </w:r>
    </w:p>
    <w:p>
      <w:pPr>
        <w:spacing w:line="360" w:lineRule="auto"/>
        <w:ind w:firstLine="480" w:firstLineChars="200"/>
        <w:rPr>
          <w:rFonts w:ascii="宋体" w:hAnsi="宋体"/>
          <w:sz w:val="24"/>
          <w:szCs w:val="24"/>
        </w:rPr>
      </w:pPr>
      <w:r>
        <w:rPr>
          <w:rFonts w:hint="eastAsia" w:ascii="宋体" w:hAnsi="宋体"/>
          <w:sz w:val="24"/>
          <w:szCs w:val="24"/>
        </w:rPr>
        <w:t>（1）宣布开标纪律；</w:t>
      </w:r>
    </w:p>
    <w:p>
      <w:pPr>
        <w:spacing w:line="360" w:lineRule="auto"/>
        <w:ind w:firstLine="480" w:firstLineChars="200"/>
        <w:rPr>
          <w:rFonts w:ascii="宋体" w:hAnsi="宋体"/>
          <w:sz w:val="24"/>
          <w:szCs w:val="24"/>
        </w:rPr>
      </w:pPr>
      <w:r>
        <w:rPr>
          <w:rFonts w:hint="eastAsia" w:ascii="宋体" w:hAnsi="宋体"/>
          <w:sz w:val="24"/>
          <w:szCs w:val="24"/>
        </w:rPr>
        <w:t>（2）公布在投标截止时间前提交响应文件的供应商名称；</w:t>
      </w:r>
    </w:p>
    <w:p>
      <w:pPr>
        <w:spacing w:line="360" w:lineRule="auto"/>
        <w:ind w:firstLine="480" w:firstLineChars="200"/>
        <w:rPr>
          <w:rFonts w:ascii="宋体" w:hAnsi="宋体"/>
          <w:sz w:val="24"/>
          <w:szCs w:val="24"/>
        </w:rPr>
      </w:pPr>
      <w:r>
        <w:rPr>
          <w:rFonts w:hint="eastAsia" w:ascii="宋体" w:hAnsi="宋体"/>
          <w:sz w:val="24"/>
          <w:szCs w:val="24"/>
        </w:rPr>
        <w:t>（3）宣布采购人代表、采购代理机构代表、监督部门等有关人员姓名；</w:t>
      </w:r>
    </w:p>
    <w:p>
      <w:pPr>
        <w:spacing w:line="360" w:lineRule="auto"/>
        <w:ind w:firstLine="480" w:firstLineChars="200"/>
        <w:rPr>
          <w:rFonts w:ascii="宋体" w:hAnsi="宋体"/>
          <w:sz w:val="24"/>
          <w:szCs w:val="24"/>
        </w:rPr>
      </w:pPr>
      <w:r>
        <w:rPr>
          <w:rFonts w:hint="eastAsia" w:ascii="宋体" w:hAnsi="宋体"/>
          <w:sz w:val="24"/>
          <w:szCs w:val="24"/>
        </w:rPr>
        <w:t>（4）由供应商或者其推选的代表检查响应文件的密封情况；经确认无误后，由采购人或者采购代理机构工作人员当众拆封，宣布供应商名称、投标价格和磋商文件规定的需要宣布的其他内容（以开标一览表要求为准），供应商签字确认；</w:t>
      </w:r>
    </w:p>
    <w:p>
      <w:pPr>
        <w:spacing w:line="360" w:lineRule="auto"/>
        <w:ind w:firstLine="480" w:firstLineChars="200"/>
        <w:rPr>
          <w:rFonts w:ascii="宋体" w:hAnsi="宋体"/>
          <w:sz w:val="24"/>
          <w:szCs w:val="24"/>
        </w:rPr>
      </w:pPr>
      <w:r>
        <w:rPr>
          <w:rFonts w:hint="eastAsia" w:ascii="宋体" w:hAnsi="宋体"/>
          <w:sz w:val="24"/>
          <w:szCs w:val="24"/>
        </w:rPr>
        <w:t>（5）参加开标会议人员在开标记录上对应签字确认；</w:t>
      </w:r>
    </w:p>
    <w:p>
      <w:pPr>
        <w:spacing w:line="360" w:lineRule="auto"/>
        <w:ind w:firstLine="480" w:firstLineChars="200"/>
        <w:rPr>
          <w:rFonts w:ascii="宋体" w:hAnsi="宋体"/>
          <w:sz w:val="24"/>
          <w:szCs w:val="24"/>
        </w:rPr>
      </w:pPr>
      <w:r>
        <w:rPr>
          <w:rFonts w:hint="eastAsia" w:ascii="宋体" w:hAnsi="宋体"/>
          <w:sz w:val="24"/>
          <w:szCs w:val="24"/>
        </w:rPr>
        <w:t>（6）开标结束，响应文件移交磋商小组。</w:t>
      </w:r>
    </w:p>
    <w:p>
      <w:pPr>
        <w:spacing w:line="360" w:lineRule="auto"/>
        <w:ind w:firstLine="480" w:firstLineChars="200"/>
        <w:rPr>
          <w:rFonts w:ascii="宋体" w:hAnsi="宋体"/>
          <w:sz w:val="24"/>
          <w:szCs w:val="24"/>
        </w:rPr>
      </w:pPr>
      <w:r>
        <w:rPr>
          <w:rFonts w:hint="eastAsia" w:ascii="宋体" w:hAnsi="宋体"/>
          <w:sz w:val="24"/>
          <w:szCs w:val="24"/>
        </w:rPr>
        <w:t>2.2开标异议</w:t>
      </w:r>
    </w:p>
    <w:p>
      <w:pPr>
        <w:spacing w:line="360" w:lineRule="auto"/>
        <w:ind w:firstLine="360" w:firstLineChars="150"/>
        <w:rPr>
          <w:rFonts w:ascii="宋体" w:hAnsi="宋体"/>
          <w:sz w:val="24"/>
          <w:szCs w:val="24"/>
        </w:rPr>
      </w:pPr>
      <w:r>
        <w:rPr>
          <w:rFonts w:hint="eastAsia" w:ascii="宋体" w:hAnsi="宋体"/>
          <w:sz w:val="24"/>
          <w:szCs w:val="24"/>
        </w:rPr>
        <w:t>供应商代表对开标过程和开标记录有疑义，以及认为采购人、采购代理机构相关工作人员有需要回避的情形的，应当场提出询问或者回避申请，开标会议结束后不再接受相关询问、质疑或者回避申请。</w:t>
      </w:r>
    </w:p>
    <w:p>
      <w:pPr>
        <w:spacing w:line="360" w:lineRule="auto"/>
        <w:ind w:firstLine="361" w:firstLineChars="150"/>
        <w:rPr>
          <w:rFonts w:ascii="宋体" w:hAnsi="宋体"/>
          <w:b/>
          <w:sz w:val="24"/>
          <w:szCs w:val="24"/>
        </w:rPr>
      </w:pPr>
      <w:r>
        <w:rPr>
          <w:rFonts w:hint="eastAsia" w:ascii="宋体" w:hAnsi="宋体"/>
          <w:b/>
          <w:sz w:val="24"/>
          <w:szCs w:val="24"/>
        </w:rPr>
        <w:t>七.评标</w:t>
      </w:r>
    </w:p>
    <w:p>
      <w:pPr>
        <w:spacing w:line="360" w:lineRule="auto"/>
        <w:rPr>
          <w:rFonts w:ascii="宋体" w:hAnsi="宋体"/>
          <w:b/>
          <w:sz w:val="24"/>
          <w:szCs w:val="24"/>
        </w:rPr>
      </w:pPr>
      <w:r>
        <w:rPr>
          <w:rFonts w:hint="eastAsia" w:ascii="宋体" w:hAnsi="宋体"/>
          <w:b/>
          <w:sz w:val="24"/>
          <w:szCs w:val="24"/>
        </w:rPr>
        <w:t>1.磋商小组</w:t>
      </w:r>
    </w:p>
    <w:p>
      <w:pPr>
        <w:spacing w:line="360" w:lineRule="auto"/>
        <w:ind w:firstLine="480" w:firstLineChars="200"/>
        <w:rPr>
          <w:rFonts w:ascii="宋体" w:hAnsi="宋体"/>
          <w:sz w:val="24"/>
          <w:szCs w:val="24"/>
        </w:rPr>
      </w:pPr>
      <w:r>
        <w:rPr>
          <w:rFonts w:hint="eastAsia" w:ascii="宋体" w:hAnsi="宋体"/>
          <w:sz w:val="24"/>
          <w:szCs w:val="24"/>
        </w:rPr>
        <w:t>1.1磋商小组由采购人代表和评审专家共3人以上单数组成，其中评审专家人数不得少于磋商小组成员总数的2/3。</w:t>
      </w:r>
    </w:p>
    <w:p>
      <w:pPr>
        <w:spacing w:line="360" w:lineRule="auto"/>
        <w:ind w:firstLine="480" w:firstLineChars="200"/>
        <w:rPr>
          <w:rFonts w:ascii="宋体" w:hAnsi="宋体"/>
          <w:sz w:val="24"/>
          <w:szCs w:val="24"/>
        </w:rPr>
      </w:pPr>
      <w:r>
        <w:rPr>
          <w:rFonts w:hint="eastAsia" w:ascii="宋体" w:hAnsi="宋体"/>
          <w:sz w:val="24"/>
          <w:szCs w:val="24"/>
        </w:rPr>
        <w:t>1.2磋商小组成员有下列情形之一的，应当回避：</w:t>
      </w:r>
    </w:p>
    <w:p>
      <w:pPr>
        <w:spacing w:line="360" w:lineRule="auto"/>
        <w:ind w:firstLine="360" w:firstLineChars="150"/>
        <w:rPr>
          <w:rFonts w:ascii="宋体" w:hAnsi="宋体"/>
          <w:sz w:val="24"/>
          <w:szCs w:val="24"/>
        </w:rPr>
      </w:pPr>
      <w:r>
        <w:rPr>
          <w:rFonts w:hint="eastAsia" w:ascii="宋体" w:hAnsi="宋体"/>
          <w:sz w:val="24"/>
          <w:szCs w:val="24"/>
        </w:rPr>
        <w:t>（1）参加采购活动前三年内,与供应商存在劳动关系,或者担任过供应商的董事、监事,或者是供应商的控股股东或实际控制人；</w:t>
      </w:r>
    </w:p>
    <w:p>
      <w:pPr>
        <w:spacing w:line="360" w:lineRule="auto"/>
        <w:ind w:firstLine="360" w:firstLineChars="150"/>
        <w:rPr>
          <w:rFonts w:ascii="宋体" w:hAnsi="宋体"/>
          <w:sz w:val="24"/>
          <w:szCs w:val="24"/>
        </w:rPr>
      </w:pPr>
      <w:r>
        <w:rPr>
          <w:rFonts w:hint="eastAsia" w:ascii="宋体" w:hAnsi="宋体"/>
          <w:sz w:val="24"/>
          <w:szCs w:val="24"/>
        </w:rPr>
        <w:t>（2）与供应商的法定代表人或者负责人有夫妻、直系血亲、三代以内旁系血亲或者近姻亲关系；</w:t>
      </w:r>
    </w:p>
    <w:p>
      <w:pPr>
        <w:spacing w:line="360" w:lineRule="auto"/>
        <w:ind w:firstLine="360" w:firstLineChars="150"/>
        <w:rPr>
          <w:rFonts w:ascii="宋体" w:hAnsi="宋体"/>
          <w:sz w:val="24"/>
          <w:szCs w:val="24"/>
        </w:rPr>
      </w:pPr>
      <w:r>
        <w:rPr>
          <w:rFonts w:hint="eastAsia" w:ascii="宋体" w:hAnsi="宋体"/>
          <w:sz w:val="24"/>
          <w:szCs w:val="24"/>
        </w:rPr>
        <w:t>（3）与供应商有其他可能影响政府采购活动公平、公正进行的关系；</w:t>
      </w:r>
    </w:p>
    <w:p>
      <w:pPr>
        <w:spacing w:line="360" w:lineRule="auto"/>
        <w:rPr>
          <w:rFonts w:ascii="宋体" w:hAnsi="宋体"/>
          <w:b/>
          <w:sz w:val="24"/>
          <w:szCs w:val="24"/>
        </w:rPr>
      </w:pPr>
      <w:r>
        <w:rPr>
          <w:rFonts w:hint="eastAsia" w:ascii="宋体" w:hAnsi="宋体"/>
          <w:b/>
          <w:sz w:val="24"/>
          <w:szCs w:val="24"/>
        </w:rPr>
        <w:t>2.评标原则</w:t>
      </w:r>
    </w:p>
    <w:p>
      <w:pPr>
        <w:spacing w:line="360" w:lineRule="auto"/>
        <w:ind w:firstLine="480" w:firstLineChars="200"/>
        <w:rPr>
          <w:rFonts w:ascii="宋体" w:hAnsi="宋体"/>
          <w:sz w:val="24"/>
          <w:szCs w:val="24"/>
        </w:rPr>
      </w:pPr>
      <w:r>
        <w:rPr>
          <w:rFonts w:hint="eastAsia" w:ascii="宋体" w:hAnsi="宋体"/>
          <w:sz w:val="24"/>
          <w:szCs w:val="24"/>
        </w:rPr>
        <w:t>2.1评标活动遵循公平、公正、科学和择优的原则，以磋商文件和响应文件为评标的基本依据，并按照磋商文件规定的评标方法和评标标准进行评标。</w:t>
      </w:r>
    </w:p>
    <w:p>
      <w:pPr>
        <w:spacing w:line="360" w:lineRule="auto"/>
        <w:ind w:firstLine="480" w:firstLineChars="200"/>
        <w:rPr>
          <w:rFonts w:ascii="宋体" w:hAnsi="宋体"/>
          <w:sz w:val="24"/>
          <w:szCs w:val="24"/>
        </w:rPr>
      </w:pPr>
      <w:r>
        <w:rPr>
          <w:rFonts w:hint="eastAsia" w:ascii="宋体" w:hAnsi="宋体"/>
          <w:sz w:val="24"/>
          <w:szCs w:val="24"/>
        </w:rPr>
        <w:t>2.2具体评标事项由磋商小组负责，并按磋商文件的规定办法进行评审。</w:t>
      </w:r>
    </w:p>
    <w:p>
      <w:pPr>
        <w:spacing w:line="360" w:lineRule="auto"/>
        <w:rPr>
          <w:rFonts w:ascii="宋体" w:hAnsi="宋体"/>
          <w:b/>
          <w:sz w:val="24"/>
          <w:szCs w:val="24"/>
        </w:rPr>
      </w:pPr>
      <w:r>
        <w:rPr>
          <w:rFonts w:hint="eastAsia" w:ascii="宋体" w:hAnsi="宋体"/>
          <w:b/>
          <w:sz w:val="24"/>
          <w:szCs w:val="24"/>
        </w:rPr>
        <w:t>3.澄清</w:t>
      </w:r>
    </w:p>
    <w:p>
      <w:pPr>
        <w:spacing w:line="360" w:lineRule="auto"/>
        <w:ind w:firstLine="480" w:firstLineChars="200"/>
        <w:rPr>
          <w:rFonts w:ascii="宋体" w:hAnsi="宋体"/>
          <w:b/>
          <w:sz w:val="24"/>
          <w:szCs w:val="24"/>
        </w:rPr>
      </w:pPr>
      <w:r>
        <w:rPr>
          <w:rFonts w:hint="eastAsia" w:ascii="宋体" w:hAnsi="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sz w:val="24"/>
          <w:szCs w:val="24"/>
        </w:rPr>
      </w:pPr>
      <w:r>
        <w:rPr>
          <w:rFonts w:hint="eastAsia" w:ascii="宋体" w:hAnsi="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sz w:val="24"/>
          <w:szCs w:val="24"/>
        </w:rPr>
      </w:pPr>
      <w:r>
        <w:rPr>
          <w:rFonts w:hint="eastAsia" w:ascii="宋体" w:hAnsi="宋体"/>
          <w:sz w:val="24"/>
          <w:szCs w:val="24"/>
        </w:rPr>
        <w:t>3.1磋商小组不接受供应商主动提出的澄清、说明或补正。</w:t>
      </w:r>
    </w:p>
    <w:p>
      <w:pPr>
        <w:spacing w:line="360" w:lineRule="auto"/>
        <w:ind w:firstLine="480" w:firstLineChars="200"/>
        <w:rPr>
          <w:rFonts w:ascii="宋体" w:hAnsi="宋体"/>
          <w:sz w:val="24"/>
          <w:szCs w:val="24"/>
        </w:rPr>
      </w:pPr>
      <w:r>
        <w:rPr>
          <w:rFonts w:hint="eastAsia" w:ascii="宋体" w:hAnsi="宋体"/>
          <w:sz w:val="24"/>
          <w:szCs w:val="24"/>
        </w:rPr>
        <w:t>3.2磋商小组对供应商提交的澄清、说明或补正有疑问的，可以要求供应商进一步澄清、说明或补正。</w:t>
      </w:r>
    </w:p>
    <w:p>
      <w:pPr>
        <w:spacing w:line="360" w:lineRule="auto"/>
        <w:rPr>
          <w:rFonts w:ascii="宋体" w:hAnsi="宋体"/>
          <w:b/>
          <w:sz w:val="24"/>
          <w:szCs w:val="24"/>
        </w:rPr>
      </w:pPr>
      <w:r>
        <w:rPr>
          <w:rFonts w:hint="eastAsia" w:ascii="宋体" w:hAnsi="宋体"/>
          <w:b/>
          <w:sz w:val="24"/>
          <w:szCs w:val="24"/>
        </w:rPr>
        <w:t>4.投标无效的情形</w:t>
      </w:r>
    </w:p>
    <w:p>
      <w:pPr>
        <w:spacing w:line="360" w:lineRule="auto"/>
        <w:ind w:firstLine="480" w:firstLineChars="200"/>
        <w:rPr>
          <w:rFonts w:ascii="宋体" w:hAnsi="宋体"/>
          <w:sz w:val="24"/>
          <w:szCs w:val="24"/>
        </w:rPr>
      </w:pPr>
      <w:r>
        <w:rPr>
          <w:rFonts w:hint="eastAsia" w:ascii="宋体" w:hAnsi="宋体"/>
          <w:sz w:val="24"/>
          <w:szCs w:val="24"/>
        </w:rPr>
        <w:t>详见第六章评审表。经磋商小组认定，凡其中有一项不合格的，按无效投标处理。</w:t>
      </w:r>
    </w:p>
    <w:p>
      <w:pPr>
        <w:spacing w:line="360" w:lineRule="auto"/>
        <w:rPr>
          <w:rFonts w:ascii="宋体" w:hAnsi="宋体"/>
          <w:sz w:val="24"/>
          <w:szCs w:val="24"/>
        </w:rPr>
      </w:pPr>
      <w:r>
        <w:rPr>
          <w:rFonts w:hint="eastAsia" w:ascii="宋体" w:hAnsi="宋体"/>
          <w:b/>
          <w:sz w:val="24"/>
          <w:szCs w:val="24"/>
        </w:rPr>
        <w:t>5.有下列情形之一的，视为供应商串通投标：</w:t>
      </w:r>
    </w:p>
    <w:p>
      <w:pPr>
        <w:spacing w:line="360" w:lineRule="auto"/>
        <w:ind w:firstLine="360" w:firstLineChars="150"/>
        <w:rPr>
          <w:rFonts w:ascii="宋体" w:hAnsi="宋体"/>
          <w:sz w:val="24"/>
          <w:szCs w:val="24"/>
        </w:rPr>
      </w:pPr>
      <w:r>
        <w:rPr>
          <w:rFonts w:hint="eastAsia" w:ascii="宋体" w:hAnsi="宋体"/>
          <w:sz w:val="24"/>
          <w:szCs w:val="24"/>
        </w:rPr>
        <w:t>（1）不同供应商的响应文件由同一单位或者个人编制；</w:t>
      </w:r>
    </w:p>
    <w:p>
      <w:pPr>
        <w:spacing w:line="360" w:lineRule="auto"/>
        <w:ind w:firstLine="360" w:firstLineChars="150"/>
        <w:rPr>
          <w:rFonts w:ascii="宋体" w:hAnsi="宋体"/>
          <w:sz w:val="24"/>
          <w:szCs w:val="24"/>
        </w:rPr>
      </w:pPr>
      <w:r>
        <w:rPr>
          <w:rFonts w:hint="eastAsia" w:ascii="宋体" w:hAnsi="宋体"/>
          <w:sz w:val="24"/>
          <w:szCs w:val="24"/>
        </w:rPr>
        <w:t>（2）不同供应商委托同一单位或者个人办理投标事宜；</w:t>
      </w:r>
    </w:p>
    <w:p>
      <w:pPr>
        <w:spacing w:line="360" w:lineRule="auto"/>
        <w:ind w:firstLine="360" w:firstLineChars="150"/>
        <w:rPr>
          <w:rFonts w:ascii="宋体" w:hAnsi="宋体"/>
          <w:sz w:val="24"/>
          <w:szCs w:val="24"/>
        </w:rPr>
      </w:pPr>
      <w:r>
        <w:rPr>
          <w:rFonts w:hint="eastAsia" w:ascii="宋体" w:hAnsi="宋体"/>
          <w:sz w:val="24"/>
          <w:szCs w:val="24"/>
        </w:rPr>
        <w:t>（3）不同供应商的响应文件载明的项目管理成员或者联系人员为同一人；</w:t>
      </w:r>
    </w:p>
    <w:p>
      <w:pPr>
        <w:spacing w:line="360" w:lineRule="auto"/>
        <w:ind w:firstLine="360" w:firstLineChars="150"/>
        <w:rPr>
          <w:rFonts w:ascii="宋体" w:hAnsi="宋体"/>
          <w:sz w:val="24"/>
          <w:szCs w:val="24"/>
        </w:rPr>
      </w:pPr>
      <w:r>
        <w:rPr>
          <w:rFonts w:hint="eastAsia" w:ascii="宋体" w:hAnsi="宋体"/>
          <w:sz w:val="24"/>
          <w:szCs w:val="24"/>
        </w:rPr>
        <w:t>（4）不同供应商的响应文件异常一致或者投标报价呈规律性差异；</w:t>
      </w:r>
    </w:p>
    <w:p>
      <w:pPr>
        <w:spacing w:line="360" w:lineRule="auto"/>
        <w:ind w:firstLine="360" w:firstLineChars="150"/>
        <w:rPr>
          <w:rFonts w:ascii="宋体" w:hAnsi="宋体"/>
          <w:sz w:val="24"/>
          <w:szCs w:val="24"/>
        </w:rPr>
      </w:pPr>
      <w:r>
        <w:rPr>
          <w:rFonts w:hint="eastAsia" w:ascii="宋体" w:hAnsi="宋体"/>
          <w:sz w:val="24"/>
          <w:szCs w:val="24"/>
        </w:rPr>
        <w:t>（5）不同供应商的响应文件相互混装；</w:t>
      </w:r>
    </w:p>
    <w:p>
      <w:pPr>
        <w:spacing w:line="360" w:lineRule="auto"/>
        <w:ind w:firstLine="360" w:firstLineChars="150"/>
        <w:rPr>
          <w:rFonts w:ascii="宋体" w:hAnsi="宋体"/>
          <w:sz w:val="24"/>
          <w:szCs w:val="24"/>
        </w:rPr>
      </w:pPr>
      <w:r>
        <w:rPr>
          <w:rFonts w:hint="eastAsia" w:ascii="宋体" w:hAnsi="宋体"/>
          <w:sz w:val="24"/>
          <w:szCs w:val="24"/>
        </w:rPr>
        <w:t>（6）不同供应商的投标保证金从同一单位或者个人的账户转出。</w:t>
      </w:r>
    </w:p>
    <w:p>
      <w:pPr>
        <w:spacing w:line="360" w:lineRule="auto"/>
        <w:rPr>
          <w:rFonts w:ascii="宋体" w:hAnsi="宋体"/>
          <w:sz w:val="24"/>
          <w:szCs w:val="24"/>
        </w:rPr>
      </w:pPr>
      <w:r>
        <w:rPr>
          <w:rFonts w:hint="eastAsia" w:ascii="宋体" w:hAnsi="宋体"/>
          <w:b/>
          <w:sz w:val="24"/>
          <w:szCs w:val="24"/>
        </w:rPr>
        <w:t>6.废标的情形</w:t>
      </w:r>
    </w:p>
    <w:p>
      <w:pPr>
        <w:spacing w:line="360" w:lineRule="auto"/>
        <w:ind w:firstLine="480" w:firstLineChars="200"/>
        <w:rPr>
          <w:rFonts w:ascii="宋体" w:hAnsi="宋体"/>
          <w:sz w:val="24"/>
          <w:szCs w:val="24"/>
        </w:rPr>
      </w:pPr>
      <w:r>
        <w:rPr>
          <w:rFonts w:hint="eastAsia" w:ascii="宋体" w:hAnsi="宋体"/>
          <w:sz w:val="24"/>
          <w:szCs w:val="24"/>
        </w:rPr>
        <w:t>出现下列情形之一的，应予以废标。</w:t>
      </w:r>
    </w:p>
    <w:p>
      <w:pPr>
        <w:spacing w:line="360" w:lineRule="auto"/>
        <w:ind w:firstLine="480" w:firstLineChars="200"/>
        <w:rPr>
          <w:rFonts w:ascii="宋体" w:hAnsi="宋体"/>
          <w:sz w:val="24"/>
          <w:szCs w:val="24"/>
        </w:rPr>
      </w:pPr>
      <w:r>
        <w:rPr>
          <w:rFonts w:hint="eastAsia" w:ascii="宋体" w:hAnsi="宋体"/>
          <w:sz w:val="24"/>
          <w:szCs w:val="24"/>
        </w:rPr>
        <w:t>（1）符合专业条件的供应商或者对磋商文件作实质响应的供应商不足三家的；（政府购买服务项目（含政府和社会资本合作项目）、市场竞争不充分的科研项目，以及需要扶持的科技成果转化项目除外）</w:t>
      </w:r>
    </w:p>
    <w:p>
      <w:pPr>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pPr>
        <w:spacing w:line="360" w:lineRule="auto"/>
        <w:ind w:firstLine="480" w:firstLineChars="200"/>
        <w:rPr>
          <w:rFonts w:ascii="宋体" w:hAnsi="宋体"/>
          <w:sz w:val="24"/>
          <w:szCs w:val="24"/>
        </w:rPr>
      </w:pPr>
      <w:r>
        <w:rPr>
          <w:rFonts w:hint="eastAsia" w:ascii="宋体" w:hAnsi="宋体"/>
          <w:sz w:val="24"/>
          <w:szCs w:val="24"/>
        </w:rPr>
        <w:t>（3）供应商的报价均超过了采购预算；</w:t>
      </w:r>
    </w:p>
    <w:p>
      <w:pPr>
        <w:spacing w:line="360" w:lineRule="auto"/>
        <w:ind w:firstLine="480" w:firstLineChars="200"/>
        <w:rPr>
          <w:rFonts w:ascii="宋体" w:hAnsi="宋体"/>
          <w:sz w:val="24"/>
          <w:szCs w:val="24"/>
        </w:rPr>
      </w:pPr>
      <w:r>
        <w:rPr>
          <w:rFonts w:hint="eastAsia" w:ascii="宋体" w:hAnsi="宋体"/>
          <w:sz w:val="24"/>
          <w:szCs w:val="24"/>
        </w:rPr>
        <w:t>（4）因重大变故，采购任务取消；</w:t>
      </w:r>
    </w:p>
    <w:p>
      <w:pPr>
        <w:spacing w:line="360" w:lineRule="auto"/>
        <w:ind w:firstLine="480" w:firstLineChars="200"/>
        <w:rPr>
          <w:rFonts w:ascii="宋体" w:hAnsi="宋体"/>
          <w:sz w:val="24"/>
          <w:szCs w:val="24"/>
        </w:rPr>
      </w:pPr>
      <w:r>
        <w:rPr>
          <w:rFonts w:hint="eastAsia" w:ascii="宋体" w:hAnsi="宋体"/>
          <w:sz w:val="24"/>
          <w:szCs w:val="24"/>
        </w:rPr>
        <w:t>（5）法律、法规以及磋商文件规定其他情形。</w:t>
      </w:r>
    </w:p>
    <w:p>
      <w:pPr>
        <w:spacing w:line="360" w:lineRule="auto"/>
        <w:rPr>
          <w:rFonts w:ascii="宋体" w:hAnsi="宋体"/>
          <w:b/>
          <w:sz w:val="24"/>
          <w:szCs w:val="24"/>
        </w:rPr>
      </w:pPr>
      <w:r>
        <w:rPr>
          <w:rFonts w:hint="eastAsia" w:ascii="宋体" w:hAnsi="宋体"/>
          <w:b/>
          <w:sz w:val="24"/>
          <w:szCs w:val="24"/>
        </w:rPr>
        <w:t>7.定标</w:t>
      </w:r>
    </w:p>
    <w:p>
      <w:pPr>
        <w:spacing w:line="360" w:lineRule="auto"/>
        <w:ind w:firstLine="480" w:firstLineChars="200"/>
        <w:rPr>
          <w:rFonts w:ascii="宋体" w:hAnsi="宋体"/>
          <w:sz w:val="24"/>
          <w:szCs w:val="24"/>
        </w:rPr>
      </w:pPr>
      <w:r>
        <w:rPr>
          <w:rFonts w:hint="eastAsia" w:ascii="宋体" w:hAnsi="宋体"/>
          <w:sz w:val="24"/>
          <w:szCs w:val="24"/>
        </w:rPr>
        <w:t>磋商小组按照磋商文件确定的评标方法、步骤、标准，对响应文件进行评审。评标结束后，对供应商的评审名次进行排序，确定成交供应商或者推荐成交候选人。</w:t>
      </w:r>
    </w:p>
    <w:p>
      <w:pPr>
        <w:spacing w:line="360" w:lineRule="auto"/>
        <w:rPr>
          <w:rFonts w:ascii="宋体" w:hAnsi="宋体"/>
          <w:b/>
          <w:sz w:val="24"/>
          <w:szCs w:val="24"/>
        </w:rPr>
      </w:pPr>
      <w:r>
        <w:rPr>
          <w:rFonts w:hint="eastAsia" w:ascii="宋体" w:hAnsi="宋体"/>
          <w:b/>
          <w:sz w:val="24"/>
          <w:szCs w:val="24"/>
        </w:rPr>
        <w:t>8.成交结果公告</w:t>
      </w:r>
    </w:p>
    <w:p>
      <w:pPr>
        <w:spacing w:line="360" w:lineRule="auto"/>
        <w:ind w:firstLine="480" w:firstLineChars="200"/>
        <w:rPr>
          <w:rFonts w:ascii="宋体" w:hAnsi="宋体"/>
          <w:sz w:val="24"/>
          <w:szCs w:val="24"/>
        </w:rPr>
      </w:pPr>
      <w:r>
        <w:rPr>
          <w:rFonts w:hint="eastAsia" w:ascii="宋体" w:hAnsi="宋体"/>
          <w:sz w:val="24"/>
          <w:szCs w:val="24"/>
        </w:rPr>
        <w:t>7.1成交供应商确定后，</w:t>
      </w:r>
      <w:r>
        <w:rPr>
          <w:rFonts w:hint="eastAsia" w:ascii="宋体" w:hAnsi="宋体"/>
          <w:sz w:val="24"/>
          <w:szCs w:val="24"/>
          <w:lang w:val="en-US" w:eastAsia="zh-CN"/>
        </w:rPr>
        <w:t>鄂尔多斯市金博工程项目管理有限公司</w:t>
      </w:r>
      <w:r>
        <w:rPr>
          <w:rFonts w:hint="eastAsia" w:ascii="宋体" w:hAnsi="宋体"/>
          <w:sz w:val="24"/>
          <w:szCs w:val="24"/>
        </w:rPr>
        <w:t>将在内蒙古自治区政府采购网、内蒙古自治区公共资源交易网、鄂尔多斯市政府采购网和鄂尔多斯市公共资源交易网、鄂托克前旗人民政府网上发布成交结果公告，同时将成交结果以公告形式通知未中标的供应商，成交结果公告期为</w:t>
      </w:r>
      <w:r>
        <w:rPr>
          <w:rFonts w:hint="eastAsia" w:ascii="宋体" w:hAnsi="宋体"/>
          <w:sz w:val="24"/>
          <w:szCs w:val="24"/>
          <w:u w:val="single"/>
        </w:rPr>
        <w:t xml:space="preserve"> 1 </w:t>
      </w:r>
      <w:r>
        <w:rPr>
          <w:rFonts w:hint="eastAsia" w:ascii="宋体" w:hAnsi="宋体"/>
          <w:sz w:val="24"/>
          <w:szCs w:val="24"/>
        </w:rPr>
        <w:t>个工作日。</w:t>
      </w:r>
    </w:p>
    <w:p>
      <w:pPr>
        <w:spacing w:line="360" w:lineRule="auto"/>
        <w:ind w:firstLine="480" w:firstLineChars="200"/>
        <w:rPr>
          <w:rFonts w:ascii="宋体" w:hAnsi="宋体"/>
          <w:sz w:val="24"/>
          <w:szCs w:val="24"/>
        </w:rPr>
      </w:pPr>
      <w:r>
        <w:rPr>
          <w:rFonts w:hint="eastAsia" w:ascii="宋体" w:hAnsi="宋体"/>
          <w:sz w:val="24"/>
          <w:szCs w:val="24"/>
        </w:rPr>
        <w:t>7.2成交供应商须将成交货物报价明细表（WORD格式电子版，格式下载地址：鄂尔多斯市公共资源交易网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政府采购相关范本）（包括主要中标标的的名称、规格型号、数量、单价、服务要求）于评标结束后当天发送在</w:t>
      </w:r>
      <w:r>
        <w:rPr>
          <w:rFonts w:hint="eastAsia" w:ascii="宋体" w:hAnsi="宋体"/>
          <w:sz w:val="24"/>
          <w:szCs w:val="24"/>
          <w:lang w:val="en-US" w:eastAsia="zh-CN"/>
        </w:rPr>
        <w:t>鄂尔多斯市金博工程项目管理有限公司</w:t>
      </w:r>
      <w:r>
        <w:rPr>
          <w:rFonts w:hint="eastAsia" w:ascii="宋体" w:hAnsi="宋体"/>
          <w:sz w:val="24"/>
          <w:szCs w:val="24"/>
        </w:rPr>
        <w:t>工作人员邮箱内（</w:t>
      </w:r>
      <w:r>
        <w:fldChar w:fldCharType="begin"/>
      </w:r>
      <w:r>
        <w:instrText xml:space="preserve"> HYPERLINK "mailto:youj_0722@163.com" </w:instrText>
      </w:r>
      <w:r>
        <w:fldChar w:fldCharType="separate"/>
      </w:r>
      <w:r>
        <w:rPr>
          <w:rFonts w:hint="eastAsia"/>
          <w:lang w:eastAsia="zh-CN"/>
        </w:rPr>
        <w:t>117826335</w:t>
      </w:r>
      <w:r>
        <w:rPr>
          <w:rFonts w:hint="eastAsia"/>
        </w:rPr>
        <w:t>@qq.com</w:t>
      </w:r>
      <w:r>
        <w:rPr>
          <w:rFonts w:hint="eastAsia"/>
        </w:rPr>
        <w:fldChar w:fldCharType="end"/>
      </w:r>
      <w:r>
        <w:rPr>
          <w:rFonts w:hint="eastAsia" w:ascii="宋体" w:hAnsi="宋体"/>
          <w:sz w:val="24"/>
          <w:szCs w:val="24"/>
        </w:rPr>
        <w:t>，联系人</w:t>
      </w:r>
      <w:r>
        <w:rPr>
          <w:rFonts w:hint="eastAsia" w:ascii="宋体" w:hAnsi="宋体"/>
          <w:sz w:val="24"/>
          <w:szCs w:val="24"/>
          <w:lang w:val="en-US" w:eastAsia="zh-CN"/>
        </w:rPr>
        <w:t>林晓伟</w:t>
      </w:r>
      <w:r>
        <w:rPr>
          <w:rFonts w:hint="eastAsia" w:ascii="宋体" w:hAnsi="宋体"/>
          <w:sz w:val="24"/>
          <w:szCs w:val="24"/>
        </w:rPr>
        <w:t>，联系电话</w:t>
      </w:r>
      <w:r>
        <w:rPr>
          <w:rFonts w:hint="eastAsia" w:ascii="宋体" w:hAnsi="宋体"/>
          <w:sz w:val="24"/>
          <w:szCs w:val="24"/>
          <w:lang w:eastAsia="zh-CN"/>
        </w:rPr>
        <w:t>18947706825</w:t>
      </w:r>
      <w:r>
        <w:rPr>
          <w:rFonts w:hint="eastAsia" w:ascii="宋体" w:hAnsi="宋体"/>
          <w:sz w:val="24"/>
          <w:szCs w:val="24"/>
        </w:rPr>
        <w:t>），并在邮件标题注明项目名称及中标单位名称，否则不予发布成交结果公告。</w:t>
      </w:r>
    </w:p>
    <w:p>
      <w:pPr>
        <w:spacing w:line="360" w:lineRule="auto"/>
        <w:rPr>
          <w:rFonts w:ascii="宋体" w:hAnsi="宋体"/>
          <w:b/>
          <w:sz w:val="24"/>
          <w:szCs w:val="24"/>
        </w:rPr>
      </w:pPr>
      <w:r>
        <w:rPr>
          <w:rFonts w:hint="eastAsia" w:ascii="宋体" w:hAnsi="宋体"/>
          <w:b/>
          <w:sz w:val="24"/>
          <w:szCs w:val="24"/>
        </w:rPr>
        <w:t>9.成交通知书发放</w:t>
      </w:r>
    </w:p>
    <w:p>
      <w:pPr>
        <w:spacing w:line="360" w:lineRule="auto"/>
        <w:ind w:firstLine="480" w:firstLineChars="200"/>
        <w:rPr>
          <w:rFonts w:ascii="宋体" w:hAnsi="宋体"/>
          <w:sz w:val="24"/>
          <w:szCs w:val="24"/>
        </w:rPr>
      </w:pPr>
      <w:r>
        <w:rPr>
          <w:rFonts w:hint="eastAsia" w:ascii="宋体" w:hAnsi="宋体"/>
          <w:sz w:val="24"/>
          <w:szCs w:val="24"/>
          <w:lang w:val="en-US" w:eastAsia="zh-CN"/>
        </w:rPr>
        <w:t>鄂尔多斯市金博工程项目管理有限公司</w:t>
      </w:r>
      <w:r>
        <w:rPr>
          <w:rFonts w:hint="eastAsia" w:ascii="宋体" w:hAnsi="宋体"/>
          <w:sz w:val="24"/>
          <w:szCs w:val="24"/>
        </w:rPr>
        <w:t>以书面形式向成交供应商发出成交通知书，</w:t>
      </w:r>
      <w:r>
        <w:rPr>
          <w:rFonts w:ascii="宋体" w:hAnsi="宋体"/>
          <w:sz w:val="24"/>
          <w:szCs w:val="24"/>
        </w:rPr>
        <w:t>成交通知书是合同的组成部分</w:t>
      </w:r>
      <w:r>
        <w:rPr>
          <w:rFonts w:hint="eastAsia" w:ascii="宋体" w:hAnsi="宋体"/>
          <w:sz w:val="24"/>
          <w:szCs w:val="24"/>
        </w:rPr>
        <w:t>，成交通知书对采购人和中标供应商具有同等法律效力。</w:t>
      </w:r>
    </w:p>
    <w:p>
      <w:pPr>
        <w:spacing w:line="360" w:lineRule="auto"/>
        <w:ind w:firstLine="480" w:firstLineChars="200"/>
        <w:rPr>
          <w:rFonts w:ascii="宋体" w:hAnsi="宋体"/>
          <w:sz w:val="24"/>
          <w:szCs w:val="24"/>
        </w:rPr>
      </w:pPr>
      <w:r>
        <w:rPr>
          <w:rFonts w:hint="eastAsia" w:ascii="宋体" w:hAnsi="宋体"/>
          <w:sz w:val="24"/>
          <w:szCs w:val="24"/>
        </w:rPr>
        <w:t>成交通知书发出后，采购人不得违法改变成交结果，成交供应商无正当理由不得放弃中标。</w:t>
      </w:r>
    </w:p>
    <w:p>
      <w:pPr>
        <w:spacing w:line="360" w:lineRule="auto"/>
        <w:ind w:firstLine="480" w:firstLineChars="200"/>
        <w:rPr>
          <w:rFonts w:ascii="宋体" w:hAnsi="宋体"/>
          <w:sz w:val="24"/>
          <w:szCs w:val="24"/>
        </w:rPr>
      </w:pPr>
      <w:r>
        <w:rPr>
          <w:rFonts w:hint="eastAsia" w:ascii="宋体" w:hAnsi="宋体"/>
          <w:sz w:val="24"/>
          <w:szCs w:val="24"/>
        </w:rPr>
        <w:t>成交供应商须持法定代表人授权委托书及本人身份证至</w:t>
      </w:r>
      <w:r>
        <w:rPr>
          <w:rFonts w:hint="eastAsia" w:ascii="宋体" w:hAnsi="宋体"/>
          <w:sz w:val="24"/>
          <w:szCs w:val="24"/>
          <w:lang w:val="en-US" w:eastAsia="zh-CN"/>
        </w:rPr>
        <w:t>鄂尔多斯市金博工程项目管理有限公司</w:t>
      </w:r>
      <w:r>
        <w:rPr>
          <w:rFonts w:hint="eastAsia" w:ascii="宋体" w:hAnsi="宋体"/>
          <w:sz w:val="24"/>
          <w:szCs w:val="24"/>
        </w:rPr>
        <w:t>领取。</w:t>
      </w:r>
    </w:p>
    <w:p>
      <w:pPr>
        <w:spacing w:line="360" w:lineRule="auto"/>
        <w:rPr>
          <w:rFonts w:ascii="宋体" w:hAnsi="宋体"/>
          <w:b/>
          <w:sz w:val="24"/>
          <w:szCs w:val="24"/>
        </w:rPr>
      </w:pPr>
      <w:r>
        <w:rPr>
          <w:rFonts w:hint="eastAsia" w:ascii="宋体" w:hAnsi="宋体"/>
          <w:b/>
          <w:sz w:val="24"/>
          <w:szCs w:val="24"/>
        </w:rPr>
        <w:t>八.询问、质疑与投诉</w:t>
      </w:r>
    </w:p>
    <w:p>
      <w:pPr>
        <w:autoSpaceDE w:val="0"/>
        <w:autoSpaceDN w:val="0"/>
        <w:adjustRightInd w:val="0"/>
        <w:snapToGrid w:val="0"/>
        <w:spacing w:line="360" w:lineRule="auto"/>
        <w:ind w:right="32"/>
        <w:rPr>
          <w:rFonts w:ascii="宋体" w:hAnsi="宋体" w:cs="宋体"/>
          <w:b/>
          <w:sz w:val="24"/>
          <w:szCs w:val="24"/>
        </w:rPr>
      </w:pPr>
      <w:r>
        <w:rPr>
          <w:rFonts w:hint="eastAsia" w:ascii="宋体" w:hAnsi="宋体" w:cs="宋体"/>
          <w:b/>
          <w:sz w:val="24"/>
          <w:szCs w:val="24"/>
        </w:rPr>
        <w:t>1.询问</w:t>
      </w:r>
    </w:p>
    <w:p>
      <w:pPr>
        <w:autoSpaceDE w:val="0"/>
        <w:autoSpaceDN w:val="0"/>
        <w:adjustRightInd w:val="0"/>
        <w:snapToGrid w:val="0"/>
        <w:spacing w:line="360" w:lineRule="auto"/>
        <w:ind w:right="32" w:firstLine="482" w:firstLineChars="201"/>
        <w:rPr>
          <w:rFonts w:ascii="宋体" w:hAnsi="宋体" w:cs="宋体"/>
          <w:b/>
          <w:color w:val="FF0000"/>
          <w:kern w:val="0"/>
          <w:sz w:val="24"/>
          <w:szCs w:val="24"/>
        </w:rPr>
      </w:pPr>
      <w:r>
        <w:rPr>
          <w:rFonts w:hint="eastAsia" w:ascii="宋体" w:hAnsi="宋体" w:cs="宋体"/>
          <w:sz w:val="24"/>
          <w:szCs w:val="24"/>
        </w:rPr>
        <w:t>供应商对政府采购活动事项有疑问的，可以向采购人或</w:t>
      </w:r>
      <w:r>
        <w:rPr>
          <w:rFonts w:hint="eastAsia" w:ascii="宋体" w:hAnsi="宋体" w:cs="宋体"/>
          <w:sz w:val="24"/>
          <w:szCs w:val="24"/>
          <w:lang w:eastAsia="zh-CN"/>
        </w:rPr>
        <w:t>采购代理机构</w:t>
      </w:r>
      <w:r>
        <w:rPr>
          <w:rFonts w:hint="eastAsia" w:ascii="宋体" w:hAnsi="宋体" w:cs="宋体"/>
          <w:sz w:val="24"/>
          <w:szCs w:val="24"/>
        </w:rPr>
        <w:t>提出询问，采购人或</w:t>
      </w:r>
      <w:r>
        <w:rPr>
          <w:rFonts w:hint="eastAsia" w:ascii="宋体" w:hAnsi="宋体" w:cs="宋体"/>
          <w:sz w:val="24"/>
          <w:szCs w:val="24"/>
          <w:lang w:eastAsia="zh-CN"/>
        </w:rPr>
        <w:t>采购代理机构</w:t>
      </w:r>
      <w:r>
        <w:rPr>
          <w:rFonts w:hint="eastAsia" w:ascii="宋体" w:hAnsi="宋体" w:cs="宋体"/>
          <w:sz w:val="24"/>
          <w:szCs w:val="24"/>
        </w:rPr>
        <w:t>应当在</w:t>
      </w:r>
      <w:r>
        <w:rPr>
          <w:rFonts w:ascii="宋体" w:hAnsi="宋体" w:cs="宋体"/>
          <w:sz w:val="24"/>
          <w:szCs w:val="24"/>
        </w:rPr>
        <w:t>3</w:t>
      </w:r>
      <w:r>
        <w:rPr>
          <w:rFonts w:hint="eastAsia" w:ascii="宋体" w:hAnsi="宋体" w:cs="宋体"/>
          <w:sz w:val="24"/>
          <w:szCs w:val="24"/>
        </w:rPr>
        <w:t>个工作日内做出答复，但答复的内容不得涉及商业秘密。</w:t>
      </w:r>
      <w:r>
        <w:rPr>
          <w:rFonts w:hint="eastAsia" w:ascii="宋体" w:hAnsi="宋体" w:cs="宋体"/>
          <w:color w:val="000000"/>
          <w:kern w:val="0"/>
          <w:sz w:val="24"/>
          <w:szCs w:val="24"/>
        </w:rPr>
        <w:t>供应商提出的询问超出采购人对</w:t>
      </w:r>
      <w:r>
        <w:rPr>
          <w:rFonts w:hint="eastAsia" w:ascii="宋体" w:hAnsi="宋体" w:cs="宋体"/>
          <w:color w:val="000000"/>
          <w:kern w:val="0"/>
          <w:sz w:val="24"/>
          <w:szCs w:val="24"/>
          <w:lang w:eastAsia="zh-CN"/>
        </w:rPr>
        <w:t>采购代理机构</w:t>
      </w:r>
      <w:r>
        <w:rPr>
          <w:rFonts w:hint="eastAsia" w:ascii="宋体" w:hAnsi="宋体" w:cs="宋体"/>
          <w:color w:val="000000"/>
          <w:kern w:val="0"/>
          <w:sz w:val="24"/>
          <w:szCs w:val="24"/>
        </w:rPr>
        <w:t>委托授权范围的，</w:t>
      </w:r>
      <w:r>
        <w:rPr>
          <w:rFonts w:hint="eastAsia" w:ascii="宋体" w:hAnsi="宋体" w:cs="宋体"/>
          <w:color w:val="000000"/>
          <w:kern w:val="0"/>
          <w:sz w:val="24"/>
          <w:szCs w:val="24"/>
          <w:lang w:eastAsia="zh-CN"/>
        </w:rPr>
        <w:t>采购代理机构</w:t>
      </w:r>
      <w:r>
        <w:rPr>
          <w:rFonts w:hint="eastAsia" w:ascii="宋体" w:hAnsi="宋体" w:cs="宋体"/>
          <w:color w:val="000000"/>
          <w:kern w:val="0"/>
          <w:sz w:val="24"/>
          <w:szCs w:val="24"/>
        </w:rPr>
        <w:t>应当告知其向采购人提出。</w:t>
      </w:r>
    </w:p>
    <w:p>
      <w:pPr>
        <w:autoSpaceDE w:val="0"/>
        <w:autoSpaceDN w:val="0"/>
        <w:adjustRightInd w:val="0"/>
        <w:snapToGrid w:val="0"/>
        <w:spacing w:line="360" w:lineRule="auto"/>
        <w:ind w:right="32" w:firstLine="482" w:firstLineChars="201"/>
        <w:rPr>
          <w:rFonts w:ascii="宋体" w:hAnsi="宋体"/>
          <w:color w:val="000000"/>
          <w:kern w:val="0"/>
          <w:sz w:val="24"/>
          <w:szCs w:val="24"/>
        </w:rPr>
      </w:pPr>
      <w:r>
        <w:rPr>
          <w:rFonts w:hint="eastAsia" w:ascii="宋体" w:hAnsi="宋体" w:cs="宋体"/>
          <w:color w:val="333333"/>
          <w:kern w:val="0"/>
          <w:sz w:val="24"/>
          <w:szCs w:val="24"/>
        </w:rPr>
        <w:t>为了使提出的询问事项在规定时间内得到有效回复</w:t>
      </w:r>
      <w:r>
        <w:rPr>
          <w:rFonts w:hint="eastAsia" w:ascii="宋体" w:hAnsi="宋体" w:cs="宋体"/>
          <w:kern w:val="0"/>
          <w:sz w:val="24"/>
          <w:szCs w:val="24"/>
        </w:rPr>
        <w:t>，</w:t>
      </w:r>
      <w:r>
        <w:rPr>
          <w:rFonts w:hint="eastAsia" w:ascii="宋体" w:hAnsi="宋体" w:cs="宋体"/>
          <w:color w:val="333333"/>
          <w:kern w:val="0"/>
          <w:sz w:val="24"/>
          <w:szCs w:val="24"/>
        </w:rPr>
        <w:t>询问采用实名制，</w:t>
      </w:r>
      <w:r>
        <w:rPr>
          <w:rFonts w:hint="eastAsia" w:ascii="宋体" w:hAnsi="宋体" w:cs="宋体"/>
          <w:kern w:val="0"/>
          <w:sz w:val="24"/>
          <w:szCs w:val="24"/>
        </w:rPr>
        <w:t>询问内容以书面材料的形式亲自递交到</w:t>
      </w:r>
      <w:r>
        <w:rPr>
          <w:rFonts w:hint="eastAsia" w:ascii="宋体" w:hAnsi="宋体"/>
          <w:sz w:val="24"/>
          <w:szCs w:val="24"/>
          <w:lang w:val="en-US" w:eastAsia="zh-CN"/>
        </w:rPr>
        <w:t>鄂尔多斯市金博工程项目管理有限公司</w:t>
      </w:r>
      <w:r>
        <w:rPr>
          <w:rFonts w:hint="eastAsia" w:ascii="宋体" w:hAnsi="宋体" w:cs="宋体"/>
          <w:kern w:val="0"/>
          <w:sz w:val="24"/>
          <w:szCs w:val="24"/>
        </w:rPr>
        <w:t>，正式受理后方可生效，否则，为无效询问。</w:t>
      </w:r>
    </w:p>
    <w:p>
      <w:pPr>
        <w:spacing w:line="360" w:lineRule="auto"/>
        <w:rPr>
          <w:rFonts w:ascii="宋体" w:hAnsi="宋体" w:cs="宋体"/>
          <w:b/>
          <w:kern w:val="0"/>
          <w:sz w:val="24"/>
          <w:szCs w:val="24"/>
        </w:rPr>
      </w:pPr>
      <w:r>
        <w:rPr>
          <w:rFonts w:hint="eastAsia" w:ascii="宋体" w:hAnsi="宋体" w:cs="宋体"/>
          <w:b/>
          <w:kern w:val="0"/>
          <w:sz w:val="24"/>
          <w:szCs w:val="24"/>
        </w:rPr>
        <w:t>2.质疑</w:t>
      </w:r>
    </w:p>
    <w:p>
      <w:pPr>
        <w:spacing w:line="360" w:lineRule="auto"/>
        <w:ind w:firstLine="480" w:firstLineChars="200"/>
        <w:rPr>
          <w:rFonts w:ascii="宋体" w:hAnsi="宋体"/>
          <w:sz w:val="24"/>
          <w:szCs w:val="24"/>
        </w:rPr>
      </w:pPr>
      <w:r>
        <w:rPr>
          <w:rFonts w:hint="eastAsia" w:ascii="宋体" w:hAnsi="宋体"/>
          <w:sz w:val="24"/>
          <w:szCs w:val="24"/>
        </w:rPr>
        <w:t>2.1供应商认为采购文件、采购过程和中标、成交结果使自己的权益受到损害的，可以在知道或者应知其权益受到损害之日起七个工作日内，以书面形式向采购人提出质疑</w:t>
      </w:r>
    </w:p>
    <w:p>
      <w:pPr>
        <w:spacing w:line="360" w:lineRule="auto"/>
        <w:ind w:firstLine="480" w:firstLineChars="200"/>
        <w:rPr>
          <w:rFonts w:ascii="宋体" w:hAnsi="宋体"/>
          <w:sz w:val="24"/>
          <w:szCs w:val="24"/>
        </w:rPr>
      </w:pPr>
      <w:r>
        <w:rPr>
          <w:rFonts w:hint="eastAsia" w:ascii="宋体" w:hAnsi="宋体"/>
          <w:sz w:val="24"/>
          <w:szCs w:val="24"/>
        </w:rPr>
        <w:t>2.2采购人应当在收到供应商的书面质疑后七个工作日内作出答复，并以书面形式通知质疑供应商和其他有关供应商，但答复的内容不得涉及商业秘密。</w:t>
      </w:r>
    </w:p>
    <w:p>
      <w:pPr>
        <w:spacing w:line="360" w:lineRule="auto"/>
        <w:ind w:firstLine="480" w:firstLineChars="200"/>
        <w:rPr>
          <w:rFonts w:ascii="宋体" w:hAnsi="宋体"/>
          <w:sz w:val="24"/>
          <w:szCs w:val="24"/>
        </w:rPr>
      </w:pPr>
      <w:r>
        <w:rPr>
          <w:rFonts w:hint="eastAsia" w:ascii="宋体" w:hAnsi="宋体"/>
          <w:sz w:val="24"/>
          <w:szCs w:val="24"/>
        </w:rPr>
        <w:t>2.3询问或者质疑事项可能影响成交结果的，采购人应当暂停签订合同，已经签订合同的，应当中止履行合同。</w:t>
      </w:r>
    </w:p>
    <w:p>
      <w:pPr>
        <w:spacing w:line="360" w:lineRule="auto"/>
        <w:ind w:firstLine="480" w:firstLineChars="200"/>
        <w:rPr>
          <w:rFonts w:ascii="宋体" w:hAnsi="宋体"/>
          <w:color w:val="FF0000"/>
          <w:sz w:val="24"/>
          <w:szCs w:val="24"/>
        </w:rPr>
      </w:pPr>
      <w:r>
        <w:rPr>
          <w:rFonts w:hint="eastAsia" w:ascii="宋体" w:hAnsi="宋体" w:cs="宋体"/>
          <w:color w:val="333333"/>
          <w:kern w:val="0"/>
          <w:sz w:val="24"/>
          <w:szCs w:val="24"/>
        </w:rPr>
        <w:t>2.4为了使提出的质疑事项在规定时间内得到有效答</w:t>
      </w:r>
      <w:r>
        <w:rPr>
          <w:rFonts w:hint="eastAsia" w:ascii="宋体" w:hAnsi="宋体" w:cs="宋体"/>
          <w:kern w:val="0"/>
          <w:sz w:val="24"/>
          <w:szCs w:val="24"/>
        </w:rPr>
        <w:t>复、处理，</w:t>
      </w:r>
      <w:r>
        <w:rPr>
          <w:rFonts w:hint="eastAsia" w:ascii="宋体" w:hAnsi="宋体" w:cs="宋体"/>
          <w:color w:val="333333"/>
          <w:kern w:val="0"/>
          <w:sz w:val="24"/>
          <w:szCs w:val="24"/>
        </w:rPr>
        <w:t>质疑采用实名制，</w:t>
      </w:r>
      <w:r>
        <w:rPr>
          <w:rFonts w:hint="eastAsia" w:ascii="宋体" w:hAnsi="宋体" w:cs="宋体"/>
          <w:kern w:val="0"/>
          <w:sz w:val="24"/>
          <w:szCs w:val="24"/>
        </w:rPr>
        <w:t>质疑人必须为本次采购活动当事人，且由法定代表人或投标授权人亲自递交到</w:t>
      </w:r>
      <w:r>
        <w:rPr>
          <w:rFonts w:hint="eastAsia" w:ascii="宋体" w:hAnsi="宋体"/>
          <w:sz w:val="24"/>
          <w:szCs w:val="24"/>
          <w:lang w:val="en-US" w:eastAsia="zh-CN"/>
        </w:rPr>
        <w:t>鄂尔多斯市金博工程项目管理有限公司</w:t>
      </w:r>
      <w:r>
        <w:rPr>
          <w:rFonts w:hint="eastAsia" w:ascii="宋体" w:hAnsi="宋体" w:cs="宋体"/>
          <w:kern w:val="0"/>
          <w:sz w:val="24"/>
          <w:szCs w:val="24"/>
        </w:rPr>
        <w:t>，正式受理后方可生效，否则，为无效质疑。</w:t>
      </w:r>
    </w:p>
    <w:p>
      <w:pPr>
        <w:spacing w:line="360" w:lineRule="auto"/>
        <w:ind w:firstLine="480" w:firstLineChars="200"/>
        <w:rPr>
          <w:rFonts w:ascii="宋体" w:hAnsi="宋体"/>
          <w:sz w:val="24"/>
          <w:szCs w:val="24"/>
        </w:rPr>
      </w:pPr>
      <w:r>
        <w:rPr>
          <w:rFonts w:hint="eastAsia" w:ascii="宋体" w:hAnsi="宋体"/>
          <w:sz w:val="24"/>
          <w:szCs w:val="24"/>
        </w:rPr>
        <w:t>2.5递交的质疑函务必提供以下信息和内容：</w:t>
      </w:r>
    </w:p>
    <w:p>
      <w:pPr>
        <w:spacing w:line="360" w:lineRule="auto"/>
        <w:ind w:firstLine="360" w:firstLineChars="150"/>
        <w:rPr>
          <w:rFonts w:ascii="宋体" w:hAnsi="宋体"/>
          <w:sz w:val="24"/>
          <w:szCs w:val="24"/>
        </w:rPr>
      </w:pPr>
      <w:r>
        <w:rPr>
          <w:rFonts w:hint="eastAsia" w:ascii="宋体" w:hAnsi="宋体"/>
          <w:sz w:val="24"/>
          <w:szCs w:val="24"/>
        </w:rPr>
        <w:t>（1）质疑人的单位名称和姓名、地址、联系电话、身份证明和法人授权委托书；</w:t>
      </w:r>
    </w:p>
    <w:p>
      <w:pPr>
        <w:spacing w:line="360" w:lineRule="auto"/>
        <w:ind w:firstLine="360" w:firstLineChars="150"/>
        <w:rPr>
          <w:rFonts w:ascii="宋体" w:hAnsi="宋体"/>
          <w:sz w:val="24"/>
          <w:szCs w:val="24"/>
        </w:rPr>
      </w:pPr>
      <w:r>
        <w:rPr>
          <w:rFonts w:hint="eastAsia" w:ascii="宋体" w:hAnsi="宋体"/>
          <w:sz w:val="24"/>
          <w:szCs w:val="24"/>
        </w:rPr>
        <w:t>（2）被质疑人的单位名称或姓名等；</w:t>
      </w:r>
    </w:p>
    <w:p>
      <w:pPr>
        <w:spacing w:line="360" w:lineRule="auto"/>
        <w:ind w:firstLine="360" w:firstLineChars="150"/>
        <w:rPr>
          <w:rFonts w:ascii="宋体" w:hAnsi="宋体"/>
          <w:sz w:val="24"/>
          <w:szCs w:val="24"/>
        </w:rPr>
      </w:pPr>
      <w:r>
        <w:rPr>
          <w:rFonts w:hint="eastAsia" w:ascii="宋体" w:hAnsi="宋体"/>
          <w:sz w:val="24"/>
          <w:szCs w:val="24"/>
        </w:rPr>
        <w:t>（3）质疑应当有明确的请求和必要的证明材料；</w:t>
      </w:r>
    </w:p>
    <w:p>
      <w:pPr>
        <w:spacing w:line="360" w:lineRule="auto"/>
        <w:ind w:firstLine="360" w:firstLineChars="150"/>
        <w:rPr>
          <w:rFonts w:ascii="宋体" w:hAnsi="宋体"/>
          <w:sz w:val="24"/>
          <w:szCs w:val="24"/>
        </w:rPr>
      </w:pPr>
      <w:r>
        <w:rPr>
          <w:rFonts w:hint="eastAsia" w:ascii="宋体" w:hAnsi="宋体"/>
          <w:sz w:val="24"/>
          <w:szCs w:val="24"/>
        </w:rPr>
        <w:t>（4）质疑人的签章及提出质疑的准确日期。</w:t>
      </w:r>
    </w:p>
    <w:p>
      <w:pPr>
        <w:spacing w:line="360" w:lineRule="auto"/>
        <w:ind w:firstLine="482" w:firstLineChars="201"/>
        <w:rPr>
          <w:rFonts w:ascii="宋体" w:hAnsi="宋体"/>
          <w:sz w:val="24"/>
          <w:szCs w:val="24"/>
        </w:rPr>
      </w:pPr>
      <w:r>
        <w:rPr>
          <w:rFonts w:hint="eastAsia" w:ascii="宋体" w:hAnsi="宋体"/>
          <w:sz w:val="24"/>
          <w:szCs w:val="24"/>
        </w:rPr>
        <w:t>2.6有下列情况之一的质疑不予受理：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）非供应商提出的质疑；</w:t>
      </w:r>
    </w:p>
    <w:p>
      <w:pPr>
        <w:spacing w:line="360" w:lineRule="auto"/>
        <w:ind w:firstLine="482" w:firstLineChars="201"/>
        <w:rPr>
          <w:rFonts w:ascii="宋体" w:hAnsi="宋体"/>
          <w:sz w:val="24"/>
          <w:szCs w:val="24"/>
        </w:rPr>
      </w:pPr>
      <w:r>
        <w:rPr>
          <w:rFonts w:hint="eastAsia" w:ascii="宋体" w:hAnsi="宋体"/>
          <w:sz w:val="24"/>
          <w:szCs w:val="24"/>
        </w:rPr>
        <w:t>（2）无质疑函件或质疑函件缺少供应商法人印章、供应商法定代表人签字、有效授权书和联系方式之一的质疑；</w:t>
      </w:r>
    </w:p>
    <w:p>
      <w:pPr>
        <w:spacing w:line="360" w:lineRule="auto"/>
        <w:ind w:firstLine="482" w:firstLineChars="201"/>
        <w:rPr>
          <w:rFonts w:ascii="宋体" w:hAnsi="宋体"/>
          <w:sz w:val="24"/>
          <w:szCs w:val="24"/>
        </w:rPr>
      </w:pPr>
      <w:r>
        <w:rPr>
          <w:rFonts w:hint="eastAsia" w:ascii="宋体" w:hAnsi="宋体"/>
          <w:sz w:val="24"/>
          <w:szCs w:val="24"/>
        </w:rPr>
        <w:t>（3）质疑函件无实质性内容或佐证文件资料，主观臆断及推理得出结论的质疑；</w:t>
      </w:r>
    </w:p>
    <w:p>
      <w:pPr>
        <w:spacing w:line="360" w:lineRule="auto"/>
        <w:ind w:firstLine="482" w:firstLineChars="201"/>
        <w:rPr>
          <w:rFonts w:ascii="宋体" w:hAnsi="宋体"/>
          <w:sz w:val="24"/>
          <w:szCs w:val="24"/>
        </w:rPr>
      </w:pPr>
      <w:r>
        <w:rPr>
          <w:rFonts w:hint="eastAsia" w:ascii="宋体" w:hAnsi="宋体"/>
          <w:sz w:val="24"/>
          <w:szCs w:val="24"/>
        </w:rPr>
        <w:t>（4）相应证明材料不真实或来源不合法的质疑；</w:t>
      </w:r>
    </w:p>
    <w:p>
      <w:pPr>
        <w:spacing w:line="360" w:lineRule="auto"/>
        <w:ind w:firstLine="482" w:firstLineChars="201"/>
        <w:rPr>
          <w:rFonts w:ascii="宋体" w:hAnsi="宋体"/>
          <w:sz w:val="24"/>
          <w:szCs w:val="24"/>
        </w:rPr>
      </w:pPr>
      <w:r>
        <w:rPr>
          <w:rFonts w:hint="eastAsia" w:ascii="宋体" w:hAnsi="宋体"/>
          <w:sz w:val="24"/>
          <w:szCs w:val="24"/>
        </w:rPr>
        <w:t>（5）未按规定时间或超过质疑时限提出的质疑；</w:t>
      </w:r>
    </w:p>
    <w:p>
      <w:pPr>
        <w:spacing w:line="360" w:lineRule="auto"/>
        <w:ind w:firstLine="482" w:firstLineChars="201"/>
        <w:rPr>
          <w:rFonts w:ascii="宋体" w:hAnsi="宋体"/>
          <w:sz w:val="24"/>
          <w:szCs w:val="24"/>
        </w:rPr>
      </w:pPr>
      <w:r>
        <w:rPr>
          <w:rFonts w:hint="eastAsia" w:ascii="宋体" w:hAnsi="宋体"/>
          <w:sz w:val="24"/>
          <w:szCs w:val="24"/>
        </w:rPr>
        <w:t>（6）除亲自送达书面质疑书式外，其他任何方式的质疑。</w:t>
      </w:r>
    </w:p>
    <w:p>
      <w:pPr>
        <w:spacing w:line="360" w:lineRule="auto"/>
        <w:ind w:firstLine="480" w:firstLineChars="200"/>
        <w:rPr>
          <w:rFonts w:ascii="宋体" w:hAnsi="宋体"/>
          <w:sz w:val="24"/>
          <w:szCs w:val="24"/>
        </w:rPr>
      </w:pPr>
      <w:r>
        <w:rPr>
          <w:rFonts w:hint="eastAsia" w:ascii="宋体" w:hAnsi="宋体"/>
          <w:sz w:val="24"/>
          <w:szCs w:val="24"/>
        </w:rPr>
        <w:t>2.7对捏造事实，提供虚假材料或者以非法手段取得证明材料进行恶意质疑的，一经查实，将上报监督部门，并给以相应处罚。</w:t>
      </w:r>
    </w:p>
    <w:p>
      <w:pPr>
        <w:spacing w:line="360" w:lineRule="auto"/>
        <w:rPr>
          <w:rFonts w:ascii="宋体" w:hAnsi="宋体"/>
          <w:b/>
          <w:sz w:val="24"/>
          <w:szCs w:val="24"/>
        </w:rPr>
      </w:pPr>
      <w:r>
        <w:rPr>
          <w:rFonts w:hint="eastAsia" w:ascii="宋体" w:hAnsi="宋体"/>
          <w:b/>
          <w:sz w:val="24"/>
          <w:szCs w:val="24"/>
        </w:rPr>
        <w:t>3.投诉</w:t>
      </w:r>
    </w:p>
    <w:p>
      <w:pPr>
        <w:spacing w:line="360" w:lineRule="auto"/>
        <w:ind w:firstLine="480" w:firstLineChars="200"/>
        <w:rPr>
          <w:rFonts w:ascii="宋体" w:hAnsi="宋体"/>
          <w:sz w:val="24"/>
          <w:szCs w:val="24"/>
        </w:rPr>
      </w:pPr>
      <w:r>
        <w:rPr>
          <w:rFonts w:hint="eastAsia" w:ascii="宋体" w:hAnsi="宋体"/>
          <w:sz w:val="24"/>
          <w:szCs w:val="24"/>
        </w:rPr>
        <w:t>质疑人对采购人、</w:t>
      </w:r>
      <w:r>
        <w:rPr>
          <w:rFonts w:hint="eastAsia" w:ascii="宋体" w:hAnsi="宋体"/>
          <w:sz w:val="24"/>
          <w:szCs w:val="24"/>
          <w:lang w:val="en-US" w:eastAsia="zh-CN"/>
        </w:rPr>
        <w:t>鄂尔多斯市金博工程项目管理有限公司</w:t>
      </w:r>
      <w:r>
        <w:rPr>
          <w:rFonts w:hint="eastAsia" w:ascii="宋体" w:hAnsi="宋体"/>
          <w:sz w:val="24"/>
          <w:szCs w:val="24"/>
        </w:rPr>
        <w:t>的答复不满意或者采购人、</w:t>
      </w:r>
      <w:r>
        <w:rPr>
          <w:rFonts w:hint="eastAsia" w:ascii="宋体" w:hAnsi="宋体"/>
          <w:sz w:val="24"/>
          <w:szCs w:val="24"/>
          <w:lang w:val="en-US" w:eastAsia="zh-CN"/>
        </w:rPr>
        <w:t>鄂尔多斯市金博工程项目管理有限公司</w:t>
      </w:r>
      <w:r>
        <w:rPr>
          <w:rFonts w:hint="eastAsia" w:ascii="宋体" w:hAnsi="宋体"/>
          <w:sz w:val="24"/>
          <w:szCs w:val="24"/>
        </w:rPr>
        <w:t>未在规定的时间内做出书面答复的，可以在答复期满后十五个工作日内向监督部门进行投诉。投诉程序按《政府采购法》及相关规定执行。</w:t>
      </w:r>
    </w:p>
    <w:p>
      <w:pPr>
        <w:spacing w:line="360" w:lineRule="auto"/>
        <w:ind w:firstLine="480" w:firstLineChars="200"/>
        <w:rPr>
          <w:rFonts w:ascii="宋体" w:hAnsi="宋体"/>
          <w:sz w:val="24"/>
          <w:szCs w:val="24"/>
        </w:rPr>
      </w:pPr>
      <w:r>
        <w:rPr>
          <w:rFonts w:hint="eastAsia" w:ascii="宋体" w:hAnsi="宋体"/>
          <w:sz w:val="24"/>
          <w:szCs w:val="24"/>
        </w:rPr>
        <w:t>供应商投诉的事项不得超出已质疑事项的范围。</w:t>
      </w:r>
      <w:bookmarkStart w:id="2" w:name="_Toc447030613"/>
      <w:bookmarkStart w:id="3" w:name="_Toc266431157"/>
      <w:r>
        <w:rPr>
          <w:rFonts w:ascii="宋体" w:hAnsi="宋体" w:cs="宋体"/>
          <w:bCs/>
          <w:color w:val="000000"/>
          <w:sz w:val="24"/>
          <w:szCs w:val="24"/>
        </w:rPr>
        <w:br w:type="page"/>
      </w:r>
    </w:p>
    <w:p>
      <w:pPr>
        <w:pStyle w:val="25"/>
        <w:spacing w:line="360" w:lineRule="auto"/>
        <w:rPr>
          <w:rFonts w:ascii="宋体" w:hAnsi="宋体" w:eastAsia="宋体" w:cs="宋体"/>
          <w:bCs w:val="0"/>
          <w:color w:val="000000"/>
          <w:sz w:val="24"/>
          <w:szCs w:val="24"/>
        </w:rPr>
      </w:pPr>
      <w:bookmarkStart w:id="4" w:name="_Toc497408602"/>
      <w:r>
        <w:rPr>
          <w:rFonts w:hint="eastAsia" w:ascii="宋体" w:hAnsi="宋体" w:eastAsia="宋体" w:cs="宋体"/>
          <w:bCs w:val="0"/>
          <w:color w:val="000000"/>
          <w:sz w:val="24"/>
          <w:szCs w:val="24"/>
        </w:rPr>
        <w:t xml:space="preserve">第三章 </w:t>
      </w:r>
      <w:bookmarkEnd w:id="2"/>
      <w:bookmarkEnd w:id="3"/>
      <w:r>
        <w:rPr>
          <w:rFonts w:hint="eastAsia" w:ascii="宋体" w:hAnsi="宋体" w:eastAsia="宋体" w:cs="宋体"/>
          <w:bCs w:val="0"/>
          <w:color w:val="000000"/>
          <w:sz w:val="24"/>
          <w:szCs w:val="24"/>
        </w:rPr>
        <w:t>合同与验收</w:t>
      </w:r>
      <w:bookmarkEnd w:id="4"/>
    </w:p>
    <w:p>
      <w:pPr>
        <w:spacing w:line="360" w:lineRule="auto"/>
        <w:rPr>
          <w:rFonts w:ascii="宋体" w:hAnsi="宋体"/>
          <w:b/>
          <w:sz w:val="24"/>
          <w:szCs w:val="24"/>
        </w:rPr>
      </w:pPr>
      <w:r>
        <w:rPr>
          <w:rFonts w:hint="eastAsia" w:ascii="宋体" w:hAnsi="宋体"/>
          <w:b/>
          <w:sz w:val="24"/>
          <w:szCs w:val="24"/>
        </w:rPr>
        <w:t>一.合同要求</w:t>
      </w:r>
    </w:p>
    <w:p>
      <w:pPr>
        <w:spacing w:line="360" w:lineRule="auto"/>
        <w:rPr>
          <w:rFonts w:ascii="宋体" w:hAnsi="宋体"/>
          <w:b/>
          <w:sz w:val="24"/>
          <w:szCs w:val="24"/>
        </w:rPr>
      </w:pPr>
      <w:r>
        <w:rPr>
          <w:rFonts w:hint="eastAsia" w:ascii="宋体" w:hAnsi="宋体"/>
          <w:b/>
          <w:sz w:val="24"/>
          <w:szCs w:val="24"/>
        </w:rPr>
        <w:t xml:space="preserve">    1.一般要求</w:t>
      </w:r>
    </w:p>
    <w:p>
      <w:pPr>
        <w:spacing w:line="360" w:lineRule="auto"/>
        <w:ind w:firstLine="480" w:firstLineChars="200"/>
        <w:rPr>
          <w:rFonts w:ascii="宋体" w:hAnsi="宋体"/>
          <w:sz w:val="24"/>
          <w:szCs w:val="24"/>
        </w:rPr>
      </w:pPr>
      <w:r>
        <w:rPr>
          <w:rFonts w:hint="eastAsia" w:ascii="宋体" w:hAnsi="宋体"/>
          <w:sz w:val="24"/>
          <w:szCs w:val="24"/>
        </w:rPr>
        <w:t>1.1采购人应当自成交通知书发出之日起30日内，按照磋商文件和成交供应商响应文件的规定，与成交供应商签订书面合同。所签订的合同不得对磋商文件确定的事项和成交供应商响应文件作实质性修改。</w:t>
      </w:r>
    </w:p>
    <w:p>
      <w:pPr>
        <w:spacing w:line="360" w:lineRule="auto"/>
        <w:ind w:firstLine="480" w:firstLineChars="200"/>
        <w:rPr>
          <w:rFonts w:ascii="宋体" w:hAnsi="宋体"/>
          <w:sz w:val="24"/>
          <w:szCs w:val="24"/>
        </w:rPr>
      </w:pPr>
      <w:r>
        <w:rPr>
          <w:rFonts w:hint="eastAsia" w:ascii="宋体" w:hAnsi="宋体"/>
          <w:sz w:val="24"/>
          <w:szCs w:val="24"/>
        </w:rPr>
        <w:t>合同签订双方不得提出任何不合理的要求作为签订合同的条件。</w:t>
      </w:r>
    </w:p>
    <w:p>
      <w:pPr>
        <w:spacing w:line="360" w:lineRule="auto"/>
        <w:ind w:firstLine="480" w:firstLineChars="200"/>
        <w:rPr>
          <w:rFonts w:ascii="宋体" w:hAnsi="宋体"/>
          <w:sz w:val="24"/>
          <w:szCs w:val="24"/>
        </w:rPr>
      </w:pPr>
      <w:r>
        <w:rPr>
          <w:rFonts w:hint="eastAsia" w:ascii="宋体" w:hAnsi="宋体"/>
          <w:sz w:val="24"/>
          <w:szCs w:val="24"/>
        </w:rPr>
        <w:t>1.2政府采购合同应当包括采购人与成交供应商的名称和住所、标的、数量、质量、价款或者报酬、履行期限及地点和方式、验收要求、违约责任、解决争议的方法等内容。</w:t>
      </w:r>
    </w:p>
    <w:p>
      <w:pPr>
        <w:spacing w:line="360" w:lineRule="auto"/>
        <w:ind w:firstLine="480" w:firstLineChars="200"/>
        <w:rPr>
          <w:rFonts w:ascii="宋体" w:hAnsi="宋体"/>
          <w:sz w:val="24"/>
          <w:szCs w:val="24"/>
        </w:rPr>
      </w:pPr>
      <w:r>
        <w:rPr>
          <w:rFonts w:hint="eastAsia" w:ascii="宋体" w:hAnsi="宋体"/>
          <w:sz w:val="24"/>
          <w:szCs w:val="24"/>
        </w:rPr>
        <w:t>1.3采购人与成交供应商应当根据合同的约定依法履行合同义务。</w:t>
      </w:r>
    </w:p>
    <w:p>
      <w:pPr>
        <w:spacing w:line="360" w:lineRule="auto"/>
        <w:ind w:firstLine="480" w:firstLineChars="200"/>
        <w:rPr>
          <w:rFonts w:ascii="宋体" w:hAnsi="宋体"/>
          <w:sz w:val="24"/>
          <w:szCs w:val="24"/>
        </w:rPr>
      </w:pPr>
      <w:r>
        <w:rPr>
          <w:rFonts w:hint="eastAsia" w:ascii="宋体" w:hAnsi="宋体"/>
          <w:sz w:val="24"/>
          <w:szCs w:val="24"/>
        </w:rPr>
        <w:t>政府采购合同的履行、违约责任和解决争议的方法等适用《中华人民共和国合同法》。</w:t>
      </w:r>
    </w:p>
    <w:p>
      <w:pPr>
        <w:spacing w:line="360" w:lineRule="auto"/>
        <w:ind w:firstLine="480" w:firstLineChars="200"/>
        <w:rPr>
          <w:rFonts w:ascii="宋体" w:hAnsi="宋体"/>
          <w:sz w:val="24"/>
          <w:szCs w:val="24"/>
        </w:rPr>
      </w:pPr>
      <w:r>
        <w:rPr>
          <w:rFonts w:hint="eastAsia" w:ascii="宋体" w:hAnsi="宋体"/>
          <w:sz w:val="24"/>
          <w:szCs w:val="24"/>
        </w:rPr>
        <w:t>政府采购合同的双方当事人不得擅自变更、中止或者终止合同。</w:t>
      </w:r>
    </w:p>
    <w:p>
      <w:pPr>
        <w:spacing w:line="360" w:lineRule="auto"/>
        <w:ind w:firstLine="480" w:firstLineChars="200"/>
        <w:rPr>
          <w:rFonts w:ascii="宋体" w:hAnsi="宋体"/>
          <w:sz w:val="24"/>
          <w:szCs w:val="24"/>
        </w:rPr>
      </w:pPr>
      <w:r>
        <w:rPr>
          <w:rFonts w:hint="eastAsia" w:ascii="宋体" w:hAnsi="宋体"/>
          <w:sz w:val="24"/>
          <w:szCs w:val="24"/>
        </w:rPr>
        <w:t>1.4拒绝签订采购合同的按照相关规定处理，并承担相应法律责任。</w:t>
      </w:r>
    </w:p>
    <w:p>
      <w:pPr>
        <w:spacing w:line="360" w:lineRule="auto"/>
        <w:ind w:firstLine="480" w:firstLineChars="200"/>
        <w:rPr>
          <w:rFonts w:ascii="宋体" w:hAnsi="宋体"/>
          <w:sz w:val="24"/>
          <w:szCs w:val="24"/>
        </w:rPr>
      </w:pPr>
      <w:r>
        <w:rPr>
          <w:rFonts w:hint="eastAsia" w:ascii="宋体" w:hAnsi="宋体"/>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hint="eastAsia" w:ascii="宋体" w:hAnsi="宋体"/>
          <w:sz w:val="24"/>
          <w:szCs w:val="24"/>
        </w:rPr>
        <w:t>、</w:t>
      </w:r>
      <w:r>
        <w:rPr>
          <w:rFonts w:ascii="宋体" w:hAnsi="宋体"/>
          <w:sz w:val="24"/>
          <w:szCs w:val="24"/>
        </w:rPr>
        <w:t>商业秘密的内容除外。</w:t>
      </w:r>
    </w:p>
    <w:p>
      <w:pPr>
        <w:spacing w:line="360" w:lineRule="auto"/>
        <w:ind w:firstLine="480" w:firstLineChars="200"/>
        <w:rPr>
          <w:rFonts w:ascii="宋体" w:hAnsi="宋体"/>
          <w:sz w:val="24"/>
          <w:szCs w:val="24"/>
        </w:rPr>
      </w:pPr>
      <w:r>
        <w:rPr>
          <w:rFonts w:hint="eastAsia" w:ascii="宋体" w:hAnsi="宋体"/>
          <w:sz w:val="24"/>
          <w:szCs w:val="24"/>
        </w:rPr>
        <w:t>自合同签订之日起2个工作日内，中标人应将政府采购合同送达至</w:t>
      </w:r>
      <w:r>
        <w:rPr>
          <w:rFonts w:hint="eastAsia" w:ascii="宋体" w:hAnsi="宋体"/>
          <w:sz w:val="24"/>
          <w:szCs w:val="24"/>
          <w:lang w:val="en-US" w:eastAsia="zh-CN"/>
        </w:rPr>
        <w:t>鄂尔多斯市金博工程项目管理有限公司</w:t>
      </w:r>
      <w:r>
        <w:rPr>
          <w:rFonts w:hint="eastAsia" w:ascii="宋体" w:hAnsi="宋体"/>
          <w:sz w:val="24"/>
          <w:szCs w:val="24"/>
        </w:rPr>
        <w:t>（联系人：</w:t>
      </w:r>
      <w:r>
        <w:rPr>
          <w:rFonts w:hint="eastAsia" w:ascii="宋体" w:hAnsi="宋体"/>
          <w:sz w:val="24"/>
          <w:szCs w:val="24"/>
          <w:lang w:val="en-US" w:eastAsia="zh-CN"/>
        </w:rPr>
        <w:t>林晓伟</w:t>
      </w:r>
      <w:r>
        <w:rPr>
          <w:rFonts w:hint="eastAsia" w:ascii="宋体" w:hAnsi="宋体"/>
          <w:sz w:val="24"/>
          <w:szCs w:val="24"/>
        </w:rPr>
        <w:t>，联系电话：</w:t>
      </w:r>
      <w:r>
        <w:rPr>
          <w:rFonts w:hint="eastAsia" w:ascii="宋体" w:hAnsi="宋体"/>
          <w:sz w:val="24"/>
          <w:szCs w:val="24"/>
          <w:lang w:eastAsia="zh-CN"/>
        </w:rPr>
        <w:t>18947706825</w:t>
      </w:r>
      <w:r>
        <w:rPr>
          <w:rFonts w:hint="eastAsia" w:ascii="宋体" w:hAnsi="宋体"/>
          <w:sz w:val="24"/>
          <w:szCs w:val="24"/>
        </w:rPr>
        <w:t>）存档，逾期未签订合同或未按时交回合同，将按照相关法律法规做出相应处罚。</w:t>
      </w:r>
    </w:p>
    <w:p>
      <w:pPr>
        <w:spacing w:line="360" w:lineRule="auto"/>
        <w:ind w:firstLine="482" w:firstLineChars="200"/>
        <w:rPr>
          <w:rFonts w:ascii="宋体" w:hAnsi="宋体"/>
          <w:b/>
          <w:sz w:val="24"/>
          <w:szCs w:val="24"/>
        </w:rPr>
      </w:pPr>
      <w:r>
        <w:rPr>
          <w:rFonts w:hint="eastAsia" w:ascii="宋体" w:hAnsi="宋体"/>
          <w:b/>
          <w:sz w:val="24"/>
          <w:szCs w:val="24"/>
        </w:rPr>
        <w:t>2. 合同格式及内容</w:t>
      </w:r>
    </w:p>
    <w:p>
      <w:pPr>
        <w:spacing w:line="360" w:lineRule="auto"/>
        <w:ind w:firstLine="480" w:firstLineChars="200"/>
        <w:rPr>
          <w:rFonts w:ascii="宋体" w:hAnsi="宋体"/>
          <w:sz w:val="24"/>
          <w:szCs w:val="24"/>
        </w:rPr>
      </w:pPr>
      <w:r>
        <w:rPr>
          <w:rFonts w:hint="eastAsia" w:ascii="宋体" w:hAnsi="宋体"/>
          <w:sz w:val="24"/>
          <w:szCs w:val="24"/>
        </w:rPr>
        <w:t>2.1具体格式见本磋商文件后附拟签订的《合同文本》（部分合同条款），响应文件中可以不提供《合同文本》。</w:t>
      </w:r>
    </w:p>
    <w:p>
      <w:pPr>
        <w:spacing w:line="360" w:lineRule="auto"/>
        <w:ind w:firstLine="480" w:firstLineChars="200"/>
        <w:rPr>
          <w:rFonts w:ascii="宋体" w:hAnsi="宋体"/>
          <w:sz w:val="24"/>
          <w:szCs w:val="24"/>
        </w:rPr>
      </w:pPr>
      <w:r>
        <w:rPr>
          <w:rFonts w:hint="eastAsia" w:ascii="宋体" w:hAnsi="宋体"/>
          <w:sz w:val="24"/>
          <w:szCs w:val="24"/>
        </w:rPr>
        <w:t>2.2《合同文本》的内容可以根据《合同法》和合同签订双方的实际要求进行修改，但不得改变范本中的实质性内容。</w:t>
      </w:r>
    </w:p>
    <w:p>
      <w:pPr>
        <w:spacing w:line="360" w:lineRule="auto"/>
        <w:rPr>
          <w:rFonts w:ascii="宋体" w:hAnsi="宋体"/>
          <w:b/>
          <w:sz w:val="24"/>
          <w:szCs w:val="24"/>
        </w:rPr>
      </w:pPr>
      <w:r>
        <w:rPr>
          <w:rFonts w:hint="eastAsia" w:ascii="宋体" w:hAnsi="宋体"/>
          <w:b/>
          <w:sz w:val="24"/>
          <w:szCs w:val="24"/>
        </w:rPr>
        <w:t>二.验收</w:t>
      </w:r>
    </w:p>
    <w:p>
      <w:pPr>
        <w:spacing w:line="360" w:lineRule="auto"/>
        <w:ind w:firstLine="480" w:firstLineChars="200"/>
        <w:rPr>
          <w:rFonts w:hAnsi="宋体"/>
          <w:sz w:val="24"/>
          <w:szCs w:val="24"/>
        </w:rPr>
      </w:pPr>
      <w:r>
        <w:rPr>
          <w:rFonts w:hint="eastAsia" w:ascii="宋体" w:hAnsi="宋体"/>
          <w:sz w:val="24"/>
          <w:szCs w:val="24"/>
        </w:rPr>
        <w:t>中标人在供货、工程竣工或服务结束后，采购人应及时组织验收，并按照招标文件、投标文件及合同约定填写验收单（下载地址：鄂尔多斯市公共资源交易网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政府采购相关范本）。验收合格后2个工作日内，中标人应将政府采购项目验收单送达至旗公共资源交易中心（联系人：</w:t>
      </w:r>
      <w:r>
        <w:rPr>
          <w:rFonts w:hint="eastAsia" w:ascii="宋体" w:hAnsi="宋体"/>
          <w:sz w:val="24"/>
          <w:szCs w:val="24"/>
          <w:lang w:val="en-US" w:eastAsia="zh-CN"/>
        </w:rPr>
        <w:t>林</w:t>
      </w:r>
      <w:r>
        <w:rPr>
          <w:rFonts w:hint="eastAsia" w:ascii="宋体" w:hAnsi="宋体"/>
          <w:sz w:val="24"/>
          <w:szCs w:val="24"/>
        </w:rPr>
        <w:t>先生，联系电话：</w:t>
      </w:r>
      <w:r>
        <w:rPr>
          <w:rFonts w:hint="eastAsia" w:ascii="宋体" w:hAnsi="宋体"/>
          <w:sz w:val="24"/>
          <w:szCs w:val="24"/>
          <w:lang w:eastAsia="zh-CN"/>
        </w:rPr>
        <w:t>18947706825</w:t>
      </w:r>
      <w:r>
        <w:rPr>
          <w:rFonts w:hint="eastAsia" w:ascii="宋体" w:hAnsi="宋体"/>
          <w:sz w:val="24"/>
          <w:szCs w:val="24"/>
        </w:rPr>
        <w:t xml:space="preserve"> ）存档。逾期未验收或未按时交回验收单，将按照相关法律法规做出相应处罚。</w:t>
      </w:r>
    </w:p>
    <w:p>
      <w:pPr>
        <w:jc w:val="both"/>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ascii="宋体" w:hAnsi="宋体"/>
          <w:b/>
          <w:bCs/>
          <w:color w:val="000000"/>
          <w:kern w:val="44"/>
          <w:sz w:val="24"/>
          <w:szCs w:val="24"/>
        </w:rPr>
      </w:pPr>
      <w:r>
        <w:rPr>
          <w:rFonts w:hint="eastAsia" w:ascii="宋体" w:hAnsi="宋体"/>
          <w:b/>
          <w:color w:val="000000"/>
          <w:sz w:val="24"/>
          <w:szCs w:val="24"/>
        </w:rPr>
        <w:t>政府采购合同（合同文本）</w:t>
      </w:r>
    </w:p>
    <w:p>
      <w:pPr>
        <w:rPr>
          <w:rFonts w:ascii="宋体" w:hAnsi="宋体"/>
          <w:b/>
          <w:sz w:val="44"/>
          <w:szCs w:val="44"/>
        </w:rPr>
      </w:pPr>
    </w:p>
    <w:p>
      <w:pPr>
        <w:rPr>
          <w:rFonts w:asciiTheme="minorEastAsia" w:hAnsiTheme="minorEastAsia" w:eastAsiaTheme="minorEastAsia"/>
          <w:b/>
          <w:color w:val="FF0000"/>
          <w:sz w:val="24"/>
          <w:szCs w:val="24"/>
        </w:rPr>
      </w:pPr>
      <w:r>
        <w:rPr>
          <w:rFonts w:hint="eastAsia" w:asciiTheme="minorEastAsia" w:hAnsiTheme="minorEastAsia" w:eastAsiaTheme="minorEastAsia"/>
          <w:b/>
          <w:sz w:val="24"/>
          <w:szCs w:val="24"/>
        </w:rPr>
        <w:t>甲方：</w:t>
      </w:r>
      <w:r>
        <w:rPr>
          <w:rFonts w:hint="eastAsia" w:ascii="宋体" w:hAnsi="宋体"/>
          <w:sz w:val="24"/>
          <w:szCs w:val="24"/>
          <w:u w:val="single"/>
          <w:lang w:eastAsia="zh-CN"/>
        </w:rPr>
        <w:t>鄂托克前旗农牧业综合开发中心</w:t>
      </w:r>
    </w:p>
    <w:p>
      <w:pPr>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rPr>
        <w:t>地址（详细地址）：</w:t>
      </w:r>
      <w:r>
        <w:rPr>
          <w:rFonts w:hint="eastAsia" w:asciiTheme="minorEastAsia" w:hAnsiTheme="minorEastAsia" w:eastAsiaTheme="minorEastAsia"/>
          <w:b w:val="0"/>
          <w:bCs/>
          <w:sz w:val="24"/>
          <w:szCs w:val="24"/>
          <w:u w:val="single"/>
          <w:lang w:val="en-US" w:eastAsia="zh-CN"/>
        </w:rPr>
        <w:t>鄂托克前旗敖勒召其镇</w:t>
      </w:r>
    </w:p>
    <w:p>
      <w:pPr>
        <w:rPr>
          <w:rFonts w:asciiTheme="minorEastAsia" w:hAnsiTheme="minorEastAsia" w:eastAsiaTheme="minorEastAsia"/>
          <w:b/>
          <w:color w:val="FF0000"/>
          <w:sz w:val="24"/>
          <w:szCs w:val="24"/>
        </w:rPr>
      </w:pPr>
      <w:r>
        <w:rPr>
          <w:rFonts w:hint="eastAsia" w:asciiTheme="minorEastAsia" w:hAnsiTheme="minorEastAsia" w:eastAsiaTheme="minorEastAsia"/>
          <w:b/>
          <w:sz w:val="24"/>
          <w:szCs w:val="24"/>
        </w:rPr>
        <w:t>乙方：</w:t>
      </w:r>
      <w:r>
        <w:rPr>
          <w:rFonts w:hint="eastAsia" w:asciiTheme="minorEastAsia" w:hAnsiTheme="minorEastAsia" w:eastAsiaTheme="minorEastAsia"/>
          <w:b/>
          <w:color w:val="FF0000"/>
          <w:sz w:val="24"/>
          <w:szCs w:val="24"/>
        </w:rPr>
        <w:t>***（填写中标供应商）</w:t>
      </w:r>
    </w:p>
    <w:p>
      <w:pPr>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地址（详细地址）：</w:t>
      </w:r>
    </w:p>
    <w:p>
      <w:pPr>
        <w:jc w:val="left"/>
        <w:rPr>
          <w:rFonts w:asciiTheme="minorEastAsia" w:hAnsiTheme="minorEastAsia" w:eastAsiaTheme="minorEastAsia"/>
          <w:sz w:val="24"/>
          <w:szCs w:val="24"/>
          <w:u w:val="single"/>
        </w:rPr>
      </w:pPr>
      <w:r>
        <w:rPr>
          <w:rFonts w:hint="eastAsia" w:asciiTheme="minorEastAsia" w:hAnsiTheme="minorEastAsia" w:eastAsiaTheme="minorEastAsia"/>
          <w:b w:val="0"/>
          <w:bCs/>
          <w:sz w:val="24"/>
          <w:szCs w:val="24"/>
        </w:rPr>
        <w:t>合同号：</w:t>
      </w:r>
      <w:r>
        <w:rPr>
          <w:rFonts w:hint="eastAsia" w:asciiTheme="minorEastAsia" w:hAnsiTheme="minorEastAsia" w:eastAsiaTheme="minorEastAsia"/>
          <w:sz w:val="24"/>
          <w:szCs w:val="24"/>
          <w:u w:val="single"/>
        </w:rPr>
        <w:t xml:space="preserve"> （填写签订合同一次性告知书中合同号 ） </w:t>
      </w:r>
    </w:p>
    <w:p>
      <w:pPr>
        <w:spacing w:line="15" w:lineRule="atLeast"/>
        <w:ind w:firstLine="646"/>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根据《中华人民共和国政府采购法》、《中华人民共和国合同法》等相关法律法规，甲、乙双方就</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eastAsia="zh-CN"/>
        </w:rPr>
        <w:t>十二五以来高标准农田建设评估及上图入库工作项目</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（政府采购项目批准书编号：</w:t>
      </w:r>
      <w:r>
        <w:rPr>
          <w:rFonts w:hint="eastAsia" w:asciiTheme="minorEastAsia" w:hAnsiTheme="minorEastAsia" w:eastAsiaTheme="minorEastAsia"/>
          <w:sz w:val="24"/>
          <w:szCs w:val="24"/>
          <w:u w:val="single"/>
        </w:rPr>
        <w:t>鄂财购</w:t>
      </w:r>
      <w:r>
        <w:rPr>
          <w:rFonts w:hint="eastAsia" w:asciiTheme="minorEastAsia" w:hAnsiTheme="minorEastAsia" w:eastAsiaTheme="minorEastAsia"/>
          <w:sz w:val="24"/>
          <w:szCs w:val="24"/>
          <w:u w:val="single"/>
          <w:lang w:val="en-US" w:eastAsia="zh-CN"/>
        </w:rPr>
        <w:t>准</w:t>
      </w:r>
      <w:r>
        <w:rPr>
          <w:rFonts w:hint="eastAsia" w:asciiTheme="minorEastAsia" w:hAnsiTheme="minorEastAsia" w:eastAsiaTheme="minorEastAsia"/>
          <w:sz w:val="24"/>
          <w:szCs w:val="24"/>
          <w:u w:val="single"/>
        </w:rPr>
        <w:t>字（电子）[2020]QQ</w:t>
      </w:r>
      <w:r>
        <w:rPr>
          <w:rFonts w:hint="eastAsia" w:asciiTheme="minorEastAsia" w:hAnsiTheme="minorEastAsia" w:eastAsiaTheme="minorEastAsia"/>
          <w:sz w:val="24"/>
          <w:szCs w:val="24"/>
          <w:u w:val="single"/>
          <w:lang w:val="en-US" w:eastAsia="zh-CN"/>
        </w:rPr>
        <w:t>00002</w:t>
      </w:r>
      <w:r>
        <w:rPr>
          <w:rFonts w:hint="eastAsia" w:asciiTheme="minorEastAsia" w:hAnsiTheme="minorEastAsia" w:eastAsiaTheme="minorEastAsia"/>
          <w:sz w:val="24"/>
          <w:szCs w:val="24"/>
          <w:u w:val="single"/>
        </w:rPr>
        <w:t>号</w:t>
      </w:r>
      <w:r>
        <w:rPr>
          <w:rFonts w:hint="eastAsia" w:asciiTheme="minorEastAsia" w:hAnsiTheme="minorEastAsia" w:eastAsiaTheme="minorEastAsia"/>
          <w:sz w:val="24"/>
          <w:szCs w:val="24"/>
          <w:u w:val="none"/>
        </w:rPr>
        <w:t>）</w:t>
      </w:r>
      <w:r>
        <w:rPr>
          <w:rFonts w:hint="eastAsia" w:asciiTheme="minorEastAsia" w:hAnsiTheme="minorEastAsia" w:eastAsiaTheme="minorEastAsia"/>
          <w:sz w:val="24"/>
          <w:szCs w:val="24"/>
        </w:rPr>
        <w:t>，经平等自愿协商一致达成合同如下：</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一、合同文件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本合同所附下列文件是构成本合同不可分割的部分：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1、合同格式以及合同条款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2、中标结果公告及中标通知书</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3、磋商文件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4、响应文件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5、变更合同</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二、本合同所提供的服务以磋商文件、响应文件要求的相关服务要求为主。后附主要服务内容清单。</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三、合同金额</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合同金额为人民币万元，大写：</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四、付款方式及时间</w:t>
      </w:r>
    </w:p>
    <w:p>
      <w:pPr>
        <w:spacing w:line="15" w:lineRule="atLeast"/>
        <w:ind w:firstLine="600" w:firstLineChars="250"/>
        <w:jc w:val="left"/>
        <w:rPr>
          <w:rFonts w:asciiTheme="minorEastAsia" w:hAnsiTheme="minorEastAsia" w:eastAsiaTheme="minorEastAsia"/>
          <w:sz w:val="24"/>
          <w:szCs w:val="24"/>
        </w:rPr>
      </w:pPr>
      <w:r>
        <w:rPr>
          <w:rFonts w:hint="eastAsia" w:cs="宋体" w:asciiTheme="minorEastAsia" w:hAnsiTheme="minorEastAsia" w:eastAsiaTheme="minorEastAsia"/>
          <w:color w:val="FF6600"/>
          <w:sz w:val="24"/>
          <w:szCs w:val="24"/>
        </w:rPr>
        <w:t>***（见磋商文件第四章）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五、提供服务时间、地点</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1、服务期限：</w:t>
      </w:r>
      <w:r>
        <w:rPr>
          <w:rFonts w:asciiTheme="minorEastAsia" w:hAnsiTheme="minorEastAsia" w:eastAsiaTheme="minorEastAsia"/>
          <w:sz w:val="24"/>
          <w:szCs w:val="24"/>
        </w:rPr>
        <w:t xml:space="preserve"> </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2、服务地点：</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六、知识产权</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乙方应保证甲方在中国境内使用标的物或标的物的任何一部分时，免受第三方提出的侵犯其知识产权的诉讼。</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七、验收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1、由甲乙双方及第三方（如有）按照磋商文件、响应文件及合同要求，一同对服务内容验收并签字确认。</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2、验收不合格的甲方可以解除合同且不承担任何法律责任。</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八、服务方案</w:t>
      </w:r>
    </w:p>
    <w:p>
      <w:pPr>
        <w:spacing w:line="15" w:lineRule="atLeast"/>
        <w:ind w:firstLine="720" w:firstLineChars="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乙方应按磋商文件、响应文件中做出的书面说明或承诺提供服务。</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九、违约条款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1、乙方逾期提供服务、甲方逾期付款，按日承担违约部分合同金额的违约金。</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2、其他违约责任以相关法律法规规定为准，无相关规定的，双方协商解决。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十、不可抗力条款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因不可抗力致使一方不能及时或完全履行合同的，应及时通知另一方，双方互不承担责任，并在天内提供有关不可抗力的相关证明。合同未履行部分是否继续履行、如何履行等问题，双方协商解决。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十一、争议的解决方式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合同发生纠纷时，双方应协商解决，协商不成可以采用下列方式解决：</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1、提交仲裁委员会仲裁。</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2、向人民法院起诉。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十二、合同保存</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合同文本一式五份，采购单位、供应商、政府采购监管部门、市采购代理机构、国库支付执行机构各一份，自双方签订之日起生效。</w:t>
      </w:r>
    </w:p>
    <w:p>
      <w:pPr>
        <w:numPr>
          <w:ilvl w:val="0"/>
          <w:numId w:val="0"/>
        </w:numPr>
        <w:spacing w:line="15" w:lineRule="atLeast"/>
        <w:ind w:firstLine="720" w:firstLineChars="300"/>
        <w:jc w:val="left"/>
      </w:pPr>
      <w:r>
        <w:rPr>
          <w:rFonts w:hint="eastAsia" w:asciiTheme="minorEastAsia" w:hAnsiTheme="minorEastAsia" w:eastAsiaTheme="minorEastAsia"/>
          <w:sz w:val="24"/>
          <w:szCs w:val="24"/>
          <w:lang w:val="en-US" w:eastAsia="zh-CN"/>
        </w:rPr>
        <w:t>十三、</w:t>
      </w:r>
      <w:r>
        <w:rPr>
          <w:rFonts w:asciiTheme="minorEastAsia" w:hAnsiTheme="minorEastAsia" w:eastAsiaTheme="minorEastAsia"/>
          <w:sz w:val="24"/>
          <w:szCs w:val="24"/>
        </w:rPr>
        <w:t>合同未尽事宜，双方另行签订补充协议，补充协议是合同的组成部分。</w:t>
      </w:r>
    </w:p>
    <w:p>
      <w:pPr>
        <w:pStyle w:val="23"/>
      </w:pP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 （章）                              乙 方： （章）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采购方法人代表：       （签字）             供应商法人代表：       （签字）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开户银行：                                  开户银行：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帐    号：                                  帐    号：</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15" w:lineRule="atLeast"/>
        <w:ind w:firstLine="4440" w:firstLineChars="18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签订时间     年  月  日</w:t>
      </w:r>
    </w:p>
    <w:p>
      <w:pPr>
        <w:ind w:firstLine="645"/>
        <w:jc w:val="left"/>
        <w:rPr>
          <w:rFonts w:asciiTheme="minorEastAsia" w:hAnsiTheme="minorEastAsia" w:eastAsiaTheme="minorEastAsia"/>
          <w:sz w:val="24"/>
          <w:szCs w:val="24"/>
        </w:rPr>
      </w:pPr>
    </w:p>
    <w:p>
      <w:pPr>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附表：服务内容</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9"/>
        <w:gridCol w:w="2072"/>
        <w:gridCol w:w="1354"/>
        <w:gridCol w:w="1090"/>
        <w:gridCol w:w="1092"/>
        <w:gridCol w:w="1419"/>
        <w:gridCol w:w="10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tcBorders>
              <w:top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序号</w:t>
            </w:r>
          </w:p>
        </w:tc>
        <w:tc>
          <w:tcPr>
            <w:tcW w:w="2072" w:type="dxa"/>
            <w:tcBorders>
              <w:top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服务内容名称</w:t>
            </w:r>
          </w:p>
        </w:tc>
        <w:tc>
          <w:tcPr>
            <w:tcW w:w="1354" w:type="dxa"/>
            <w:tcBorders>
              <w:top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服务内容简述</w:t>
            </w:r>
          </w:p>
        </w:tc>
        <w:tc>
          <w:tcPr>
            <w:tcW w:w="1090" w:type="dxa"/>
            <w:tcBorders>
              <w:top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数量及单位</w:t>
            </w:r>
          </w:p>
        </w:tc>
        <w:tc>
          <w:tcPr>
            <w:tcW w:w="1092"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单价（元）</w:t>
            </w:r>
          </w:p>
        </w:tc>
        <w:tc>
          <w:tcPr>
            <w:tcW w:w="1419" w:type="dxa"/>
            <w:tcBorders>
              <w:top w:val="single" w:color="auto" w:sz="4" w:space="0"/>
              <w:lef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总价（元）</w:t>
            </w:r>
          </w:p>
        </w:tc>
        <w:tc>
          <w:tcPr>
            <w:tcW w:w="1082" w:type="dxa"/>
            <w:tcBorders>
              <w:top w:val="single" w:color="auto" w:sz="4" w:space="0"/>
              <w:lef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1</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2</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3</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4</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hint="eastAsia" w:ascii="宋体" w:hAnsi="宋体" w:cs="宋体"/>
                <w:sz w:val="24"/>
                <w:szCs w:val="24"/>
              </w:rPr>
              <w:t>…</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tcBorders>
              <w:bottom w:val="single" w:color="auto" w:sz="4" w:space="0"/>
            </w:tcBorders>
            <w:vAlign w:val="center"/>
          </w:tcPr>
          <w:p>
            <w:pPr>
              <w:adjustRightInd w:val="0"/>
              <w:snapToGrid w:val="0"/>
              <w:spacing w:line="360" w:lineRule="auto"/>
              <w:ind w:left="-118" w:leftChars="-42"/>
              <w:jc w:val="center"/>
              <w:rPr>
                <w:rFonts w:ascii="宋体"/>
                <w:sz w:val="24"/>
                <w:szCs w:val="24"/>
              </w:rPr>
            </w:pPr>
            <w:r>
              <w:rPr>
                <w:rFonts w:hint="eastAsia" w:ascii="宋体" w:hAnsi="宋体" w:cs="宋体"/>
                <w:sz w:val="24"/>
                <w:szCs w:val="24"/>
              </w:rPr>
              <w:t>合计</w:t>
            </w:r>
          </w:p>
        </w:tc>
        <w:tc>
          <w:tcPr>
            <w:tcW w:w="2072" w:type="dxa"/>
            <w:tcBorders>
              <w:bottom w:val="single" w:color="auto" w:sz="4" w:space="0"/>
            </w:tcBorders>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sz w:val="24"/>
                <w:szCs w:val="24"/>
              </w:rPr>
            </w:pPr>
          </w:p>
        </w:tc>
      </w:tr>
    </w:tbl>
    <w:p>
      <w:pPr>
        <w:jc w:val="center"/>
        <w:outlineLvl w:val="0"/>
        <w:rPr>
          <w:rFonts w:ascii="宋体" w:hAnsi="宋体"/>
          <w:b/>
          <w:bCs/>
          <w:color w:val="000000"/>
          <w:kern w:val="44"/>
          <w:sz w:val="24"/>
          <w:szCs w:val="24"/>
          <w:lang w:val="zh-CN"/>
        </w:rPr>
      </w:pPr>
      <w:r>
        <w:rPr>
          <w:rFonts w:ascii="宋体" w:hAnsi="宋体"/>
          <w:b/>
          <w:bCs/>
          <w:color w:val="000000"/>
          <w:kern w:val="44"/>
          <w:sz w:val="24"/>
          <w:szCs w:val="24"/>
          <w:lang w:val="zh-CN"/>
        </w:rPr>
        <w:br w:type="page"/>
      </w:r>
    </w:p>
    <w:p>
      <w:pPr>
        <w:jc w:val="center"/>
        <w:outlineLvl w:val="0"/>
        <w:rPr>
          <w:rFonts w:ascii="宋体" w:hAnsi="宋体"/>
          <w:b/>
          <w:bCs/>
          <w:color w:val="000000" w:themeColor="text1"/>
          <w:kern w:val="44"/>
          <w:sz w:val="24"/>
          <w:szCs w:val="24"/>
          <w:lang w:val="zh-CN"/>
          <w14:textFill>
            <w14:solidFill>
              <w14:schemeClr w14:val="tx1"/>
            </w14:solidFill>
          </w14:textFill>
        </w:rPr>
      </w:pPr>
      <w:bookmarkStart w:id="5" w:name="_Toc497408603"/>
      <w:r>
        <w:rPr>
          <w:rFonts w:hint="eastAsia" w:ascii="宋体" w:hAnsi="宋体"/>
          <w:b/>
          <w:bCs/>
          <w:color w:val="000000" w:themeColor="text1"/>
          <w:kern w:val="44"/>
          <w:sz w:val="24"/>
          <w:szCs w:val="24"/>
          <w:lang w:val="zh-CN"/>
          <w14:textFill>
            <w14:solidFill>
              <w14:schemeClr w14:val="tx1"/>
            </w14:solidFill>
          </w14:textFill>
        </w:rPr>
        <w:t>第四章 磋商内容与技术</w:t>
      </w:r>
      <w:r>
        <w:rPr>
          <w:rFonts w:hint="eastAsia" w:ascii="宋体" w:hAnsi="宋体"/>
          <w:b/>
          <w:bCs/>
          <w:color w:val="000000" w:themeColor="text1"/>
          <w:kern w:val="44"/>
          <w:sz w:val="24"/>
          <w:szCs w:val="24"/>
          <w:lang w:val="en-US" w:eastAsia="zh-CN"/>
          <w14:textFill>
            <w14:solidFill>
              <w14:schemeClr w14:val="tx1"/>
            </w14:solidFill>
          </w14:textFill>
        </w:rPr>
        <w:t xml:space="preserve">  </w:t>
      </w:r>
      <w:r>
        <w:rPr>
          <w:rFonts w:hint="eastAsia" w:ascii="宋体" w:hAnsi="宋体"/>
          <w:b/>
          <w:bCs/>
          <w:color w:val="000000" w:themeColor="text1"/>
          <w:kern w:val="44"/>
          <w:sz w:val="24"/>
          <w:szCs w:val="24"/>
          <w:lang w:val="zh-CN"/>
          <w14:textFill>
            <w14:solidFill>
              <w14:schemeClr w14:val="tx1"/>
            </w14:solidFill>
          </w14:textFill>
        </w:rPr>
        <w:t>要求</w:t>
      </w:r>
      <w:bookmarkEnd w:id="5"/>
    </w:p>
    <w:p>
      <w:pPr>
        <w:jc w:val="left"/>
        <w:rPr>
          <w:rFonts w:hAnsi="宋体"/>
          <w:color w:val="000000" w:themeColor="text1"/>
          <w:sz w:val="24"/>
          <w:szCs w:val="24"/>
          <w14:textFill>
            <w14:solidFill>
              <w14:schemeClr w14:val="tx1"/>
            </w14:solidFill>
          </w14:textFill>
        </w:rPr>
      </w:pPr>
      <w:r>
        <w:rPr>
          <w:rFonts w:hint="eastAsia" w:ascii="宋体" w:hAnsi="宋体"/>
          <w:b/>
          <w:bCs/>
          <w:color w:val="000000" w:themeColor="text1"/>
          <w:kern w:val="44"/>
          <w:sz w:val="24"/>
          <w:szCs w:val="24"/>
          <w:lang w:val="zh-CN"/>
          <w14:textFill>
            <w14:solidFill>
              <w14:schemeClr w14:val="tx1"/>
            </w14:solidFill>
          </w14:textFill>
        </w:rPr>
        <w:t>一.主要商务要求</w:t>
      </w:r>
    </w:p>
    <w:tbl>
      <w:tblPr>
        <w:tblStyle w:val="27"/>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6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8" w:type="dxa"/>
            <w:vAlign w:val="center"/>
          </w:tcPr>
          <w:p>
            <w:pPr>
              <w:pStyle w:val="49"/>
              <w:ind w:firstLine="0" w:firstLineChars="0"/>
              <w:jc w:val="center"/>
              <w:rPr>
                <w:rFonts w:ascii="宋体" w:hAnsi="宋体"/>
                <w:color w:val="000000" w:themeColor="text1"/>
                <w:sz w:val="24"/>
                <w:szCs w:val="24"/>
                <w14:textFill>
                  <w14:solidFill>
                    <w14:schemeClr w14:val="tx1"/>
                  </w14:solidFill>
                </w14:textFill>
              </w:rPr>
            </w:pPr>
            <w:bookmarkStart w:id="6" w:name="_Toc491862079"/>
            <w:r>
              <w:rPr>
                <w:rFonts w:hint="eastAsia" w:ascii="宋体" w:hAnsi="宋体"/>
                <w:color w:val="000000" w:themeColor="text1"/>
                <w:sz w:val="24"/>
                <w:szCs w:val="24"/>
                <w14:textFill>
                  <w14:solidFill>
                    <w14:schemeClr w14:val="tx1"/>
                  </w14:solidFill>
                </w14:textFill>
              </w:rPr>
              <w:t xml:space="preserve">   主要商务条款</w:t>
            </w:r>
            <w:bookmarkEnd w:id="6"/>
          </w:p>
        </w:tc>
        <w:tc>
          <w:tcPr>
            <w:tcW w:w="6873" w:type="dxa"/>
            <w:vAlign w:val="center"/>
          </w:tcPr>
          <w:p>
            <w:pPr>
              <w:pStyle w:val="49"/>
              <w:ind w:firstLine="0" w:firstLineChars="0"/>
              <w:jc w:val="center"/>
              <w:rPr>
                <w:rFonts w:ascii="宋体" w:hAnsi="宋体"/>
                <w:color w:val="000000" w:themeColor="text1"/>
                <w:sz w:val="24"/>
                <w:szCs w:val="24"/>
                <w14:textFill>
                  <w14:solidFill>
                    <w14:schemeClr w14:val="tx1"/>
                  </w14:solidFill>
                </w14:textFill>
              </w:rPr>
            </w:pPr>
            <w:bookmarkStart w:id="7" w:name="_Toc491862080"/>
            <w:r>
              <w:rPr>
                <w:rFonts w:hint="eastAsia" w:ascii="宋体" w:hAnsi="宋体"/>
                <w:color w:val="000000" w:themeColor="text1"/>
                <w:sz w:val="24"/>
                <w:szCs w:val="24"/>
                <w14:textFill>
                  <w14:solidFill>
                    <w14:schemeClr w14:val="tx1"/>
                  </w14:solidFill>
                </w14:textFill>
              </w:rPr>
              <w:t>具体要求</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8" w:type="dxa"/>
            <w:vAlign w:val="center"/>
          </w:tcPr>
          <w:p>
            <w:pPr>
              <w:pStyle w:val="49"/>
              <w:ind w:firstLine="0" w:firstLineChars="0"/>
              <w:jc w:val="center"/>
              <w:rPr>
                <w:rFonts w:ascii="宋体" w:hAnsi="宋体"/>
                <w:color w:val="000000" w:themeColor="text1"/>
                <w:sz w:val="24"/>
                <w:szCs w:val="24"/>
                <w14:textFill>
                  <w14:solidFill>
                    <w14:schemeClr w14:val="tx1"/>
                  </w14:solidFill>
                </w14:textFill>
              </w:rPr>
            </w:pPr>
            <w:bookmarkStart w:id="8" w:name="_Toc491862082"/>
            <w:r>
              <w:rPr>
                <w:rFonts w:hint="eastAsia" w:ascii="宋体" w:hAnsi="宋体"/>
                <w:color w:val="000000" w:themeColor="text1"/>
                <w:sz w:val="24"/>
                <w:szCs w:val="24"/>
                <w14:textFill>
                  <w14:solidFill>
                    <w14:schemeClr w14:val="tx1"/>
                  </w14:solidFill>
                </w14:textFill>
              </w:rPr>
              <w:t xml:space="preserve">  采购预算</w:t>
            </w:r>
            <w:bookmarkEnd w:id="8"/>
          </w:p>
        </w:tc>
        <w:tc>
          <w:tcPr>
            <w:tcW w:w="6873" w:type="dxa"/>
            <w:vAlign w:val="center"/>
          </w:tcPr>
          <w:p>
            <w:pPr>
              <w:rPr>
                <w:rFonts w:hint="eastAsia" w:ascii="宋体" w:hAnsi="宋体"/>
                <w:color w:val="auto"/>
                <w:sz w:val="24"/>
                <w:szCs w:val="24"/>
                <w:lang w:val="en-US" w:eastAsia="zh-CN"/>
              </w:rPr>
            </w:pPr>
            <w:bookmarkStart w:id="9" w:name="_Toc491862083"/>
            <w:r>
              <w:rPr>
                <w:rFonts w:hint="eastAsia" w:ascii="宋体" w:hAnsi="宋体"/>
                <w:color w:val="auto"/>
                <w:sz w:val="24"/>
                <w:szCs w:val="24"/>
                <w:lang w:val="en-US" w:eastAsia="zh-CN"/>
              </w:rPr>
              <w:t>总预算为</w:t>
            </w:r>
            <w:r>
              <w:rPr>
                <w:rFonts w:hint="eastAsia" w:ascii="宋体" w:hAnsi="宋体"/>
                <w:color w:val="auto"/>
                <w:sz w:val="24"/>
                <w:szCs w:val="24"/>
                <w:lang w:eastAsia="zh-CN"/>
              </w:rPr>
              <w:t>601060</w:t>
            </w:r>
            <w:r>
              <w:rPr>
                <w:rFonts w:ascii="宋体" w:hAnsi="宋体"/>
                <w:color w:val="auto"/>
                <w:sz w:val="24"/>
                <w:szCs w:val="24"/>
              </w:rPr>
              <w:t>.00</w:t>
            </w:r>
            <w:r>
              <w:rPr>
                <w:rFonts w:hint="eastAsia" w:ascii="宋体" w:hAnsi="宋体"/>
                <w:color w:val="auto"/>
                <w:sz w:val="24"/>
                <w:szCs w:val="24"/>
              </w:rPr>
              <w:t>元</w:t>
            </w:r>
            <w:bookmarkEnd w:id="9"/>
            <w:r>
              <w:rPr>
                <w:rFonts w:hint="eastAsia" w:ascii="宋体" w:hAnsi="宋体"/>
                <w:color w:val="auto"/>
                <w:sz w:val="24"/>
                <w:szCs w:val="24"/>
                <w:lang w:eastAsia="zh-CN"/>
              </w:rPr>
              <w:t>，</w:t>
            </w:r>
            <w:r>
              <w:rPr>
                <w:rFonts w:hint="eastAsia" w:ascii="宋体" w:hAnsi="宋体"/>
                <w:color w:val="auto"/>
                <w:sz w:val="24"/>
                <w:szCs w:val="24"/>
                <w:lang w:val="en-US" w:eastAsia="zh-CN"/>
              </w:rPr>
              <w:t>其中：</w:t>
            </w:r>
          </w:p>
          <w:p>
            <w:pPr>
              <w:numPr>
                <w:ilvl w:val="0"/>
                <w:numId w:val="2"/>
              </w:numPr>
              <w:rPr>
                <w:rFonts w:hint="eastAsia" w:ascii="宋体" w:hAnsi="宋体"/>
                <w:color w:val="auto"/>
                <w:sz w:val="24"/>
                <w:szCs w:val="24"/>
                <w:lang w:val="en-US" w:eastAsia="zh-CN"/>
              </w:rPr>
            </w:pPr>
            <w:r>
              <w:rPr>
                <w:rFonts w:hint="eastAsia" w:ascii="宋体" w:hAnsi="宋体"/>
                <w:color w:val="auto"/>
                <w:sz w:val="24"/>
                <w:szCs w:val="24"/>
                <w:lang w:eastAsia="zh-CN"/>
              </w:rPr>
              <w:t>“十二五”以来各类农田建设项目实地勘察评价及上图入库：</w:t>
            </w:r>
            <w:r>
              <w:rPr>
                <w:rFonts w:hint="eastAsia" w:ascii="宋体" w:hAnsi="宋体"/>
                <w:color w:val="auto"/>
                <w:sz w:val="24"/>
                <w:szCs w:val="24"/>
                <w:lang w:val="en-US" w:eastAsia="zh-CN"/>
              </w:rPr>
              <w:t>495460.00元</w:t>
            </w:r>
          </w:p>
          <w:p>
            <w:pPr>
              <w:numPr>
                <w:ilvl w:val="0"/>
                <w:numId w:val="0"/>
              </w:numP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w:t>
            </w:r>
            <w:r>
              <w:rPr>
                <w:rFonts w:hint="eastAsia" w:ascii="宋体" w:hAnsi="宋体"/>
                <w:color w:val="auto"/>
                <w:sz w:val="24"/>
                <w:szCs w:val="24"/>
                <w:lang w:eastAsia="zh-CN"/>
              </w:rPr>
              <w:t>三年（</w:t>
            </w:r>
            <w:r>
              <w:rPr>
                <w:rFonts w:hint="eastAsia" w:ascii="宋体" w:hAnsi="宋体"/>
                <w:color w:val="auto"/>
                <w:sz w:val="24"/>
                <w:szCs w:val="24"/>
                <w:lang w:val="en-US" w:eastAsia="zh-CN"/>
              </w:rPr>
              <w:t>2020-2022</w:t>
            </w:r>
            <w:r>
              <w:rPr>
                <w:rFonts w:hint="eastAsia" w:ascii="宋体" w:hAnsi="宋体"/>
                <w:color w:val="auto"/>
                <w:sz w:val="24"/>
                <w:szCs w:val="24"/>
                <w:lang w:eastAsia="zh-CN"/>
              </w:rPr>
              <w:t>）规划工作：</w:t>
            </w:r>
            <w:r>
              <w:rPr>
                <w:rFonts w:hint="eastAsia" w:ascii="宋体" w:hAnsi="宋体"/>
                <w:color w:val="auto"/>
                <w:sz w:val="24"/>
                <w:szCs w:val="24"/>
                <w:lang w:val="en-US" w:eastAsia="zh-CN"/>
              </w:rPr>
              <w:t>105600.00元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8" w:type="dxa"/>
            <w:vAlign w:val="center"/>
          </w:tcPr>
          <w:p>
            <w:pPr>
              <w:spacing w:line="360" w:lineRule="auto"/>
              <w:ind w:right="-140" w:rightChars="-50"/>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服务期</w:t>
            </w:r>
          </w:p>
        </w:tc>
        <w:tc>
          <w:tcPr>
            <w:tcW w:w="6873" w:type="dxa"/>
            <w:vAlign w:val="center"/>
          </w:tcPr>
          <w:p>
            <w:pPr>
              <w:spacing w:line="360" w:lineRule="auto"/>
              <w:ind w:right="-140" w:rightChars="-50"/>
              <w:rPr>
                <w:rFonts w:hint="eastAsia" w:ascii="宋体" w:hAnsi="宋体"/>
                <w:color w:val="auto"/>
                <w:sz w:val="24"/>
                <w:szCs w:val="24"/>
                <w:lang w:eastAsia="zh-CN"/>
              </w:rPr>
            </w:pPr>
            <w:r>
              <w:rPr>
                <w:rFonts w:hint="eastAsia" w:ascii="宋体" w:hAnsi="宋体"/>
                <w:color w:val="auto"/>
                <w:sz w:val="24"/>
                <w:szCs w:val="24"/>
                <w:lang w:eastAsia="zh-CN"/>
              </w:rPr>
              <w:t>20</w:t>
            </w:r>
            <w:r>
              <w:rPr>
                <w:rFonts w:hint="eastAsia" w:ascii="宋体" w:hAnsi="宋体"/>
                <w:color w:val="auto"/>
                <w:sz w:val="24"/>
                <w:szCs w:val="24"/>
                <w:lang w:val="en-US" w:eastAsia="zh-CN"/>
              </w:rPr>
              <w:t>20</w:t>
            </w:r>
            <w:r>
              <w:rPr>
                <w:rFonts w:hint="eastAsia" w:ascii="宋体" w:hAnsi="宋体"/>
                <w:color w:val="auto"/>
                <w:sz w:val="24"/>
                <w:szCs w:val="24"/>
                <w:lang w:eastAsia="zh-CN"/>
              </w:rPr>
              <w:t>年</w:t>
            </w:r>
            <w:r>
              <w:rPr>
                <w:rFonts w:hint="eastAsia" w:ascii="宋体" w:hAnsi="宋体"/>
                <w:color w:val="auto"/>
                <w:sz w:val="24"/>
                <w:szCs w:val="24"/>
                <w:lang w:val="en-US" w:eastAsia="zh-CN"/>
              </w:rPr>
              <w:t>4</w:t>
            </w:r>
            <w:r>
              <w:rPr>
                <w:rFonts w:hint="eastAsia" w:ascii="宋体" w:hAnsi="宋体"/>
                <w:color w:val="auto"/>
                <w:sz w:val="24"/>
                <w:szCs w:val="24"/>
                <w:lang w:eastAsia="zh-CN"/>
              </w:rPr>
              <w:t>月1</w:t>
            </w:r>
            <w:r>
              <w:rPr>
                <w:rFonts w:hint="eastAsia" w:ascii="宋体" w:hAnsi="宋体"/>
                <w:color w:val="auto"/>
                <w:sz w:val="24"/>
                <w:szCs w:val="24"/>
                <w:lang w:val="en-US" w:eastAsia="zh-CN"/>
              </w:rPr>
              <w:t>5</w:t>
            </w:r>
            <w:r>
              <w:rPr>
                <w:rFonts w:hint="eastAsia" w:ascii="宋体" w:hAnsi="宋体"/>
                <w:color w:val="auto"/>
                <w:sz w:val="24"/>
                <w:szCs w:val="24"/>
                <w:lang w:eastAsia="zh-CN"/>
              </w:rPr>
              <w:t>日至202</w:t>
            </w:r>
            <w:r>
              <w:rPr>
                <w:rFonts w:hint="eastAsia" w:ascii="宋体" w:hAnsi="宋体"/>
                <w:color w:val="auto"/>
                <w:sz w:val="24"/>
                <w:szCs w:val="24"/>
                <w:lang w:val="en-US" w:eastAsia="zh-CN"/>
              </w:rPr>
              <w:t>0</w:t>
            </w:r>
            <w:r>
              <w:rPr>
                <w:rFonts w:hint="eastAsia" w:ascii="宋体" w:hAnsi="宋体"/>
                <w:color w:val="auto"/>
                <w:sz w:val="24"/>
                <w:szCs w:val="24"/>
                <w:lang w:eastAsia="zh-CN"/>
              </w:rPr>
              <w:t>年</w:t>
            </w:r>
            <w:r>
              <w:rPr>
                <w:rFonts w:hint="eastAsia" w:ascii="宋体" w:hAnsi="宋体"/>
                <w:color w:val="auto"/>
                <w:sz w:val="24"/>
                <w:szCs w:val="24"/>
                <w:lang w:val="en-US" w:eastAsia="zh-CN"/>
              </w:rPr>
              <w:t>6</w:t>
            </w:r>
            <w:r>
              <w:rPr>
                <w:rFonts w:hint="eastAsia" w:ascii="宋体" w:hAnsi="宋体"/>
                <w:color w:val="auto"/>
                <w:sz w:val="24"/>
                <w:szCs w:val="24"/>
                <w:lang w:eastAsia="zh-CN"/>
              </w:rPr>
              <w:t>月</w:t>
            </w:r>
            <w:r>
              <w:rPr>
                <w:rFonts w:hint="eastAsia" w:ascii="宋体" w:hAnsi="宋体"/>
                <w:color w:val="auto"/>
                <w:sz w:val="24"/>
                <w:szCs w:val="24"/>
                <w:lang w:val="en-US" w:eastAsia="zh-CN"/>
              </w:rPr>
              <w:t>15</w:t>
            </w:r>
            <w:r>
              <w:rPr>
                <w:rFonts w:hint="eastAsia" w:ascii="宋体" w:hAnsi="宋体"/>
                <w:color w:val="auto"/>
                <w:sz w:val="24"/>
                <w:szCs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8" w:type="dxa"/>
            <w:vAlign w:val="center"/>
          </w:tcPr>
          <w:p>
            <w:pPr>
              <w:spacing w:line="360" w:lineRule="auto"/>
              <w:ind w:right="-140" w:rightChars="-50"/>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服务内容</w:t>
            </w:r>
          </w:p>
        </w:tc>
        <w:tc>
          <w:tcPr>
            <w:tcW w:w="6873" w:type="dxa"/>
            <w:vAlign w:val="center"/>
          </w:tcPr>
          <w:p>
            <w:pPr>
              <w:spacing w:line="360" w:lineRule="auto"/>
              <w:ind w:right="-140" w:rightChars="-50"/>
              <w:rPr>
                <w:rFonts w:hint="eastAsia" w:ascii="宋体" w:hAnsi="宋体"/>
                <w:color w:val="auto"/>
                <w:sz w:val="24"/>
                <w:szCs w:val="24"/>
                <w:lang w:eastAsia="zh-CN"/>
              </w:rPr>
            </w:pPr>
            <w:r>
              <w:rPr>
                <w:rFonts w:hint="eastAsia" w:ascii="宋体" w:hAnsi="宋体"/>
                <w:color w:val="auto"/>
                <w:sz w:val="24"/>
                <w:szCs w:val="24"/>
                <w:lang w:eastAsia="zh-CN"/>
              </w:rPr>
              <w:t>“十二五”以来各类农田建设项目实地勘察评价及上图入库和三年（</w:t>
            </w:r>
            <w:r>
              <w:rPr>
                <w:rFonts w:hint="eastAsia" w:ascii="宋体" w:hAnsi="宋体"/>
                <w:color w:val="auto"/>
                <w:sz w:val="24"/>
                <w:szCs w:val="24"/>
                <w:lang w:val="en-US" w:eastAsia="zh-CN"/>
              </w:rPr>
              <w:t>2020-2022</w:t>
            </w:r>
            <w:r>
              <w:rPr>
                <w:rFonts w:hint="eastAsia" w:ascii="宋体" w:hAnsi="宋体"/>
                <w:color w:val="auto"/>
                <w:sz w:val="24"/>
                <w:szCs w:val="24"/>
                <w:lang w:eastAsia="zh-CN"/>
              </w:rPr>
              <w:t>）规划工作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8" w:type="dxa"/>
            <w:vAlign w:val="center"/>
          </w:tcPr>
          <w:p>
            <w:pPr>
              <w:pStyle w:val="49"/>
              <w:ind w:firstLine="0" w:firstLineChars="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服务</w:t>
            </w:r>
            <w:r>
              <w:rPr>
                <w:rFonts w:hint="eastAsia" w:ascii="宋体" w:hAnsi="宋体"/>
                <w:color w:val="000000" w:themeColor="text1"/>
                <w:sz w:val="24"/>
                <w:szCs w:val="24"/>
                <w14:textFill>
                  <w14:solidFill>
                    <w14:schemeClr w14:val="tx1"/>
                  </w14:solidFill>
                </w14:textFill>
              </w:rPr>
              <w:t>地点</w:t>
            </w:r>
          </w:p>
        </w:tc>
        <w:tc>
          <w:tcPr>
            <w:tcW w:w="6873" w:type="dxa"/>
            <w:vAlign w:val="center"/>
          </w:tcPr>
          <w:p>
            <w:pPr>
              <w:pStyle w:val="49"/>
              <w:ind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8" w:type="dxa"/>
            <w:vAlign w:val="center"/>
          </w:tcPr>
          <w:p>
            <w:pPr>
              <w:pStyle w:val="49"/>
              <w:ind w:firstLine="0" w:firstLineChars="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投标有效期</w:t>
            </w:r>
          </w:p>
        </w:tc>
        <w:tc>
          <w:tcPr>
            <w:tcW w:w="6873" w:type="dxa"/>
            <w:vAlign w:val="center"/>
          </w:tcPr>
          <w:p>
            <w:pPr>
              <w:pStyle w:val="49"/>
              <w:ind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从提交响应文件的截止之日起</w:t>
            </w:r>
            <w:r>
              <w:rPr>
                <w:rFonts w:hint="eastAsia" w:ascii="宋体" w:hAnsi="宋体"/>
                <w:color w:val="000000" w:themeColor="text1"/>
                <w:sz w:val="24"/>
                <w:szCs w:val="24"/>
                <w:u w:val="single"/>
                <w14:textFill>
                  <w14:solidFill>
                    <w14:schemeClr w14:val="tx1"/>
                  </w14:solidFill>
                </w14:textFill>
              </w:rPr>
              <w:t>90</w:t>
            </w:r>
            <w:r>
              <w:rPr>
                <w:rFonts w:hint="eastAsia" w:ascii="宋体" w:hAnsi="宋体"/>
                <w:color w:val="000000" w:themeColor="text1"/>
                <w:sz w:val="24"/>
                <w:szCs w:val="24"/>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8" w:type="dxa"/>
            <w:vAlign w:val="center"/>
          </w:tcPr>
          <w:p>
            <w:pPr>
              <w:pStyle w:val="49"/>
              <w:ind w:firstLine="0" w:firstLineChars="0"/>
              <w:jc w:val="center"/>
              <w:rPr>
                <w:rFonts w:ascii="宋体" w:hAnsi="宋体"/>
                <w:color w:val="000000" w:themeColor="text1"/>
                <w:sz w:val="24"/>
                <w:szCs w:val="24"/>
                <w14:textFill>
                  <w14:solidFill>
                    <w14:schemeClr w14:val="tx1"/>
                  </w14:solidFill>
                </w14:textFill>
              </w:rPr>
            </w:pPr>
            <w:bookmarkStart w:id="10" w:name="_Toc491862095"/>
            <w:r>
              <w:rPr>
                <w:rFonts w:hint="eastAsia" w:ascii="宋体" w:hAnsi="宋体"/>
                <w:color w:val="000000" w:themeColor="text1"/>
                <w:sz w:val="24"/>
                <w:szCs w:val="24"/>
                <w14:textFill>
                  <w14:solidFill>
                    <w14:schemeClr w14:val="tx1"/>
                  </w14:solidFill>
                </w14:textFill>
              </w:rPr>
              <w:t>付款方式</w:t>
            </w:r>
            <w:bookmarkEnd w:id="10"/>
          </w:p>
        </w:tc>
        <w:tc>
          <w:tcPr>
            <w:tcW w:w="6873" w:type="dxa"/>
            <w:vAlign w:val="center"/>
          </w:tcPr>
          <w:p>
            <w:pPr>
              <w:pStyle w:val="49"/>
              <w:ind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国库集中支付（合同中另行约定）</w:t>
            </w:r>
          </w:p>
        </w:tc>
      </w:tr>
    </w:tbl>
    <w:p>
      <w:pPr>
        <w:numPr>
          <w:ilvl w:val="0"/>
          <w:numId w:val="3"/>
        </w:numPr>
        <w:spacing w:line="360" w:lineRule="auto"/>
        <w:jc w:val="left"/>
        <w:rPr>
          <w:rFonts w:ascii="宋体" w:hAnsi="宋体"/>
          <w:b/>
          <w:bCs/>
          <w:color w:val="000000"/>
          <w:kern w:val="44"/>
          <w:sz w:val="24"/>
          <w:szCs w:val="24"/>
        </w:rPr>
      </w:pPr>
      <w:r>
        <w:rPr>
          <w:rFonts w:hint="eastAsia" w:hAnsi="宋体"/>
          <w:b/>
          <w:sz w:val="24"/>
          <w:szCs w:val="24"/>
        </w:rPr>
        <w:t>技术标准与要求：</w:t>
      </w:r>
      <w:bookmarkStart w:id="11" w:name="_Toc497408604"/>
      <w:bookmarkStart w:id="12" w:name="_Toc494546014"/>
    </w:p>
    <w:p>
      <w:pPr>
        <w:pStyle w:val="23"/>
        <w:spacing w:line="360" w:lineRule="auto"/>
        <w:jc w:val="center"/>
        <w:rPr>
          <w:rFonts w:hint="eastAsia"/>
          <w:sz w:val="24"/>
          <w:szCs w:val="18"/>
        </w:rPr>
      </w:pPr>
      <w:bookmarkStart w:id="13" w:name="_Toc2916_WPSOffice_Level2"/>
      <w:bookmarkStart w:id="14" w:name="_Toc513015433"/>
      <w:bookmarkStart w:id="15" w:name="_Toc19989"/>
      <w:bookmarkStart w:id="16" w:name="_Toc4802_WPSOffice_Level2"/>
      <w:bookmarkStart w:id="17" w:name="_Toc10219"/>
      <w:r>
        <w:rPr>
          <w:rFonts w:hint="eastAsia"/>
          <w:sz w:val="24"/>
          <w:szCs w:val="18"/>
          <w:lang w:eastAsia="zh-CN"/>
        </w:rPr>
        <w:t>一、</w:t>
      </w:r>
      <w:r>
        <w:rPr>
          <w:rFonts w:hint="eastAsia"/>
          <w:sz w:val="24"/>
          <w:szCs w:val="18"/>
        </w:rPr>
        <w:t>项目基本情况</w:t>
      </w:r>
      <w:bookmarkEnd w:id="13"/>
      <w:bookmarkEnd w:id="14"/>
      <w:bookmarkEnd w:id="15"/>
      <w:bookmarkEnd w:id="16"/>
    </w:p>
    <w:p>
      <w:pPr>
        <w:pStyle w:val="23"/>
        <w:spacing w:line="360" w:lineRule="auto"/>
        <w:rPr>
          <w:rFonts w:hint="eastAsia"/>
          <w:sz w:val="24"/>
          <w:szCs w:val="18"/>
        </w:rPr>
      </w:pPr>
      <w:r>
        <w:rPr>
          <w:rFonts w:hint="eastAsia"/>
          <w:sz w:val="24"/>
          <w:szCs w:val="18"/>
        </w:rPr>
        <w:t>1</w:t>
      </w:r>
      <w:r>
        <w:rPr>
          <w:rFonts w:hint="eastAsia"/>
          <w:sz w:val="24"/>
          <w:szCs w:val="18"/>
          <w:lang w:eastAsia="zh-CN"/>
        </w:rPr>
        <w:t>.</w:t>
      </w:r>
      <w:r>
        <w:rPr>
          <w:rFonts w:hint="eastAsia"/>
          <w:sz w:val="24"/>
          <w:szCs w:val="18"/>
        </w:rPr>
        <w:t>项目名称</w:t>
      </w:r>
    </w:p>
    <w:p>
      <w:pPr>
        <w:pStyle w:val="23"/>
        <w:spacing w:line="360" w:lineRule="auto"/>
        <w:ind w:firstLine="480" w:firstLineChars="200"/>
        <w:rPr>
          <w:rFonts w:hint="eastAsia"/>
          <w:sz w:val="24"/>
          <w:szCs w:val="18"/>
        </w:rPr>
      </w:pPr>
      <w:r>
        <w:rPr>
          <w:rFonts w:hint="eastAsia"/>
          <w:sz w:val="24"/>
          <w:szCs w:val="18"/>
        </w:rPr>
        <w:t>鄂托克</w:t>
      </w:r>
      <w:r>
        <w:rPr>
          <w:rFonts w:hint="eastAsia"/>
          <w:sz w:val="24"/>
          <w:szCs w:val="18"/>
          <w:lang w:val="zh-CN" w:eastAsia="zh-CN"/>
        </w:rPr>
        <w:t>前旗“十二五"</w:t>
      </w:r>
      <w:r>
        <w:rPr>
          <w:rFonts w:hint="eastAsia"/>
          <w:sz w:val="24"/>
          <w:szCs w:val="18"/>
        </w:rPr>
        <w:t>以来高标准农田建设评估及上图入库工作</w:t>
      </w:r>
      <w:r>
        <w:rPr>
          <w:rFonts w:hint="eastAsia"/>
          <w:sz w:val="24"/>
          <w:szCs w:val="18"/>
          <w:lang w:eastAsia="zh-CN"/>
        </w:rPr>
        <w:t>（</w:t>
      </w:r>
      <w:r>
        <w:rPr>
          <w:rFonts w:hint="eastAsia"/>
          <w:sz w:val="24"/>
          <w:szCs w:val="18"/>
          <w:lang w:val="en-US" w:eastAsia="zh-CN"/>
        </w:rPr>
        <w:t>2011-2018</w:t>
      </w:r>
      <w:r>
        <w:rPr>
          <w:rFonts w:hint="eastAsia"/>
          <w:sz w:val="24"/>
          <w:szCs w:val="18"/>
          <w:lang w:eastAsia="zh-CN"/>
        </w:rPr>
        <w:t>）</w:t>
      </w:r>
      <w:r>
        <w:rPr>
          <w:rFonts w:hint="eastAsia"/>
          <w:sz w:val="24"/>
          <w:szCs w:val="18"/>
        </w:rPr>
        <w:t>（以下简称“本项目”或“项目”）。</w:t>
      </w:r>
    </w:p>
    <w:p>
      <w:pPr>
        <w:pStyle w:val="23"/>
        <w:spacing w:line="360" w:lineRule="auto"/>
        <w:rPr>
          <w:rFonts w:hint="eastAsia"/>
          <w:sz w:val="24"/>
          <w:szCs w:val="18"/>
        </w:rPr>
      </w:pPr>
      <w:r>
        <w:rPr>
          <w:rFonts w:hint="eastAsia"/>
          <w:sz w:val="24"/>
          <w:szCs w:val="18"/>
        </w:rPr>
        <w:t>2</w:t>
      </w:r>
      <w:r>
        <w:rPr>
          <w:rFonts w:hint="eastAsia"/>
          <w:sz w:val="24"/>
          <w:szCs w:val="18"/>
          <w:lang w:val="en-US" w:eastAsia="zh-CN"/>
        </w:rPr>
        <w:t>.</w:t>
      </w:r>
      <w:r>
        <w:rPr>
          <w:rFonts w:hint="eastAsia"/>
          <w:sz w:val="24"/>
          <w:szCs w:val="18"/>
        </w:rPr>
        <w:t>类型</w:t>
      </w:r>
    </w:p>
    <w:p>
      <w:pPr>
        <w:pStyle w:val="23"/>
        <w:spacing w:line="360" w:lineRule="auto"/>
        <w:rPr>
          <w:rFonts w:hint="eastAsia"/>
          <w:sz w:val="24"/>
          <w:szCs w:val="18"/>
        </w:rPr>
      </w:pPr>
      <w:r>
        <w:rPr>
          <w:rFonts w:hint="eastAsia"/>
          <w:sz w:val="24"/>
          <w:szCs w:val="18"/>
        </w:rPr>
        <w:t xml:space="preserve">  </w:t>
      </w:r>
      <w:r>
        <w:rPr>
          <w:rFonts w:hint="eastAsia"/>
          <w:sz w:val="24"/>
          <w:szCs w:val="18"/>
          <w:lang w:val="en-US" w:eastAsia="zh-CN"/>
        </w:rPr>
        <w:t xml:space="preserve">  </w:t>
      </w:r>
      <w:r>
        <w:rPr>
          <w:rFonts w:hint="eastAsia"/>
          <w:sz w:val="24"/>
          <w:szCs w:val="18"/>
        </w:rPr>
        <w:t>存量。</w:t>
      </w:r>
    </w:p>
    <w:p>
      <w:pPr>
        <w:pStyle w:val="23"/>
        <w:spacing w:line="360" w:lineRule="auto"/>
        <w:rPr>
          <w:rFonts w:hint="eastAsia"/>
          <w:sz w:val="24"/>
          <w:szCs w:val="18"/>
        </w:rPr>
      </w:pPr>
      <w:r>
        <w:rPr>
          <w:rFonts w:hint="eastAsia"/>
          <w:sz w:val="24"/>
          <w:szCs w:val="18"/>
        </w:rPr>
        <w:t>3</w:t>
      </w:r>
      <w:r>
        <w:rPr>
          <w:rFonts w:hint="eastAsia"/>
          <w:sz w:val="24"/>
          <w:szCs w:val="18"/>
          <w:lang w:val="en-US" w:eastAsia="zh-CN"/>
        </w:rPr>
        <w:t>.</w:t>
      </w:r>
      <w:r>
        <w:rPr>
          <w:rFonts w:hint="eastAsia"/>
          <w:sz w:val="24"/>
          <w:szCs w:val="18"/>
        </w:rPr>
        <w:t>行业</w:t>
      </w:r>
    </w:p>
    <w:p>
      <w:pPr>
        <w:pStyle w:val="23"/>
        <w:spacing w:line="360" w:lineRule="auto"/>
        <w:rPr>
          <w:rFonts w:hint="eastAsia"/>
          <w:sz w:val="24"/>
          <w:szCs w:val="18"/>
        </w:rPr>
      </w:pPr>
      <w:r>
        <w:rPr>
          <w:rFonts w:hint="eastAsia"/>
          <w:sz w:val="24"/>
          <w:szCs w:val="18"/>
        </w:rPr>
        <w:t xml:space="preserve">  </w:t>
      </w:r>
      <w:r>
        <w:rPr>
          <w:rFonts w:hint="eastAsia"/>
          <w:sz w:val="24"/>
          <w:szCs w:val="18"/>
          <w:lang w:val="en-US" w:eastAsia="zh-CN"/>
        </w:rPr>
        <w:t xml:space="preserve">  </w:t>
      </w:r>
      <w:r>
        <w:rPr>
          <w:rFonts w:hint="eastAsia"/>
          <w:sz w:val="24"/>
          <w:szCs w:val="18"/>
        </w:rPr>
        <w:t>农林和水利。</w:t>
      </w:r>
    </w:p>
    <w:p>
      <w:pPr>
        <w:pStyle w:val="23"/>
        <w:spacing w:line="360" w:lineRule="auto"/>
        <w:rPr>
          <w:rFonts w:hint="eastAsia"/>
          <w:sz w:val="24"/>
          <w:szCs w:val="18"/>
        </w:rPr>
      </w:pPr>
      <w:r>
        <w:rPr>
          <w:rFonts w:hint="eastAsia"/>
          <w:sz w:val="24"/>
          <w:szCs w:val="18"/>
        </w:rPr>
        <w:t>4</w:t>
      </w:r>
      <w:r>
        <w:rPr>
          <w:rFonts w:hint="eastAsia"/>
          <w:sz w:val="24"/>
          <w:szCs w:val="18"/>
          <w:lang w:val="en-US" w:eastAsia="zh-CN"/>
        </w:rPr>
        <w:t>.</w:t>
      </w:r>
      <w:r>
        <w:rPr>
          <w:rFonts w:hint="eastAsia"/>
          <w:sz w:val="24"/>
          <w:szCs w:val="18"/>
        </w:rPr>
        <w:t>地点</w:t>
      </w:r>
    </w:p>
    <w:p>
      <w:pPr>
        <w:pStyle w:val="23"/>
        <w:spacing w:line="360" w:lineRule="auto"/>
        <w:rPr>
          <w:rFonts w:hint="eastAsia"/>
          <w:sz w:val="24"/>
          <w:szCs w:val="18"/>
        </w:rPr>
      </w:pPr>
      <w:r>
        <w:rPr>
          <w:rFonts w:hint="eastAsia"/>
          <w:sz w:val="24"/>
          <w:szCs w:val="18"/>
        </w:rPr>
        <w:t xml:space="preserve">  </w:t>
      </w:r>
      <w:r>
        <w:rPr>
          <w:rFonts w:hint="eastAsia"/>
          <w:sz w:val="24"/>
          <w:szCs w:val="18"/>
          <w:lang w:val="en-US" w:eastAsia="zh-CN"/>
        </w:rPr>
        <w:t xml:space="preserve">  </w:t>
      </w:r>
      <w:r>
        <w:rPr>
          <w:rFonts w:hint="eastAsia"/>
          <w:sz w:val="24"/>
          <w:szCs w:val="18"/>
        </w:rPr>
        <w:t>鄂托克前旗</w:t>
      </w:r>
      <w:r>
        <w:rPr>
          <w:rFonts w:hint="eastAsia"/>
          <w:sz w:val="24"/>
          <w:szCs w:val="18"/>
          <w:lang w:eastAsia="zh-CN"/>
        </w:rPr>
        <w:t>全境</w:t>
      </w:r>
      <w:r>
        <w:rPr>
          <w:rFonts w:hint="eastAsia"/>
          <w:sz w:val="24"/>
          <w:szCs w:val="18"/>
        </w:rPr>
        <w:t>。</w:t>
      </w:r>
    </w:p>
    <w:p>
      <w:pPr>
        <w:pStyle w:val="23"/>
        <w:spacing w:line="360" w:lineRule="auto"/>
        <w:rPr>
          <w:rFonts w:hint="eastAsia"/>
          <w:sz w:val="24"/>
          <w:szCs w:val="18"/>
        </w:rPr>
      </w:pPr>
      <w:r>
        <w:rPr>
          <w:rFonts w:hint="eastAsia"/>
          <w:sz w:val="24"/>
          <w:szCs w:val="18"/>
        </w:rPr>
        <w:t>5</w:t>
      </w:r>
      <w:r>
        <w:rPr>
          <w:rFonts w:hint="eastAsia"/>
          <w:sz w:val="24"/>
          <w:szCs w:val="18"/>
          <w:lang w:val="en-US" w:eastAsia="zh-CN"/>
        </w:rPr>
        <w:t>.</w:t>
      </w:r>
      <w:r>
        <w:rPr>
          <w:rFonts w:hint="eastAsia"/>
          <w:sz w:val="24"/>
          <w:szCs w:val="18"/>
        </w:rPr>
        <w:t>购买主体</w:t>
      </w:r>
    </w:p>
    <w:p>
      <w:pPr>
        <w:pStyle w:val="23"/>
        <w:spacing w:line="360" w:lineRule="auto"/>
        <w:ind w:firstLine="480" w:firstLineChars="200"/>
        <w:rPr>
          <w:rFonts w:hint="eastAsia"/>
          <w:sz w:val="24"/>
          <w:szCs w:val="18"/>
        </w:rPr>
      </w:pPr>
      <w:r>
        <w:rPr>
          <w:rFonts w:hint="eastAsia"/>
          <w:sz w:val="24"/>
          <w:szCs w:val="18"/>
        </w:rPr>
        <w:t>鄂托克前旗</w:t>
      </w:r>
      <w:r>
        <w:rPr>
          <w:rFonts w:hint="eastAsia"/>
          <w:sz w:val="24"/>
          <w:szCs w:val="18"/>
          <w:lang w:eastAsia="zh-CN"/>
        </w:rPr>
        <w:t>农牧业综合开发中心</w:t>
      </w:r>
      <w:r>
        <w:rPr>
          <w:rFonts w:hint="eastAsia"/>
          <w:sz w:val="24"/>
          <w:szCs w:val="18"/>
        </w:rPr>
        <w:t>。</w:t>
      </w:r>
    </w:p>
    <w:p>
      <w:pPr>
        <w:pStyle w:val="23"/>
        <w:spacing w:line="360" w:lineRule="auto"/>
        <w:rPr>
          <w:rFonts w:hint="eastAsia"/>
          <w:sz w:val="24"/>
          <w:szCs w:val="18"/>
        </w:rPr>
      </w:pPr>
      <w:r>
        <w:rPr>
          <w:rFonts w:hint="eastAsia"/>
          <w:sz w:val="24"/>
          <w:szCs w:val="18"/>
        </w:rPr>
        <w:t>6</w:t>
      </w:r>
      <w:r>
        <w:rPr>
          <w:rFonts w:hint="eastAsia"/>
          <w:sz w:val="24"/>
          <w:szCs w:val="18"/>
          <w:lang w:val="en-US" w:eastAsia="zh-CN"/>
        </w:rPr>
        <w:t>.</w:t>
      </w:r>
      <w:r>
        <w:rPr>
          <w:rFonts w:hint="eastAsia"/>
          <w:sz w:val="24"/>
          <w:szCs w:val="18"/>
        </w:rPr>
        <w:t>联系人</w:t>
      </w:r>
    </w:p>
    <w:p>
      <w:pPr>
        <w:pStyle w:val="23"/>
        <w:spacing w:line="360" w:lineRule="auto"/>
        <w:ind w:firstLine="480" w:firstLineChars="200"/>
        <w:rPr>
          <w:rFonts w:hint="default"/>
          <w:sz w:val="24"/>
          <w:szCs w:val="18"/>
          <w:lang w:val="en-US" w:eastAsia="zh-CN"/>
        </w:rPr>
      </w:pPr>
      <w:r>
        <w:rPr>
          <w:rFonts w:hint="eastAsia"/>
          <w:sz w:val="24"/>
          <w:szCs w:val="18"/>
          <w:lang w:val="en-US" w:eastAsia="zh-CN"/>
        </w:rPr>
        <w:t>袁海强</w:t>
      </w:r>
      <w:r>
        <w:rPr>
          <w:rFonts w:hint="eastAsia"/>
          <w:sz w:val="24"/>
          <w:szCs w:val="18"/>
        </w:rPr>
        <w:t xml:space="preserve">  </w:t>
      </w:r>
      <w:r>
        <w:rPr>
          <w:rFonts w:hint="eastAsia"/>
          <w:sz w:val="24"/>
          <w:szCs w:val="18"/>
          <w:lang w:val="en-US" w:eastAsia="zh-CN"/>
        </w:rPr>
        <w:t>13634776638</w:t>
      </w:r>
    </w:p>
    <w:p>
      <w:pPr>
        <w:pStyle w:val="23"/>
        <w:spacing w:line="360" w:lineRule="auto"/>
        <w:rPr>
          <w:rFonts w:hint="eastAsia"/>
          <w:sz w:val="24"/>
          <w:szCs w:val="18"/>
        </w:rPr>
      </w:pPr>
      <w:r>
        <w:rPr>
          <w:rFonts w:hint="eastAsia"/>
          <w:sz w:val="24"/>
          <w:szCs w:val="18"/>
        </w:rPr>
        <w:t>7</w:t>
      </w:r>
      <w:r>
        <w:rPr>
          <w:rFonts w:hint="eastAsia"/>
          <w:sz w:val="24"/>
          <w:szCs w:val="18"/>
          <w:lang w:val="en-US" w:eastAsia="zh-CN"/>
        </w:rPr>
        <w:t>.</w:t>
      </w:r>
      <w:r>
        <w:rPr>
          <w:rFonts w:hint="eastAsia"/>
          <w:sz w:val="24"/>
          <w:szCs w:val="18"/>
        </w:rPr>
        <w:t>购买内容</w:t>
      </w:r>
    </w:p>
    <w:p>
      <w:pPr>
        <w:pStyle w:val="23"/>
        <w:spacing w:line="360" w:lineRule="auto"/>
        <w:ind w:firstLine="480" w:firstLineChars="200"/>
        <w:rPr>
          <w:rFonts w:hint="eastAsia"/>
          <w:sz w:val="24"/>
          <w:szCs w:val="18"/>
        </w:rPr>
      </w:pPr>
      <w:r>
        <w:rPr>
          <w:rFonts w:hint="eastAsia"/>
          <w:sz w:val="24"/>
          <w:szCs w:val="18"/>
        </w:rPr>
        <w:t>本项目的购买服务内容主要</w:t>
      </w:r>
      <w:r>
        <w:rPr>
          <w:rFonts w:hint="eastAsia"/>
          <w:sz w:val="24"/>
          <w:szCs w:val="18"/>
          <w:lang w:eastAsia="zh-CN"/>
        </w:rPr>
        <w:t>包括“十二五”以来各类农田建设项目实地勘察评价及上图入库和三年（</w:t>
      </w:r>
      <w:r>
        <w:rPr>
          <w:rFonts w:hint="eastAsia"/>
          <w:sz w:val="24"/>
          <w:szCs w:val="18"/>
          <w:lang w:val="en-US" w:eastAsia="zh-CN"/>
        </w:rPr>
        <w:t>2020-2022</w:t>
      </w:r>
      <w:r>
        <w:rPr>
          <w:rFonts w:hint="eastAsia"/>
          <w:sz w:val="24"/>
          <w:szCs w:val="18"/>
          <w:lang w:eastAsia="zh-CN"/>
        </w:rPr>
        <w:t>）规划工作</w:t>
      </w:r>
      <w:r>
        <w:rPr>
          <w:rFonts w:hint="eastAsia"/>
          <w:sz w:val="24"/>
          <w:szCs w:val="18"/>
        </w:rPr>
        <w:t>。</w:t>
      </w:r>
    </w:p>
    <w:p>
      <w:pPr>
        <w:pStyle w:val="23"/>
        <w:spacing w:line="360" w:lineRule="auto"/>
        <w:rPr>
          <w:rFonts w:hint="eastAsia"/>
          <w:sz w:val="24"/>
          <w:szCs w:val="18"/>
        </w:rPr>
      </w:pPr>
      <w:r>
        <w:rPr>
          <w:rFonts w:hint="eastAsia"/>
          <w:sz w:val="24"/>
          <w:szCs w:val="18"/>
        </w:rPr>
        <w:t>8</w:t>
      </w:r>
      <w:r>
        <w:rPr>
          <w:rFonts w:hint="eastAsia"/>
          <w:sz w:val="24"/>
          <w:szCs w:val="18"/>
          <w:lang w:val="en-US" w:eastAsia="zh-CN"/>
        </w:rPr>
        <w:t>.</w:t>
      </w:r>
      <w:r>
        <w:rPr>
          <w:rFonts w:hint="eastAsia"/>
          <w:sz w:val="24"/>
          <w:szCs w:val="18"/>
        </w:rPr>
        <w:t>购买方式</w:t>
      </w:r>
    </w:p>
    <w:p>
      <w:pPr>
        <w:pStyle w:val="23"/>
        <w:spacing w:line="360" w:lineRule="auto"/>
        <w:ind w:firstLine="480" w:firstLineChars="200"/>
        <w:rPr>
          <w:rFonts w:hint="eastAsia"/>
          <w:sz w:val="24"/>
          <w:szCs w:val="18"/>
        </w:rPr>
      </w:pPr>
      <w:r>
        <w:rPr>
          <w:rFonts w:hint="eastAsia"/>
          <w:sz w:val="24"/>
          <w:szCs w:val="18"/>
        </w:rPr>
        <w:t>竞争性磋商。</w:t>
      </w:r>
    </w:p>
    <w:p>
      <w:pPr>
        <w:pStyle w:val="23"/>
        <w:spacing w:line="360" w:lineRule="auto"/>
        <w:rPr>
          <w:rFonts w:hint="eastAsia"/>
          <w:sz w:val="24"/>
          <w:szCs w:val="18"/>
        </w:rPr>
      </w:pPr>
      <w:r>
        <w:rPr>
          <w:rFonts w:hint="eastAsia"/>
          <w:sz w:val="24"/>
          <w:szCs w:val="18"/>
        </w:rPr>
        <w:t>9</w:t>
      </w:r>
      <w:r>
        <w:rPr>
          <w:rFonts w:hint="eastAsia"/>
          <w:sz w:val="24"/>
          <w:szCs w:val="18"/>
          <w:lang w:val="en-US" w:eastAsia="zh-CN"/>
        </w:rPr>
        <w:t>.</w:t>
      </w:r>
      <w:r>
        <w:rPr>
          <w:rFonts w:hint="eastAsia"/>
          <w:sz w:val="24"/>
          <w:szCs w:val="18"/>
        </w:rPr>
        <w:t>承接主体的资格</w:t>
      </w:r>
    </w:p>
    <w:p>
      <w:pPr>
        <w:pStyle w:val="23"/>
        <w:spacing w:line="360" w:lineRule="auto"/>
        <w:ind w:firstLine="480" w:firstLineChars="200"/>
        <w:rPr>
          <w:rFonts w:hint="eastAsia"/>
          <w:sz w:val="24"/>
          <w:szCs w:val="18"/>
        </w:rPr>
      </w:pPr>
      <w:r>
        <w:rPr>
          <w:rFonts w:hint="eastAsia"/>
          <w:sz w:val="24"/>
          <w:szCs w:val="18"/>
        </w:rPr>
        <w:t>承接主体应当符合《农业农村部关于开展“十二五</w:t>
      </w:r>
      <w:r>
        <w:rPr>
          <w:rFonts w:hint="eastAsia"/>
          <w:sz w:val="24"/>
          <w:szCs w:val="18"/>
          <w:lang w:val="zh-CN" w:eastAsia="zh-CN"/>
        </w:rPr>
        <w:t>”以来</w:t>
      </w:r>
      <w:r>
        <w:rPr>
          <w:rFonts w:hint="eastAsia"/>
          <w:sz w:val="24"/>
          <w:szCs w:val="18"/>
        </w:rPr>
        <w:t>髙标准农田建设评估工作的通知》（农建发〔2019</w:t>
      </w:r>
      <w:r>
        <w:rPr>
          <w:rFonts w:hint="eastAsia"/>
          <w:sz w:val="24"/>
          <w:szCs w:val="18"/>
          <w:lang w:val="en-US" w:eastAsia="zh-CN"/>
        </w:rPr>
        <w:t>〕</w:t>
      </w:r>
      <w:r>
        <w:rPr>
          <w:rFonts w:hint="eastAsia"/>
          <w:sz w:val="24"/>
          <w:szCs w:val="18"/>
        </w:rPr>
        <w:t>4号）《关于印发</w:t>
      </w:r>
      <w:r>
        <w:rPr>
          <w:rFonts w:hint="eastAsia"/>
          <w:sz w:val="24"/>
          <w:szCs w:val="18"/>
          <w:lang w:val="zh-CN" w:eastAsia="zh-CN"/>
        </w:rPr>
        <w:t>“十</w:t>
      </w:r>
      <w:r>
        <w:rPr>
          <w:rFonts w:hint="eastAsia"/>
          <w:sz w:val="24"/>
          <w:szCs w:val="18"/>
        </w:rPr>
        <w:t>二五”以来髙标准农田建设上图入库工作指南等补充文件的函》（农建（监管）〔2019</w:t>
      </w:r>
      <w:r>
        <w:rPr>
          <w:rFonts w:hint="eastAsia"/>
          <w:sz w:val="24"/>
          <w:szCs w:val="18"/>
          <w:lang w:val="en-US" w:eastAsia="zh-CN"/>
        </w:rPr>
        <w:t>〕</w:t>
      </w:r>
      <w:r>
        <w:rPr>
          <w:rFonts w:hint="eastAsia"/>
          <w:sz w:val="24"/>
          <w:szCs w:val="18"/>
        </w:rPr>
        <w:t>23号）和《内蒙古自治区农牧厅关于印发内蒙古自治区关于开展</w:t>
      </w:r>
      <w:r>
        <w:rPr>
          <w:rFonts w:hint="eastAsia"/>
          <w:sz w:val="24"/>
          <w:szCs w:val="18"/>
          <w:lang w:val="zh-CN" w:eastAsia="zh-CN"/>
        </w:rPr>
        <w:t>“十二</w:t>
      </w:r>
      <w:r>
        <w:rPr>
          <w:rFonts w:hint="eastAsia"/>
          <w:sz w:val="24"/>
          <w:szCs w:val="18"/>
        </w:rPr>
        <w:t>五”以来髙标准农田建设评估工作方案的通知》（内农牧建发〔2019</w:t>
      </w:r>
      <w:r>
        <w:rPr>
          <w:rFonts w:hint="eastAsia"/>
          <w:sz w:val="24"/>
          <w:szCs w:val="18"/>
          <w:lang w:val="en-US" w:eastAsia="zh-CN"/>
        </w:rPr>
        <w:t>〕</w:t>
      </w:r>
      <w:r>
        <w:rPr>
          <w:rFonts w:hint="eastAsia"/>
          <w:sz w:val="24"/>
          <w:szCs w:val="18"/>
        </w:rPr>
        <w:t>311号）</w:t>
      </w:r>
      <w:r>
        <w:rPr>
          <w:rFonts w:hint="eastAsia"/>
          <w:sz w:val="24"/>
          <w:szCs w:val="18"/>
          <w:lang w:eastAsia="zh-CN"/>
        </w:rPr>
        <w:t>及《</w:t>
      </w:r>
      <w:bookmarkStart w:id="18" w:name="bookmark6"/>
      <w:bookmarkStart w:id="19" w:name="bookmark7"/>
      <w:bookmarkStart w:id="20" w:name="bookmark8"/>
      <w:r>
        <w:rPr>
          <w:rFonts w:hint="eastAsia"/>
          <w:sz w:val="24"/>
          <w:szCs w:val="18"/>
        </w:rPr>
        <w:t>鄂尔多斯市关于开展</w:t>
      </w:r>
      <w:r>
        <w:rPr>
          <w:rFonts w:hint="eastAsia"/>
          <w:sz w:val="24"/>
          <w:szCs w:val="18"/>
          <w:lang w:val="zh-CN" w:eastAsia="zh-CN"/>
        </w:rPr>
        <w:t>“十二五"</w:t>
      </w:r>
      <w:r>
        <w:rPr>
          <w:rFonts w:hint="eastAsia"/>
          <w:sz w:val="24"/>
          <w:szCs w:val="18"/>
        </w:rPr>
        <w:t>以来高标准农田建设评估及上图入库工作方案</w:t>
      </w:r>
      <w:bookmarkEnd w:id="18"/>
      <w:bookmarkEnd w:id="19"/>
      <w:bookmarkEnd w:id="20"/>
      <w:r>
        <w:rPr>
          <w:rFonts w:hint="eastAsia"/>
          <w:sz w:val="24"/>
          <w:szCs w:val="18"/>
          <w:lang w:eastAsia="zh-CN"/>
        </w:rPr>
        <w:t>》（鄂农牧发</w:t>
      </w:r>
      <w:r>
        <w:rPr>
          <w:rFonts w:hint="eastAsia"/>
          <w:sz w:val="24"/>
          <w:szCs w:val="18"/>
          <w:lang w:val="en-US" w:eastAsia="zh-CN"/>
        </w:rPr>
        <w:t>〔2019〕221号</w:t>
      </w:r>
      <w:r>
        <w:rPr>
          <w:rFonts w:hint="eastAsia"/>
          <w:sz w:val="24"/>
          <w:szCs w:val="18"/>
          <w:lang w:eastAsia="zh-CN"/>
        </w:rPr>
        <w:t>）</w:t>
      </w:r>
      <w:r>
        <w:rPr>
          <w:rFonts w:hint="eastAsia"/>
          <w:sz w:val="24"/>
          <w:szCs w:val="18"/>
          <w:lang w:val="en-US" w:eastAsia="zh-CN"/>
        </w:rPr>
        <w:t>等文件要求，且同时具备农林水利乙级资质</w:t>
      </w:r>
      <w:r>
        <w:rPr>
          <w:rFonts w:hint="eastAsia"/>
          <w:sz w:val="24"/>
          <w:szCs w:val="18"/>
        </w:rPr>
        <w:t>。</w:t>
      </w:r>
    </w:p>
    <w:p>
      <w:pPr>
        <w:pStyle w:val="23"/>
        <w:spacing w:line="360" w:lineRule="auto"/>
        <w:rPr>
          <w:rFonts w:hint="eastAsia"/>
          <w:sz w:val="24"/>
          <w:szCs w:val="18"/>
        </w:rPr>
      </w:pPr>
      <w:r>
        <w:rPr>
          <w:rFonts w:hint="eastAsia"/>
          <w:sz w:val="24"/>
          <w:szCs w:val="18"/>
        </w:rPr>
        <w:t>10</w:t>
      </w:r>
      <w:r>
        <w:rPr>
          <w:rFonts w:hint="eastAsia"/>
          <w:sz w:val="24"/>
          <w:szCs w:val="18"/>
          <w:lang w:val="en-US" w:eastAsia="zh-CN"/>
        </w:rPr>
        <w:t>.</w:t>
      </w:r>
      <w:r>
        <w:rPr>
          <w:rFonts w:hint="eastAsia"/>
          <w:sz w:val="24"/>
          <w:szCs w:val="18"/>
        </w:rPr>
        <w:t>服务期限</w:t>
      </w:r>
    </w:p>
    <w:p>
      <w:pPr>
        <w:pStyle w:val="23"/>
        <w:spacing w:line="360" w:lineRule="auto"/>
        <w:ind w:firstLine="480" w:firstLineChars="200"/>
        <w:rPr>
          <w:rFonts w:hint="eastAsia"/>
          <w:sz w:val="24"/>
          <w:szCs w:val="18"/>
        </w:rPr>
      </w:pPr>
      <w:r>
        <w:rPr>
          <w:rFonts w:hint="eastAsia"/>
          <w:sz w:val="24"/>
          <w:szCs w:val="18"/>
        </w:rPr>
        <w:t>本次购买服务期限</w:t>
      </w:r>
      <w:r>
        <w:rPr>
          <w:rFonts w:hint="eastAsia"/>
          <w:sz w:val="24"/>
          <w:szCs w:val="18"/>
          <w:lang w:eastAsia="zh-CN"/>
        </w:rPr>
        <w:t>为</w:t>
      </w:r>
      <w:r>
        <w:rPr>
          <w:rFonts w:hint="eastAsia"/>
          <w:color w:val="FF0000"/>
          <w:sz w:val="24"/>
          <w:szCs w:val="18"/>
        </w:rPr>
        <w:t>自20</w:t>
      </w:r>
      <w:r>
        <w:rPr>
          <w:rFonts w:hint="eastAsia"/>
          <w:color w:val="FF0000"/>
          <w:sz w:val="24"/>
          <w:szCs w:val="18"/>
          <w:lang w:val="en-US" w:eastAsia="zh-CN"/>
        </w:rPr>
        <w:t>20</w:t>
      </w:r>
      <w:r>
        <w:rPr>
          <w:rFonts w:hint="eastAsia"/>
          <w:color w:val="FF0000"/>
          <w:sz w:val="24"/>
          <w:szCs w:val="18"/>
        </w:rPr>
        <w:t>年</w:t>
      </w:r>
      <w:r>
        <w:rPr>
          <w:rFonts w:hint="eastAsia"/>
          <w:color w:val="FF0000"/>
          <w:sz w:val="24"/>
          <w:szCs w:val="18"/>
          <w:lang w:val="en-US" w:eastAsia="zh-CN"/>
        </w:rPr>
        <w:t>4</w:t>
      </w:r>
      <w:r>
        <w:rPr>
          <w:rFonts w:hint="eastAsia"/>
          <w:color w:val="FF0000"/>
          <w:sz w:val="24"/>
          <w:szCs w:val="18"/>
        </w:rPr>
        <w:t>月1</w:t>
      </w:r>
      <w:r>
        <w:rPr>
          <w:rFonts w:hint="eastAsia"/>
          <w:color w:val="FF0000"/>
          <w:sz w:val="24"/>
          <w:szCs w:val="18"/>
          <w:lang w:val="en-US" w:eastAsia="zh-CN"/>
        </w:rPr>
        <w:t>5</w:t>
      </w:r>
      <w:r>
        <w:rPr>
          <w:rFonts w:hint="eastAsia"/>
          <w:color w:val="FF0000"/>
          <w:sz w:val="24"/>
          <w:szCs w:val="18"/>
        </w:rPr>
        <w:t>日起，至202</w:t>
      </w:r>
      <w:r>
        <w:rPr>
          <w:rFonts w:hint="eastAsia"/>
          <w:color w:val="FF0000"/>
          <w:sz w:val="24"/>
          <w:szCs w:val="18"/>
          <w:lang w:val="en-US" w:eastAsia="zh-CN"/>
        </w:rPr>
        <w:t>0</w:t>
      </w:r>
      <w:r>
        <w:rPr>
          <w:rFonts w:hint="eastAsia"/>
          <w:color w:val="FF0000"/>
          <w:sz w:val="24"/>
          <w:szCs w:val="18"/>
        </w:rPr>
        <w:t>年</w:t>
      </w:r>
      <w:r>
        <w:rPr>
          <w:rFonts w:hint="eastAsia"/>
          <w:color w:val="FF0000"/>
          <w:sz w:val="24"/>
          <w:szCs w:val="18"/>
          <w:lang w:val="en-US" w:eastAsia="zh-CN"/>
        </w:rPr>
        <w:t>6</w:t>
      </w:r>
      <w:r>
        <w:rPr>
          <w:rFonts w:hint="eastAsia"/>
          <w:color w:val="FF0000"/>
          <w:sz w:val="24"/>
          <w:szCs w:val="18"/>
        </w:rPr>
        <w:t>月</w:t>
      </w:r>
      <w:r>
        <w:rPr>
          <w:rFonts w:hint="eastAsia"/>
          <w:color w:val="FF0000"/>
          <w:sz w:val="24"/>
          <w:szCs w:val="18"/>
          <w:lang w:val="en-US" w:eastAsia="zh-CN"/>
        </w:rPr>
        <w:t>15</w:t>
      </w:r>
      <w:r>
        <w:rPr>
          <w:rFonts w:hint="eastAsia"/>
          <w:color w:val="FF0000"/>
          <w:sz w:val="24"/>
          <w:szCs w:val="18"/>
        </w:rPr>
        <w:t>日</w:t>
      </w:r>
      <w:r>
        <w:rPr>
          <w:rFonts w:hint="eastAsia"/>
          <w:sz w:val="24"/>
          <w:szCs w:val="18"/>
          <w:lang w:eastAsia="zh-CN"/>
        </w:rPr>
        <w:t>全部完成全旗所有上图入库及评估和三年规划工作且要符合国家、自治区和市农牧局有关文件要求</w:t>
      </w:r>
      <w:r>
        <w:rPr>
          <w:rFonts w:hint="eastAsia"/>
          <w:sz w:val="24"/>
          <w:szCs w:val="18"/>
        </w:rPr>
        <w:t>。</w:t>
      </w:r>
    </w:p>
    <w:p>
      <w:pPr>
        <w:pStyle w:val="23"/>
        <w:spacing w:line="360" w:lineRule="auto"/>
        <w:rPr>
          <w:rFonts w:hint="eastAsia"/>
          <w:sz w:val="24"/>
          <w:szCs w:val="18"/>
        </w:rPr>
      </w:pPr>
      <w:r>
        <w:rPr>
          <w:rFonts w:hint="eastAsia"/>
          <w:sz w:val="24"/>
          <w:szCs w:val="18"/>
        </w:rPr>
        <w:t>11</w:t>
      </w:r>
      <w:r>
        <w:rPr>
          <w:rFonts w:hint="eastAsia"/>
          <w:sz w:val="24"/>
          <w:szCs w:val="18"/>
          <w:lang w:val="en-US" w:eastAsia="zh-CN"/>
        </w:rPr>
        <w:t>.</w:t>
      </w:r>
      <w:r>
        <w:rPr>
          <w:rFonts w:hint="eastAsia"/>
          <w:sz w:val="24"/>
          <w:szCs w:val="18"/>
        </w:rPr>
        <w:t>预算安排与成本核算</w:t>
      </w:r>
    </w:p>
    <w:p>
      <w:pPr>
        <w:pStyle w:val="23"/>
        <w:spacing w:line="360" w:lineRule="auto"/>
        <w:ind w:firstLine="480" w:firstLineChars="200"/>
        <w:rPr>
          <w:rFonts w:hint="eastAsia"/>
          <w:sz w:val="24"/>
          <w:szCs w:val="18"/>
        </w:rPr>
      </w:pPr>
      <w:r>
        <w:rPr>
          <w:rFonts w:hint="eastAsia"/>
          <w:sz w:val="24"/>
          <w:szCs w:val="18"/>
        </w:rPr>
        <w:t>本项目所需的资金，来源于</w:t>
      </w:r>
      <w:r>
        <w:rPr>
          <w:rFonts w:hint="eastAsia"/>
          <w:sz w:val="24"/>
          <w:szCs w:val="18"/>
          <w:lang w:val="en-US" w:eastAsia="zh-CN"/>
        </w:rPr>
        <w:t>政府购买服务支付资金</w:t>
      </w:r>
      <w:r>
        <w:rPr>
          <w:rFonts w:hint="eastAsia"/>
          <w:sz w:val="24"/>
          <w:szCs w:val="18"/>
        </w:rPr>
        <w:t>，从</w:t>
      </w:r>
      <w:r>
        <w:rPr>
          <w:rFonts w:hint="eastAsia"/>
          <w:sz w:val="24"/>
          <w:szCs w:val="18"/>
          <w:lang w:val="en-US" w:eastAsia="zh-CN"/>
        </w:rPr>
        <w:t>该项资金中</w:t>
      </w:r>
      <w:r>
        <w:rPr>
          <w:rFonts w:hint="eastAsia"/>
          <w:sz w:val="24"/>
          <w:szCs w:val="18"/>
        </w:rPr>
        <w:t>统筹安排。</w:t>
      </w:r>
    </w:p>
    <w:p>
      <w:pPr>
        <w:pStyle w:val="23"/>
        <w:spacing w:line="360" w:lineRule="auto"/>
        <w:ind w:firstLine="480" w:firstLineChars="200"/>
        <w:rPr>
          <w:rFonts w:hint="eastAsia"/>
          <w:sz w:val="24"/>
          <w:szCs w:val="18"/>
        </w:rPr>
      </w:pPr>
      <w:r>
        <w:rPr>
          <w:rFonts w:hint="eastAsia"/>
          <w:sz w:val="24"/>
          <w:szCs w:val="18"/>
        </w:rPr>
        <w:t>本项目所需的资金初步预算为</w:t>
      </w:r>
      <w:r>
        <w:rPr>
          <w:rFonts w:hint="eastAsia"/>
          <w:sz w:val="24"/>
          <w:szCs w:val="18"/>
          <w:lang w:val="en-US" w:eastAsia="zh-CN"/>
        </w:rPr>
        <w:t>601060元</w:t>
      </w:r>
      <w:r>
        <w:rPr>
          <w:rFonts w:hint="eastAsia"/>
          <w:sz w:val="24"/>
          <w:szCs w:val="18"/>
        </w:rPr>
        <w:t>。项目成本具体核算见第五章。</w:t>
      </w:r>
    </w:p>
    <w:p>
      <w:pPr>
        <w:pStyle w:val="23"/>
        <w:spacing w:line="360" w:lineRule="auto"/>
        <w:rPr>
          <w:rFonts w:hint="eastAsia"/>
          <w:sz w:val="24"/>
          <w:szCs w:val="18"/>
        </w:rPr>
      </w:pPr>
      <w:r>
        <w:rPr>
          <w:rFonts w:hint="eastAsia"/>
          <w:sz w:val="24"/>
          <w:szCs w:val="18"/>
        </w:rPr>
        <w:t>12</w:t>
      </w:r>
      <w:r>
        <w:rPr>
          <w:rFonts w:hint="eastAsia"/>
          <w:sz w:val="24"/>
          <w:szCs w:val="18"/>
          <w:lang w:val="en-US" w:eastAsia="zh-CN"/>
        </w:rPr>
        <w:t>.</w:t>
      </w:r>
      <w:r>
        <w:rPr>
          <w:rFonts w:hint="eastAsia"/>
          <w:sz w:val="24"/>
          <w:szCs w:val="18"/>
        </w:rPr>
        <w:t>项目进度</w:t>
      </w:r>
    </w:p>
    <w:p>
      <w:pPr>
        <w:pStyle w:val="23"/>
        <w:spacing w:line="360" w:lineRule="auto"/>
        <w:ind w:firstLine="480" w:firstLineChars="200"/>
        <w:rPr>
          <w:rFonts w:hint="eastAsia"/>
          <w:sz w:val="24"/>
          <w:szCs w:val="18"/>
        </w:rPr>
      </w:pPr>
      <w:r>
        <w:rPr>
          <w:rFonts w:hint="eastAsia"/>
          <w:sz w:val="24"/>
          <w:szCs w:val="18"/>
        </w:rPr>
        <w:t>目前项目处于</w:t>
      </w:r>
      <w:r>
        <w:rPr>
          <w:rFonts w:hint="eastAsia"/>
          <w:sz w:val="24"/>
          <w:szCs w:val="18"/>
          <w:lang w:eastAsia="zh-CN"/>
        </w:rPr>
        <w:t>收集各类项目资料</w:t>
      </w:r>
      <w:r>
        <w:rPr>
          <w:rFonts w:hint="eastAsia"/>
          <w:sz w:val="24"/>
          <w:szCs w:val="18"/>
        </w:rPr>
        <w:t>阶段，待实施方案、申请计划与部门预算经鄂托克前旗财政主管部门审核通过，即进入采购阶段。</w:t>
      </w:r>
    </w:p>
    <w:p>
      <w:pPr>
        <w:pStyle w:val="23"/>
        <w:spacing w:line="360" w:lineRule="auto"/>
        <w:jc w:val="center"/>
        <w:rPr>
          <w:rFonts w:hint="eastAsia"/>
          <w:sz w:val="24"/>
          <w:szCs w:val="18"/>
        </w:rPr>
      </w:pPr>
      <w:bookmarkStart w:id="21" w:name="_Toc29354"/>
      <w:bookmarkStart w:id="22" w:name="_Toc513015434"/>
      <w:bookmarkStart w:id="23" w:name="_Toc3302_WPSOffice_Level2"/>
      <w:bookmarkStart w:id="24" w:name="_Toc5393_WPSOffice_Level2"/>
      <w:r>
        <w:rPr>
          <w:rFonts w:hint="eastAsia"/>
          <w:sz w:val="24"/>
          <w:szCs w:val="18"/>
          <w:lang w:eastAsia="zh-CN"/>
        </w:rPr>
        <w:t>二、</w:t>
      </w:r>
      <w:r>
        <w:rPr>
          <w:rFonts w:hint="eastAsia"/>
          <w:sz w:val="24"/>
          <w:szCs w:val="18"/>
        </w:rPr>
        <w:t>项目必要性分析</w:t>
      </w:r>
      <w:bookmarkEnd w:id="21"/>
      <w:bookmarkEnd w:id="22"/>
      <w:bookmarkEnd w:id="23"/>
      <w:bookmarkEnd w:id="24"/>
    </w:p>
    <w:p>
      <w:pPr>
        <w:pStyle w:val="23"/>
        <w:spacing w:line="360" w:lineRule="auto"/>
        <w:ind w:firstLine="480" w:firstLineChars="200"/>
        <w:rPr>
          <w:rFonts w:hint="eastAsia"/>
          <w:sz w:val="24"/>
          <w:szCs w:val="18"/>
        </w:rPr>
      </w:pPr>
      <w:r>
        <w:rPr>
          <w:rFonts w:hint="eastAsia"/>
          <w:sz w:val="24"/>
          <w:szCs w:val="18"/>
          <w:lang w:val="en-US" w:eastAsia="zh-CN"/>
        </w:rPr>
        <w:t>1.项目要求及意义：根据各级部门文件要求，本项目包含空间地理信息技术、卫星遥感影像等现代信息化手段，以及检查髙标准农田建设面积、质量和管护利用等情况并全面准确上图入库，涉及包括农业、水利、地理信息等专业知识和多种软件操作。为了在上级部门要求的周期内高质量完成高标准农田上图入库及评估和三年规划工作，</w:t>
      </w:r>
      <w:r>
        <w:rPr>
          <w:rFonts w:hint="eastAsia"/>
          <w:sz w:val="24"/>
          <w:szCs w:val="18"/>
        </w:rPr>
        <w:t>采用政府购买服务模式实施</w:t>
      </w:r>
      <w:r>
        <w:rPr>
          <w:rFonts w:hint="eastAsia"/>
          <w:sz w:val="24"/>
          <w:szCs w:val="18"/>
          <w:lang w:eastAsia="zh-CN"/>
        </w:rPr>
        <w:t>，</w:t>
      </w:r>
      <w:r>
        <w:rPr>
          <w:rFonts w:hint="eastAsia"/>
          <w:sz w:val="24"/>
          <w:szCs w:val="18"/>
        </w:rPr>
        <w:t>经研究决定采用该种方式实施本项目</w:t>
      </w:r>
      <w:r>
        <w:rPr>
          <w:rFonts w:hint="eastAsia"/>
          <w:sz w:val="24"/>
          <w:szCs w:val="18"/>
          <w:lang w:eastAsia="zh-CN"/>
        </w:rPr>
        <w:t>。项目实施后将</w:t>
      </w:r>
      <w:r>
        <w:rPr>
          <w:rFonts w:hint="eastAsia"/>
          <w:sz w:val="24"/>
          <w:szCs w:val="18"/>
        </w:rPr>
        <w:t>全面摸清“十二五”以来髙标准农田建设数量、质量（符合、基本符合和需要提质改造）和后续管护利用情况，并全面准确上图入库，解决</w:t>
      </w:r>
      <w:r>
        <w:rPr>
          <w:rFonts w:hint="eastAsia"/>
          <w:sz w:val="24"/>
          <w:szCs w:val="18"/>
          <w:lang w:val="zh-CN" w:eastAsia="zh-CN"/>
        </w:rPr>
        <w:t>“三</w:t>
      </w:r>
      <w:r>
        <w:rPr>
          <w:rFonts w:hint="eastAsia"/>
          <w:sz w:val="24"/>
          <w:szCs w:val="18"/>
        </w:rPr>
        <w:t>不清”问题，实现髙标准农田建设“底数清、位置准、情况明”目标。为进一步</w:t>
      </w:r>
      <w:r>
        <w:rPr>
          <w:rFonts w:hint="eastAsia"/>
          <w:sz w:val="24"/>
          <w:szCs w:val="18"/>
          <w:lang w:val="en-US" w:eastAsia="zh-CN"/>
        </w:rPr>
        <w:t>做好髙标准农田建设管理工作夯实基础。</w:t>
      </w:r>
    </w:p>
    <w:p>
      <w:pPr>
        <w:pStyle w:val="23"/>
        <w:spacing w:line="360" w:lineRule="auto"/>
        <w:ind w:firstLine="480" w:firstLineChars="200"/>
        <w:rPr>
          <w:rFonts w:hint="eastAsia"/>
          <w:sz w:val="24"/>
          <w:szCs w:val="18"/>
        </w:rPr>
      </w:pPr>
      <w:r>
        <w:rPr>
          <w:rFonts w:hint="eastAsia"/>
          <w:sz w:val="24"/>
          <w:szCs w:val="18"/>
          <w:lang w:val="en-US" w:eastAsia="zh-CN"/>
        </w:rPr>
        <w:t>2.</w:t>
      </w:r>
      <w:r>
        <w:rPr>
          <w:rFonts w:hint="eastAsia"/>
          <w:sz w:val="24"/>
          <w:szCs w:val="18"/>
        </w:rPr>
        <w:t>政府购买服务模式实施本项目，将通过下列方式提升服务质量和效率：</w:t>
      </w:r>
    </w:p>
    <w:p>
      <w:pPr>
        <w:pStyle w:val="23"/>
        <w:spacing w:line="360" w:lineRule="auto"/>
        <w:ind w:firstLine="480" w:firstLineChars="200"/>
        <w:rPr>
          <w:rFonts w:hint="eastAsia"/>
          <w:sz w:val="24"/>
          <w:szCs w:val="18"/>
        </w:rPr>
      </w:pPr>
      <w:r>
        <w:rPr>
          <w:rFonts w:hint="eastAsia"/>
          <w:sz w:val="24"/>
          <w:szCs w:val="18"/>
          <w:lang w:eastAsia="zh-CN"/>
        </w:rPr>
        <w:t>（</w:t>
      </w:r>
      <w:r>
        <w:rPr>
          <w:rFonts w:hint="eastAsia"/>
          <w:sz w:val="24"/>
          <w:szCs w:val="18"/>
          <w:lang w:val="en-US" w:eastAsia="zh-CN"/>
        </w:rPr>
        <w:t>1</w:t>
      </w:r>
      <w:r>
        <w:rPr>
          <w:rFonts w:hint="eastAsia"/>
          <w:sz w:val="24"/>
          <w:szCs w:val="18"/>
          <w:lang w:eastAsia="zh-CN"/>
        </w:rPr>
        <w:t>）</w:t>
      </w:r>
      <w:r>
        <w:rPr>
          <w:rFonts w:hint="eastAsia"/>
          <w:sz w:val="24"/>
          <w:szCs w:val="18"/>
        </w:rPr>
        <w:t>绩效考核机制：通过制定详细的绩效考核方案，确定绩效考核方式、考核主体、考核指标体系、评分标准等，保证项目进入服务期后，进行定期绩效考核，对项目进行全过程监督；</w:t>
      </w:r>
    </w:p>
    <w:p>
      <w:pPr>
        <w:pStyle w:val="23"/>
        <w:spacing w:line="360" w:lineRule="auto"/>
        <w:ind w:firstLine="480" w:firstLineChars="200"/>
        <w:rPr>
          <w:rFonts w:hint="eastAsia"/>
          <w:sz w:val="24"/>
          <w:szCs w:val="18"/>
        </w:rPr>
      </w:pPr>
      <w:r>
        <w:rPr>
          <w:rFonts w:hint="eastAsia"/>
          <w:sz w:val="24"/>
          <w:szCs w:val="18"/>
          <w:lang w:eastAsia="zh-CN"/>
        </w:rPr>
        <w:t>（</w:t>
      </w:r>
      <w:r>
        <w:rPr>
          <w:rFonts w:hint="eastAsia"/>
          <w:sz w:val="24"/>
          <w:szCs w:val="18"/>
          <w:lang w:val="en-US" w:eastAsia="zh-CN"/>
        </w:rPr>
        <w:t>2</w:t>
      </w:r>
      <w:r>
        <w:rPr>
          <w:rFonts w:hint="eastAsia"/>
          <w:sz w:val="24"/>
          <w:szCs w:val="18"/>
          <w:lang w:eastAsia="zh-CN"/>
        </w:rPr>
        <w:t>）</w:t>
      </w:r>
      <w:r>
        <w:rPr>
          <w:rFonts w:hint="eastAsia"/>
          <w:sz w:val="24"/>
          <w:szCs w:val="18"/>
        </w:rPr>
        <w:t>“按效付费”机制：根据绩效考核评分结果对应的支付比例，向承接主体支付服务费，承接主体提供服务未达到约定标准的，将扣除相应服务费，形成激励相容，促使承接主体创新服务管理方式、提高质量和效率；</w:t>
      </w:r>
    </w:p>
    <w:p>
      <w:pPr>
        <w:pStyle w:val="23"/>
        <w:spacing w:line="360" w:lineRule="auto"/>
        <w:ind w:firstLine="480" w:firstLineChars="200"/>
        <w:rPr>
          <w:rFonts w:hint="eastAsia"/>
          <w:sz w:val="24"/>
          <w:szCs w:val="18"/>
        </w:rPr>
      </w:pPr>
      <w:r>
        <w:rPr>
          <w:rFonts w:hint="eastAsia"/>
          <w:sz w:val="24"/>
          <w:szCs w:val="18"/>
          <w:lang w:eastAsia="zh-CN"/>
        </w:rPr>
        <w:t>（</w:t>
      </w:r>
      <w:r>
        <w:rPr>
          <w:rFonts w:hint="eastAsia"/>
          <w:sz w:val="24"/>
          <w:szCs w:val="18"/>
          <w:lang w:val="en-US" w:eastAsia="zh-CN"/>
        </w:rPr>
        <w:t>3</w:t>
      </w:r>
      <w:r>
        <w:rPr>
          <w:rFonts w:hint="eastAsia"/>
          <w:sz w:val="24"/>
          <w:szCs w:val="18"/>
          <w:lang w:eastAsia="zh-CN"/>
        </w:rPr>
        <w:t>）</w:t>
      </w:r>
      <w:r>
        <w:rPr>
          <w:rFonts w:hint="eastAsia"/>
          <w:sz w:val="24"/>
          <w:szCs w:val="18"/>
        </w:rPr>
        <w:t>全过程多层次监督机制：通过政府购买服务模式的实施，购买主体实现了职能转换，由过去的“供应者”转变为“监督者”，形成由购买主体、财政部门、第三方专业机构等多部门共同参与的监督体系，更好地提升服务水平和质量。</w:t>
      </w:r>
    </w:p>
    <w:p>
      <w:pPr>
        <w:pStyle w:val="23"/>
        <w:spacing w:line="360" w:lineRule="auto"/>
        <w:rPr>
          <w:rFonts w:hint="eastAsia"/>
          <w:sz w:val="24"/>
          <w:szCs w:val="18"/>
        </w:rPr>
      </w:pPr>
      <w:r>
        <w:rPr>
          <w:rFonts w:hint="eastAsia"/>
          <w:sz w:val="24"/>
          <w:szCs w:val="18"/>
        </w:rPr>
        <w:t>政府购买服务本身就是加强公共服务的一种积极信号，通过公平公正的采购程序选择承接主体，对承接主体的资格、资质、能力、经验进行严格把控，择优选择最适合项目运营的承接主体提供服务，促进社会力量提高竞争能力，激励社会力量提供更优质、更高效的全方位一体化服务。</w:t>
      </w:r>
    </w:p>
    <w:p>
      <w:pPr>
        <w:pStyle w:val="23"/>
        <w:spacing w:line="360" w:lineRule="auto"/>
        <w:ind w:firstLine="480" w:firstLineChars="200"/>
        <w:rPr>
          <w:rFonts w:hint="eastAsia"/>
          <w:sz w:val="24"/>
          <w:szCs w:val="18"/>
        </w:rPr>
      </w:pPr>
      <w:r>
        <w:rPr>
          <w:rFonts w:hint="eastAsia"/>
          <w:sz w:val="24"/>
          <w:szCs w:val="18"/>
        </w:rPr>
        <w:t>通过政府购买公共服务模式选取合适社会力量，由专业的人来做专业的事，对于推进公共服务领域改革，推动政府职能转变，整合利用社会资源，增强公众参与意识，激发市场活力，提高公共服务水平和效率，都具有重要意义。</w:t>
      </w:r>
    </w:p>
    <w:p>
      <w:pPr>
        <w:pStyle w:val="23"/>
        <w:spacing w:line="360" w:lineRule="auto"/>
        <w:ind w:firstLine="480" w:firstLineChars="200"/>
        <w:rPr>
          <w:rFonts w:hint="eastAsia"/>
          <w:sz w:val="24"/>
          <w:szCs w:val="18"/>
        </w:rPr>
      </w:pPr>
      <w:r>
        <w:rPr>
          <w:rFonts w:hint="eastAsia"/>
          <w:sz w:val="24"/>
          <w:szCs w:val="18"/>
        </w:rPr>
        <w:t>采用政府购买服务模式运作本项目，可以借助专业的社会力量降低服务成本。其一，本项目通过公平、公正、公开的法定程序，选择社会力量承担服务的过程是一个竞争的过程，同等质量、价低者得，同等价格、质优者得，通过竞争可以适当降低采购成本；其二，本项目中，鄂托克前旗</w:t>
      </w:r>
      <w:r>
        <w:rPr>
          <w:rFonts w:hint="eastAsia"/>
          <w:sz w:val="24"/>
          <w:szCs w:val="18"/>
          <w:lang w:eastAsia="zh-CN"/>
        </w:rPr>
        <w:t>农牧业综合开发中心</w:t>
      </w:r>
      <w:r>
        <w:rPr>
          <w:rFonts w:hint="eastAsia"/>
          <w:sz w:val="24"/>
          <w:szCs w:val="18"/>
        </w:rPr>
        <w:t>对于合同的履行，服务的内容、成本、效率和社会影响等情况进行合理评价，且服务费的支付与绩效考核挂钩，有助于降低成本、提高服务质量。</w:t>
      </w:r>
    </w:p>
    <w:p>
      <w:pPr>
        <w:pStyle w:val="23"/>
        <w:spacing w:line="360" w:lineRule="auto"/>
        <w:jc w:val="center"/>
        <w:rPr>
          <w:rFonts w:hint="eastAsia"/>
          <w:sz w:val="24"/>
          <w:szCs w:val="18"/>
        </w:rPr>
      </w:pPr>
      <w:bookmarkStart w:id="25" w:name="_Toc513015435"/>
      <w:bookmarkStart w:id="26" w:name="_Toc17035_WPSOffice_Level2"/>
      <w:bookmarkStart w:id="27" w:name="_Toc1088"/>
      <w:bookmarkStart w:id="28" w:name="_Toc21010_WPSOffice_Level2"/>
      <w:r>
        <w:rPr>
          <w:rFonts w:hint="eastAsia"/>
          <w:sz w:val="24"/>
          <w:szCs w:val="18"/>
          <w:lang w:eastAsia="zh-CN"/>
        </w:rPr>
        <w:t>三、</w:t>
      </w:r>
      <w:r>
        <w:rPr>
          <w:rFonts w:hint="eastAsia"/>
          <w:sz w:val="24"/>
          <w:szCs w:val="18"/>
        </w:rPr>
        <w:t>项目可行性分析</w:t>
      </w:r>
      <w:bookmarkEnd w:id="25"/>
      <w:bookmarkEnd w:id="26"/>
      <w:bookmarkEnd w:id="27"/>
      <w:bookmarkEnd w:id="28"/>
    </w:p>
    <w:p>
      <w:pPr>
        <w:pStyle w:val="23"/>
        <w:spacing w:line="360" w:lineRule="auto"/>
        <w:ind w:firstLine="480" w:firstLineChars="200"/>
        <w:rPr>
          <w:rFonts w:hint="eastAsia"/>
          <w:sz w:val="24"/>
          <w:szCs w:val="18"/>
        </w:rPr>
      </w:pPr>
      <w:r>
        <w:rPr>
          <w:rFonts w:hint="eastAsia"/>
          <w:sz w:val="24"/>
          <w:szCs w:val="18"/>
          <w:lang w:val="en-US" w:eastAsia="zh-CN"/>
        </w:rPr>
        <w:t>1.政策导向分析。</w:t>
      </w:r>
      <w:r>
        <w:rPr>
          <w:rFonts w:hint="eastAsia"/>
          <w:sz w:val="24"/>
          <w:szCs w:val="18"/>
        </w:rPr>
        <w:t>采用政府购买服务模式实施本项目，符合国家政策导向</w:t>
      </w:r>
      <w:r>
        <w:rPr>
          <w:rFonts w:hint="eastAsia"/>
          <w:sz w:val="24"/>
          <w:szCs w:val="18"/>
          <w:lang w:eastAsia="zh-CN"/>
        </w:rPr>
        <w:t>。</w:t>
      </w:r>
      <w:r>
        <w:rPr>
          <w:rFonts w:hint="eastAsia"/>
          <w:sz w:val="24"/>
          <w:szCs w:val="18"/>
        </w:rPr>
        <w:t>《政府购买服务管理办法（暂行）》（财综〔2014〕96号）</w:t>
      </w:r>
      <w:r>
        <w:rPr>
          <w:rFonts w:hint="eastAsia"/>
          <w:sz w:val="24"/>
          <w:szCs w:val="18"/>
          <w:lang w:eastAsia="zh-CN"/>
        </w:rPr>
        <w:t>第三章第十二条</w:t>
      </w:r>
      <w:r>
        <w:rPr>
          <w:rFonts w:hint="eastAsia"/>
          <w:sz w:val="24"/>
          <w:szCs w:val="18"/>
        </w:rPr>
        <w:t>明确：</w:t>
      </w:r>
      <w:r>
        <w:rPr>
          <w:rFonts w:hint="eastAsia"/>
          <w:sz w:val="24"/>
          <w:szCs w:val="18"/>
          <w:lang w:eastAsia="zh-CN"/>
        </w:rPr>
        <w:t>政府新增或临时性、阶段性的服务事项，适合社会力量承担的，应当按照政府购买方式进行。第十四条第一款明确</w:t>
      </w:r>
      <w:r>
        <w:rPr>
          <w:rFonts w:hint="eastAsia"/>
          <w:sz w:val="24"/>
          <w:szCs w:val="18"/>
        </w:rPr>
        <w:t>除法律法规另有规定外，应将公共教育、劳动就业、人才服务、社会保险、环境治理、城市维护</w:t>
      </w:r>
      <w:r>
        <w:rPr>
          <w:rFonts w:hint="eastAsia"/>
          <w:sz w:val="24"/>
          <w:szCs w:val="18"/>
          <w:lang w:eastAsia="zh-CN"/>
        </w:rPr>
        <w:t>、三农服务</w:t>
      </w:r>
      <w:r>
        <w:rPr>
          <w:rFonts w:hint="eastAsia"/>
          <w:sz w:val="24"/>
          <w:szCs w:val="18"/>
        </w:rPr>
        <w:t>等领域适宜由社会力量承担的基本公共服务纳入政府购买服务指导性目录。</w:t>
      </w:r>
    </w:p>
    <w:p>
      <w:pPr>
        <w:pStyle w:val="23"/>
        <w:spacing w:line="360" w:lineRule="auto"/>
        <w:ind w:firstLine="480" w:firstLineChars="200"/>
        <w:rPr>
          <w:rFonts w:hint="eastAsia"/>
          <w:sz w:val="24"/>
          <w:szCs w:val="18"/>
        </w:rPr>
      </w:pPr>
      <w:r>
        <w:rPr>
          <w:rFonts w:hint="eastAsia"/>
          <w:sz w:val="24"/>
          <w:szCs w:val="18"/>
        </w:rPr>
        <w:t>《鄂尔多斯市人民政府办公厅关于印发&lt;政府向社会力量购买服务实施方案&gt;的通知》（鄂府办发〔2015〕65号）附件为“鄂尔多斯市政府向社会组织购买服务指导性目录”，目录中包含</w:t>
      </w:r>
      <w:r>
        <w:rPr>
          <w:rFonts w:hint="eastAsia"/>
          <w:sz w:val="24"/>
          <w:szCs w:val="18"/>
          <w:lang w:eastAsia="zh-CN"/>
        </w:rPr>
        <w:t>规划评价</w:t>
      </w:r>
      <w:r>
        <w:rPr>
          <w:rFonts w:hint="eastAsia"/>
          <w:sz w:val="24"/>
          <w:szCs w:val="18"/>
        </w:rPr>
        <w:t>类项目。本项目应为</w:t>
      </w:r>
      <w:r>
        <w:rPr>
          <w:rFonts w:hint="eastAsia"/>
          <w:sz w:val="24"/>
          <w:szCs w:val="18"/>
          <w:lang w:eastAsia="zh-CN"/>
        </w:rPr>
        <w:t>技术咨询</w:t>
      </w:r>
      <w:r>
        <w:rPr>
          <w:rFonts w:hint="eastAsia"/>
          <w:sz w:val="24"/>
          <w:szCs w:val="18"/>
        </w:rPr>
        <w:t>类项目中的</w:t>
      </w:r>
      <w:r>
        <w:rPr>
          <w:rFonts w:hint="eastAsia"/>
          <w:sz w:val="24"/>
          <w:szCs w:val="18"/>
          <w:lang w:eastAsia="zh-CN"/>
        </w:rPr>
        <w:t>评价分析</w:t>
      </w:r>
      <w:r>
        <w:rPr>
          <w:rFonts w:hint="eastAsia"/>
          <w:sz w:val="24"/>
          <w:szCs w:val="18"/>
        </w:rPr>
        <w:t>项目，在当地政府购买服务指导性目录中，可以采用政府购买服务方式实施。</w:t>
      </w:r>
    </w:p>
    <w:p>
      <w:pPr>
        <w:pStyle w:val="23"/>
        <w:spacing w:line="360" w:lineRule="auto"/>
        <w:ind w:firstLine="480" w:firstLineChars="200"/>
        <w:rPr>
          <w:rFonts w:hint="eastAsia"/>
          <w:sz w:val="24"/>
          <w:szCs w:val="18"/>
        </w:rPr>
      </w:pPr>
      <w:r>
        <w:rPr>
          <w:rFonts w:hint="eastAsia"/>
          <w:sz w:val="24"/>
          <w:szCs w:val="18"/>
          <w:lang w:val="en-US" w:eastAsia="zh-CN"/>
        </w:rPr>
        <w:t>2.</w:t>
      </w:r>
      <w:r>
        <w:rPr>
          <w:rFonts w:hint="eastAsia"/>
          <w:sz w:val="24"/>
          <w:szCs w:val="18"/>
        </w:rPr>
        <w:t>承接主体竞争性分析</w:t>
      </w:r>
    </w:p>
    <w:p>
      <w:pPr>
        <w:pStyle w:val="23"/>
        <w:spacing w:line="360" w:lineRule="auto"/>
        <w:ind w:firstLine="480" w:firstLineChars="200"/>
        <w:rPr>
          <w:rFonts w:hint="eastAsia"/>
          <w:sz w:val="24"/>
          <w:szCs w:val="18"/>
        </w:rPr>
      </w:pPr>
      <w:r>
        <w:rPr>
          <w:rFonts w:hint="eastAsia"/>
          <w:sz w:val="24"/>
          <w:szCs w:val="18"/>
        </w:rPr>
        <w:t>本项目对承接主体主要提出下列要求：</w:t>
      </w:r>
    </w:p>
    <w:p>
      <w:pPr>
        <w:pStyle w:val="23"/>
        <w:spacing w:line="360" w:lineRule="auto"/>
        <w:ind w:firstLine="480" w:firstLineChars="200"/>
        <w:rPr>
          <w:rFonts w:hint="eastAsia"/>
          <w:sz w:val="24"/>
          <w:szCs w:val="18"/>
        </w:rPr>
      </w:pPr>
      <w:r>
        <w:rPr>
          <w:rFonts w:hint="eastAsia"/>
          <w:sz w:val="24"/>
          <w:szCs w:val="18"/>
        </w:rPr>
        <w:t>（1）专业性要求：本项目要求承接主体具备</w:t>
      </w:r>
      <w:r>
        <w:rPr>
          <w:rFonts w:hint="eastAsia"/>
          <w:sz w:val="24"/>
          <w:szCs w:val="18"/>
          <w:lang w:eastAsia="zh-CN"/>
        </w:rPr>
        <w:t>农林水利</w:t>
      </w:r>
      <w:r>
        <w:rPr>
          <w:rFonts w:hint="eastAsia"/>
          <w:sz w:val="24"/>
          <w:szCs w:val="18"/>
        </w:rPr>
        <w:t>专业能力，准确把握</w:t>
      </w:r>
      <w:r>
        <w:rPr>
          <w:rFonts w:hint="eastAsia"/>
          <w:sz w:val="24"/>
          <w:szCs w:val="18"/>
          <w:lang w:eastAsia="zh-CN"/>
        </w:rPr>
        <w:t>高标准农田上图入库及三年规划文件要求</w:t>
      </w:r>
      <w:r>
        <w:rPr>
          <w:rFonts w:hint="eastAsia"/>
          <w:sz w:val="24"/>
          <w:szCs w:val="18"/>
        </w:rPr>
        <w:t>，根据</w:t>
      </w:r>
      <w:r>
        <w:rPr>
          <w:rFonts w:hint="eastAsia"/>
          <w:sz w:val="24"/>
          <w:szCs w:val="18"/>
          <w:lang w:eastAsia="zh-CN"/>
        </w:rPr>
        <w:t>要求按时准确完成评价分析工作</w:t>
      </w:r>
      <w:r>
        <w:rPr>
          <w:rFonts w:hint="eastAsia"/>
          <w:sz w:val="24"/>
          <w:szCs w:val="18"/>
        </w:rPr>
        <w:t>；</w:t>
      </w:r>
    </w:p>
    <w:p>
      <w:pPr>
        <w:pStyle w:val="23"/>
        <w:spacing w:line="360" w:lineRule="auto"/>
        <w:ind w:firstLine="480" w:firstLineChars="200"/>
        <w:rPr>
          <w:rFonts w:hint="eastAsia"/>
          <w:sz w:val="24"/>
          <w:szCs w:val="18"/>
          <w:lang w:eastAsia="zh-CN"/>
        </w:rPr>
      </w:pPr>
      <w:r>
        <w:rPr>
          <w:rFonts w:hint="eastAsia"/>
          <w:sz w:val="24"/>
          <w:szCs w:val="18"/>
        </w:rPr>
        <w:t>（2）规模要求：本项目要求承接主体的规模与</w:t>
      </w:r>
      <w:r>
        <w:rPr>
          <w:rFonts w:hint="eastAsia"/>
          <w:sz w:val="24"/>
          <w:szCs w:val="18"/>
          <w:lang w:eastAsia="zh-CN"/>
        </w:rPr>
        <w:t>全旗“十二五”以来农田建设</w:t>
      </w:r>
      <w:r>
        <w:rPr>
          <w:rFonts w:hint="eastAsia"/>
          <w:sz w:val="24"/>
          <w:szCs w:val="18"/>
        </w:rPr>
        <w:t>规模相适应</w:t>
      </w:r>
      <w:r>
        <w:rPr>
          <w:rFonts w:hint="eastAsia"/>
          <w:sz w:val="24"/>
          <w:szCs w:val="18"/>
          <w:lang w:eastAsia="zh-CN"/>
        </w:rPr>
        <w:t>。</w:t>
      </w:r>
    </w:p>
    <w:p>
      <w:pPr>
        <w:pStyle w:val="23"/>
        <w:spacing w:line="360" w:lineRule="auto"/>
        <w:ind w:firstLine="480" w:firstLineChars="200"/>
        <w:rPr>
          <w:rFonts w:hint="eastAsia"/>
          <w:sz w:val="24"/>
          <w:szCs w:val="18"/>
        </w:rPr>
      </w:pPr>
      <w:r>
        <w:rPr>
          <w:rFonts w:hint="eastAsia"/>
          <w:sz w:val="24"/>
          <w:szCs w:val="18"/>
        </w:rPr>
        <w:t>项目进入采购阶段前，应当进行充足的市场调查，对相关社会力量的能力、资质、经验、规模进行考察了解，与本级财政主管政府采购的部门商榷并确认采用适当的采购方式，选择适合承接主体。</w:t>
      </w:r>
    </w:p>
    <w:p>
      <w:pPr>
        <w:pStyle w:val="23"/>
        <w:spacing w:line="360" w:lineRule="auto"/>
        <w:ind w:firstLine="480" w:firstLineChars="200"/>
        <w:rPr>
          <w:rFonts w:hint="eastAsia"/>
          <w:sz w:val="24"/>
          <w:szCs w:val="18"/>
        </w:rPr>
      </w:pPr>
      <w:r>
        <w:rPr>
          <w:rFonts w:hint="eastAsia"/>
          <w:sz w:val="24"/>
          <w:szCs w:val="18"/>
          <w:lang w:val="en-US" w:eastAsia="zh-CN"/>
        </w:rPr>
        <w:t>3.</w:t>
      </w:r>
      <w:r>
        <w:rPr>
          <w:rFonts w:hint="eastAsia"/>
          <w:sz w:val="24"/>
          <w:szCs w:val="18"/>
        </w:rPr>
        <w:t>本项目目前具备的实施条件</w:t>
      </w:r>
    </w:p>
    <w:p>
      <w:pPr>
        <w:pStyle w:val="23"/>
        <w:spacing w:line="360" w:lineRule="auto"/>
        <w:ind w:firstLine="480" w:firstLineChars="200"/>
        <w:rPr>
          <w:rFonts w:hint="eastAsia"/>
          <w:sz w:val="24"/>
          <w:szCs w:val="18"/>
        </w:rPr>
      </w:pPr>
      <w:r>
        <w:rPr>
          <w:rFonts w:hint="eastAsia"/>
          <w:sz w:val="24"/>
          <w:szCs w:val="18"/>
        </w:rPr>
        <w:t>2016年鄂尔多斯市财政局下发了《鄂尔多斯市财政局关于印发鄂尔多斯市政府向社会力量购买服务流程规范政府购买服务项目实施方案编制指引项目合同范本的通知》（鄂财综发〔2016〕139号），此通知主要印发了三个文件：《鄂尔多斯市政府向社会力量购买服务流程规范》、《鄂尔多斯市政府购买服务项目实施方案编制指引》、《鄂尔多斯市政府向社会力量购买服务项目合同范本》。本通知将鄂尔多斯市各类政府购买服务从服务内容、业务板块、操作流程、合同签订等方面都有了明确的规定，更加有利于承接主体工作的开展。</w:t>
      </w:r>
    </w:p>
    <w:p>
      <w:pPr>
        <w:pStyle w:val="23"/>
        <w:spacing w:line="360" w:lineRule="auto"/>
        <w:ind w:firstLine="480" w:firstLineChars="200"/>
        <w:rPr>
          <w:rFonts w:hint="eastAsia"/>
          <w:sz w:val="24"/>
          <w:szCs w:val="18"/>
        </w:rPr>
      </w:pPr>
      <w:r>
        <w:rPr>
          <w:rFonts w:hint="eastAsia"/>
          <w:sz w:val="24"/>
          <w:szCs w:val="18"/>
        </w:rPr>
        <w:t>目前，项目处于准备阶段，待项目</w:t>
      </w:r>
      <w:r>
        <w:rPr>
          <w:rFonts w:hint="eastAsia"/>
          <w:sz w:val="24"/>
          <w:szCs w:val="18"/>
          <w:lang w:eastAsia="zh-CN"/>
        </w:rPr>
        <w:t>资金</w:t>
      </w:r>
      <w:r>
        <w:rPr>
          <w:rFonts w:hint="eastAsia"/>
          <w:sz w:val="24"/>
          <w:szCs w:val="18"/>
        </w:rPr>
        <w:t>申请</w:t>
      </w:r>
      <w:r>
        <w:rPr>
          <w:rFonts w:hint="eastAsia"/>
          <w:sz w:val="24"/>
          <w:szCs w:val="18"/>
          <w:lang w:eastAsia="zh-CN"/>
        </w:rPr>
        <w:t>计划</w:t>
      </w:r>
      <w:r>
        <w:rPr>
          <w:rFonts w:hint="eastAsia"/>
          <w:sz w:val="24"/>
          <w:szCs w:val="18"/>
        </w:rPr>
        <w:t>与部门预算提交鄂托克前旗财政主管部门审核通过，并与鄂托克前旗财政主管部门主管政府采购的相关部门商定采购方式后，即可进入采购阶段。</w:t>
      </w:r>
    </w:p>
    <w:p>
      <w:pPr>
        <w:pStyle w:val="23"/>
        <w:spacing w:line="360" w:lineRule="auto"/>
        <w:ind w:firstLine="480" w:firstLineChars="200"/>
        <w:rPr>
          <w:rFonts w:hint="eastAsia"/>
          <w:sz w:val="24"/>
          <w:szCs w:val="18"/>
        </w:rPr>
      </w:pPr>
      <w:bookmarkStart w:id="29" w:name="_Toc513015436"/>
      <w:bookmarkStart w:id="30" w:name="_Toc13291_WPSOffice_Level2"/>
      <w:bookmarkStart w:id="31" w:name="_Toc11250"/>
      <w:bookmarkStart w:id="32" w:name="_Toc23581_WPSOffice_Level2"/>
      <w:r>
        <w:rPr>
          <w:rFonts w:hint="eastAsia"/>
          <w:sz w:val="24"/>
          <w:szCs w:val="18"/>
          <w:lang w:val="en-US" w:eastAsia="zh-CN"/>
        </w:rPr>
        <w:t>4.</w:t>
      </w:r>
      <w:r>
        <w:rPr>
          <w:rFonts w:hint="eastAsia"/>
          <w:sz w:val="24"/>
          <w:szCs w:val="18"/>
        </w:rPr>
        <w:t>结论</w:t>
      </w:r>
      <w:bookmarkEnd w:id="29"/>
      <w:bookmarkEnd w:id="30"/>
      <w:bookmarkEnd w:id="31"/>
      <w:bookmarkEnd w:id="32"/>
    </w:p>
    <w:p>
      <w:pPr>
        <w:pStyle w:val="23"/>
        <w:spacing w:line="360" w:lineRule="auto"/>
        <w:ind w:firstLine="480" w:firstLineChars="200"/>
        <w:rPr>
          <w:rFonts w:hint="eastAsia"/>
          <w:sz w:val="24"/>
          <w:szCs w:val="18"/>
        </w:rPr>
      </w:pPr>
      <w:r>
        <w:rPr>
          <w:rFonts w:hint="eastAsia"/>
          <w:sz w:val="24"/>
          <w:szCs w:val="18"/>
        </w:rPr>
        <w:t>本项目</w:t>
      </w:r>
      <w:r>
        <w:rPr>
          <w:rFonts w:hint="eastAsia"/>
          <w:sz w:val="24"/>
          <w:szCs w:val="18"/>
          <w:lang w:eastAsia="zh-CN"/>
        </w:rPr>
        <w:t>涉及全旗四个镇约</w:t>
      </w:r>
      <w:r>
        <w:rPr>
          <w:rFonts w:hint="eastAsia"/>
          <w:sz w:val="24"/>
          <w:szCs w:val="18"/>
          <w:lang w:val="en-US" w:eastAsia="zh-CN"/>
        </w:rPr>
        <w:t>36万亩农田</w:t>
      </w:r>
      <w:r>
        <w:rPr>
          <w:rFonts w:hint="eastAsia"/>
          <w:sz w:val="24"/>
          <w:szCs w:val="18"/>
        </w:rPr>
        <w:t>，由鄂前旗</w:t>
      </w:r>
      <w:r>
        <w:rPr>
          <w:rFonts w:hint="eastAsia"/>
          <w:sz w:val="24"/>
          <w:szCs w:val="18"/>
          <w:lang w:eastAsia="zh-CN"/>
        </w:rPr>
        <w:t>农牧业综合开发中心</w:t>
      </w:r>
      <w:r>
        <w:rPr>
          <w:rFonts w:hint="eastAsia"/>
          <w:sz w:val="24"/>
          <w:szCs w:val="18"/>
        </w:rPr>
        <w:t>作为购买主体，向社会力量购买</w:t>
      </w:r>
      <w:r>
        <w:rPr>
          <w:rFonts w:hint="eastAsia"/>
          <w:sz w:val="24"/>
          <w:szCs w:val="18"/>
          <w:lang w:eastAsia="zh-CN"/>
        </w:rPr>
        <w:t>上图入库、评价分析及三年规划（</w:t>
      </w:r>
      <w:r>
        <w:rPr>
          <w:rFonts w:hint="eastAsia"/>
          <w:sz w:val="24"/>
          <w:szCs w:val="18"/>
          <w:lang w:val="en-US" w:eastAsia="zh-CN"/>
        </w:rPr>
        <w:t>2020-2022</w:t>
      </w:r>
      <w:r>
        <w:rPr>
          <w:rFonts w:hint="eastAsia"/>
          <w:sz w:val="24"/>
          <w:szCs w:val="18"/>
          <w:lang w:eastAsia="zh-CN"/>
        </w:rPr>
        <w:t>）</w:t>
      </w:r>
      <w:r>
        <w:rPr>
          <w:rFonts w:hint="eastAsia"/>
          <w:sz w:val="24"/>
          <w:szCs w:val="18"/>
        </w:rPr>
        <w:t>服务。本项目所需资金初步预算每年</w:t>
      </w:r>
      <w:r>
        <w:rPr>
          <w:rFonts w:hint="eastAsia"/>
          <w:sz w:val="24"/>
          <w:szCs w:val="18"/>
          <w:lang w:val="en-US" w:eastAsia="zh-CN"/>
        </w:rPr>
        <w:t>601060</w:t>
      </w:r>
      <w:r>
        <w:rPr>
          <w:rFonts w:hint="eastAsia"/>
          <w:sz w:val="24"/>
          <w:szCs w:val="18"/>
        </w:rPr>
        <w:t>元</w:t>
      </w:r>
      <w:r>
        <w:rPr>
          <w:rFonts w:hint="eastAsia"/>
          <w:sz w:val="24"/>
          <w:szCs w:val="18"/>
          <w:lang w:eastAsia="zh-CN"/>
        </w:rPr>
        <w:t>，</w:t>
      </w:r>
      <w:r>
        <w:rPr>
          <w:rFonts w:hint="eastAsia"/>
          <w:sz w:val="24"/>
          <w:szCs w:val="18"/>
        </w:rPr>
        <w:t>列入</w:t>
      </w:r>
      <w:r>
        <w:rPr>
          <w:rFonts w:hint="eastAsia"/>
          <w:sz w:val="24"/>
          <w:szCs w:val="18"/>
          <w:lang w:val="en-US" w:eastAsia="zh-CN"/>
        </w:rPr>
        <w:t>鄂托克前旗政府购买服务支付资金</w:t>
      </w:r>
      <w:r>
        <w:rPr>
          <w:rFonts w:hint="eastAsia"/>
          <w:sz w:val="24"/>
          <w:szCs w:val="18"/>
        </w:rPr>
        <w:t>，从</w:t>
      </w:r>
      <w:r>
        <w:rPr>
          <w:rFonts w:hint="eastAsia"/>
          <w:sz w:val="24"/>
          <w:szCs w:val="18"/>
          <w:lang w:val="en-US" w:eastAsia="zh-CN"/>
        </w:rPr>
        <w:t>该项资金中</w:t>
      </w:r>
      <w:r>
        <w:rPr>
          <w:rFonts w:hint="eastAsia"/>
          <w:sz w:val="24"/>
          <w:szCs w:val="18"/>
        </w:rPr>
        <w:t>统筹安排。本项目采用政府购买服务模式实施必要可行、合理合规。在购买服务全过程中，项目将严格按照国家、地方相关政策法规的要求实施，保证我</w:t>
      </w:r>
      <w:r>
        <w:rPr>
          <w:rFonts w:hint="eastAsia"/>
          <w:sz w:val="24"/>
          <w:szCs w:val="18"/>
          <w:lang w:eastAsia="zh-CN"/>
        </w:rPr>
        <w:t>旗上图入库评价分析及三年规划</w:t>
      </w:r>
      <w:r>
        <w:rPr>
          <w:rFonts w:hint="eastAsia"/>
          <w:sz w:val="24"/>
          <w:szCs w:val="18"/>
        </w:rPr>
        <w:t>工作的顺利</w:t>
      </w:r>
      <w:r>
        <w:rPr>
          <w:rFonts w:hint="eastAsia"/>
          <w:sz w:val="24"/>
          <w:szCs w:val="18"/>
          <w:lang w:eastAsia="zh-CN"/>
        </w:rPr>
        <w:t>完成</w:t>
      </w:r>
      <w:r>
        <w:rPr>
          <w:rFonts w:hint="eastAsia"/>
          <w:sz w:val="24"/>
          <w:szCs w:val="18"/>
        </w:rPr>
        <w:t>。</w:t>
      </w:r>
      <w:bookmarkStart w:id="33" w:name="_Toc3831_WPSOffice_Level2"/>
      <w:bookmarkStart w:id="34" w:name="_Toc11229_WPSOffice_Level2"/>
      <w:bookmarkStart w:id="35" w:name="_Toc513015437"/>
      <w:bookmarkStart w:id="36" w:name="_Toc20525"/>
    </w:p>
    <w:p>
      <w:pPr>
        <w:pStyle w:val="23"/>
        <w:spacing w:line="360" w:lineRule="auto"/>
        <w:ind w:firstLine="480" w:firstLineChars="200"/>
        <w:rPr>
          <w:rFonts w:hint="eastAsia"/>
          <w:sz w:val="24"/>
          <w:szCs w:val="18"/>
        </w:rPr>
      </w:pPr>
      <w:r>
        <w:rPr>
          <w:rFonts w:hint="eastAsia"/>
          <w:sz w:val="24"/>
          <w:szCs w:val="18"/>
          <w:lang w:val="en-US" w:eastAsia="zh-CN"/>
        </w:rPr>
        <w:t>5.</w:t>
      </w:r>
      <w:r>
        <w:rPr>
          <w:rFonts w:hint="eastAsia"/>
          <w:sz w:val="24"/>
          <w:szCs w:val="18"/>
        </w:rPr>
        <w:t>支持性文件</w:t>
      </w:r>
      <w:bookmarkEnd w:id="33"/>
      <w:bookmarkEnd w:id="34"/>
      <w:bookmarkEnd w:id="35"/>
      <w:bookmarkEnd w:id="36"/>
    </w:p>
    <w:p>
      <w:pPr>
        <w:pStyle w:val="23"/>
        <w:spacing w:line="360" w:lineRule="auto"/>
        <w:ind w:firstLine="480" w:firstLineChars="200"/>
        <w:rPr>
          <w:rFonts w:hint="eastAsia"/>
          <w:sz w:val="24"/>
          <w:szCs w:val="18"/>
        </w:rPr>
      </w:pPr>
      <w:r>
        <w:rPr>
          <w:rFonts w:hint="eastAsia"/>
          <w:sz w:val="24"/>
          <w:szCs w:val="18"/>
          <w:lang w:eastAsia="zh-CN"/>
        </w:rPr>
        <w:t>（</w:t>
      </w:r>
      <w:r>
        <w:rPr>
          <w:rFonts w:hint="eastAsia"/>
          <w:sz w:val="24"/>
          <w:szCs w:val="18"/>
          <w:lang w:val="en-US" w:eastAsia="zh-CN"/>
        </w:rPr>
        <w:t>1</w:t>
      </w:r>
      <w:r>
        <w:rPr>
          <w:rFonts w:hint="eastAsia"/>
          <w:sz w:val="24"/>
          <w:szCs w:val="18"/>
          <w:lang w:eastAsia="zh-CN"/>
        </w:rPr>
        <w:t>）</w:t>
      </w:r>
      <w:r>
        <w:rPr>
          <w:rFonts w:hint="eastAsia"/>
          <w:sz w:val="24"/>
          <w:szCs w:val="18"/>
        </w:rPr>
        <w:t>《中华人民共和国政府采购法》（中华人民共和国主席令第68号）</w:t>
      </w:r>
    </w:p>
    <w:p>
      <w:pPr>
        <w:pStyle w:val="23"/>
        <w:spacing w:line="360" w:lineRule="auto"/>
        <w:ind w:firstLine="480" w:firstLineChars="200"/>
        <w:rPr>
          <w:rFonts w:hint="eastAsia"/>
          <w:sz w:val="24"/>
          <w:szCs w:val="18"/>
        </w:rPr>
      </w:pPr>
      <w:r>
        <w:rPr>
          <w:rFonts w:hint="eastAsia"/>
          <w:sz w:val="24"/>
          <w:szCs w:val="18"/>
          <w:lang w:eastAsia="zh-CN"/>
        </w:rPr>
        <w:t>（</w:t>
      </w:r>
      <w:r>
        <w:rPr>
          <w:rFonts w:hint="eastAsia"/>
          <w:sz w:val="24"/>
          <w:szCs w:val="18"/>
          <w:lang w:val="en-US" w:eastAsia="zh-CN"/>
        </w:rPr>
        <w:t>2</w:t>
      </w:r>
      <w:r>
        <w:rPr>
          <w:rFonts w:hint="eastAsia"/>
          <w:sz w:val="24"/>
          <w:szCs w:val="18"/>
          <w:lang w:eastAsia="zh-CN"/>
        </w:rPr>
        <w:t>）</w:t>
      </w:r>
      <w:r>
        <w:rPr>
          <w:rFonts w:hint="eastAsia"/>
          <w:sz w:val="24"/>
          <w:szCs w:val="18"/>
        </w:rPr>
        <w:t>《中华人民共和国政府采购法实施条例》（中华人民共和国国务院令第658号）</w:t>
      </w:r>
    </w:p>
    <w:p>
      <w:pPr>
        <w:pStyle w:val="23"/>
        <w:spacing w:line="360" w:lineRule="auto"/>
        <w:ind w:firstLine="480" w:firstLineChars="200"/>
        <w:rPr>
          <w:rFonts w:hint="eastAsia"/>
          <w:sz w:val="24"/>
          <w:szCs w:val="18"/>
        </w:rPr>
      </w:pPr>
      <w:r>
        <w:rPr>
          <w:rFonts w:hint="eastAsia"/>
          <w:sz w:val="24"/>
          <w:szCs w:val="18"/>
          <w:lang w:eastAsia="zh-CN"/>
        </w:rPr>
        <w:t>（</w:t>
      </w:r>
      <w:r>
        <w:rPr>
          <w:rFonts w:hint="eastAsia"/>
          <w:sz w:val="24"/>
          <w:szCs w:val="18"/>
          <w:lang w:val="en-US" w:eastAsia="zh-CN"/>
        </w:rPr>
        <w:t>3</w:t>
      </w:r>
      <w:r>
        <w:rPr>
          <w:rFonts w:hint="eastAsia"/>
          <w:sz w:val="24"/>
          <w:szCs w:val="18"/>
          <w:lang w:eastAsia="zh-CN"/>
        </w:rPr>
        <w:t>）</w:t>
      </w:r>
      <w:r>
        <w:rPr>
          <w:rFonts w:hint="eastAsia"/>
          <w:sz w:val="24"/>
          <w:szCs w:val="18"/>
        </w:rPr>
        <w:t>《中华人民共和国政府信息公开条例》（中华人民共和国国务院令第492号）</w:t>
      </w:r>
    </w:p>
    <w:p>
      <w:pPr>
        <w:pStyle w:val="23"/>
        <w:spacing w:line="360" w:lineRule="auto"/>
        <w:ind w:firstLine="480" w:firstLineChars="200"/>
        <w:rPr>
          <w:rFonts w:hint="eastAsia"/>
          <w:sz w:val="24"/>
          <w:szCs w:val="18"/>
        </w:rPr>
      </w:pPr>
      <w:r>
        <w:rPr>
          <w:rFonts w:hint="eastAsia"/>
          <w:sz w:val="24"/>
          <w:szCs w:val="18"/>
          <w:lang w:eastAsia="zh-CN"/>
        </w:rPr>
        <w:t>（</w:t>
      </w:r>
      <w:r>
        <w:rPr>
          <w:rFonts w:hint="eastAsia"/>
          <w:sz w:val="24"/>
          <w:szCs w:val="18"/>
          <w:lang w:val="en-US" w:eastAsia="zh-CN"/>
        </w:rPr>
        <w:t>4</w:t>
      </w:r>
      <w:r>
        <w:rPr>
          <w:rFonts w:hint="eastAsia"/>
          <w:sz w:val="24"/>
          <w:szCs w:val="18"/>
          <w:lang w:eastAsia="zh-CN"/>
        </w:rPr>
        <w:t>）</w:t>
      </w:r>
      <w:r>
        <w:rPr>
          <w:rFonts w:hint="eastAsia"/>
          <w:sz w:val="24"/>
          <w:szCs w:val="18"/>
        </w:rPr>
        <w:t>《关于政府向社会力量购买服务的指导意见》（国办发〔2013〕96号）</w:t>
      </w:r>
    </w:p>
    <w:p>
      <w:pPr>
        <w:pStyle w:val="23"/>
        <w:spacing w:line="360" w:lineRule="auto"/>
        <w:ind w:firstLine="480" w:firstLineChars="200"/>
        <w:rPr>
          <w:rFonts w:hint="eastAsia"/>
          <w:sz w:val="24"/>
          <w:szCs w:val="18"/>
          <w:lang w:val="en-US" w:eastAsia="zh-CN"/>
        </w:rPr>
      </w:pPr>
      <w:r>
        <w:rPr>
          <w:rFonts w:hint="eastAsia"/>
          <w:sz w:val="24"/>
          <w:szCs w:val="18"/>
          <w:lang w:eastAsia="zh-CN"/>
        </w:rPr>
        <w:t>（</w:t>
      </w:r>
      <w:r>
        <w:rPr>
          <w:rFonts w:hint="eastAsia"/>
          <w:sz w:val="24"/>
          <w:szCs w:val="18"/>
          <w:lang w:val="en-US" w:eastAsia="zh-CN"/>
        </w:rPr>
        <w:t>5</w:t>
      </w:r>
      <w:r>
        <w:rPr>
          <w:rFonts w:hint="eastAsia"/>
          <w:sz w:val="24"/>
          <w:szCs w:val="18"/>
          <w:lang w:eastAsia="zh-CN"/>
        </w:rPr>
        <w:t>）</w:t>
      </w:r>
      <w:r>
        <w:rPr>
          <w:rFonts w:hint="eastAsia"/>
          <w:sz w:val="24"/>
          <w:szCs w:val="18"/>
          <w:lang w:val="en-US" w:eastAsia="zh-CN"/>
        </w:rPr>
        <w:t>《农 业农村部关于开展“十二五</w:t>
      </w:r>
      <w:r>
        <w:rPr>
          <w:rFonts w:hint="eastAsia"/>
          <w:sz w:val="24"/>
          <w:szCs w:val="18"/>
          <w:lang w:val="zh-CN" w:eastAsia="zh-CN"/>
        </w:rPr>
        <w:t>”以来</w:t>
      </w:r>
      <w:r>
        <w:rPr>
          <w:rFonts w:hint="eastAsia"/>
          <w:sz w:val="24"/>
          <w:szCs w:val="18"/>
          <w:lang w:val="en-US" w:eastAsia="zh-CN"/>
        </w:rPr>
        <w:t>髙标准农田建设评估工作的 通知》（农建发〔2019〕4号）</w:t>
      </w:r>
    </w:p>
    <w:p>
      <w:pPr>
        <w:pStyle w:val="23"/>
        <w:spacing w:line="360" w:lineRule="auto"/>
        <w:ind w:firstLine="480" w:firstLineChars="200"/>
        <w:rPr>
          <w:rFonts w:hint="eastAsia"/>
          <w:sz w:val="24"/>
          <w:szCs w:val="18"/>
          <w:lang w:val="en-US" w:eastAsia="zh-CN"/>
        </w:rPr>
      </w:pPr>
      <w:r>
        <w:rPr>
          <w:rFonts w:hint="eastAsia"/>
          <w:sz w:val="24"/>
          <w:szCs w:val="18"/>
          <w:lang w:val="en-US" w:eastAsia="zh-CN"/>
        </w:rPr>
        <w:t>（6）《关于印发</w:t>
      </w:r>
      <w:r>
        <w:rPr>
          <w:rFonts w:hint="eastAsia"/>
          <w:sz w:val="24"/>
          <w:szCs w:val="18"/>
          <w:lang w:val="zh-CN" w:eastAsia="zh-CN"/>
        </w:rPr>
        <w:t>“十</w:t>
      </w:r>
      <w:r>
        <w:rPr>
          <w:rFonts w:hint="eastAsia"/>
          <w:sz w:val="24"/>
          <w:szCs w:val="18"/>
          <w:lang w:val="en-US" w:eastAsia="zh-CN"/>
        </w:rPr>
        <w:t>二五”以来髙标 准农田建设上图入库工作指南等补充文件的函》（农建（监管）〔2019〕23号）</w:t>
      </w:r>
    </w:p>
    <w:p>
      <w:pPr>
        <w:pStyle w:val="23"/>
        <w:spacing w:line="360" w:lineRule="auto"/>
        <w:ind w:firstLine="480" w:firstLineChars="200"/>
        <w:rPr>
          <w:rFonts w:hint="eastAsia"/>
          <w:sz w:val="24"/>
          <w:szCs w:val="18"/>
          <w:lang w:val="en-US" w:eastAsia="zh-CN"/>
        </w:rPr>
      </w:pPr>
      <w:r>
        <w:rPr>
          <w:rFonts w:hint="eastAsia"/>
          <w:sz w:val="24"/>
          <w:szCs w:val="18"/>
          <w:lang w:val="en-US" w:eastAsia="zh-CN"/>
        </w:rPr>
        <w:t>（7）《内蒙古自治区农牧厅关于印发内蒙古自治区关于开展</w:t>
      </w:r>
      <w:r>
        <w:rPr>
          <w:rFonts w:hint="eastAsia"/>
          <w:sz w:val="24"/>
          <w:szCs w:val="18"/>
          <w:lang w:val="zh-CN" w:eastAsia="zh-CN"/>
        </w:rPr>
        <w:t>“十二</w:t>
      </w:r>
      <w:r>
        <w:rPr>
          <w:rFonts w:hint="eastAsia"/>
          <w:sz w:val="24"/>
          <w:szCs w:val="18"/>
          <w:lang w:val="en-US" w:eastAsia="zh-CN"/>
        </w:rPr>
        <w:t>五”以来髙标准农田建设评估工作方案的通知》（内农牧建发〔2019〕311号）</w:t>
      </w:r>
      <w:bookmarkStart w:id="37" w:name="bookmark5"/>
      <w:bookmarkStart w:id="38" w:name="bookmark3"/>
      <w:bookmarkStart w:id="39" w:name="bookmark4"/>
    </w:p>
    <w:p>
      <w:pPr>
        <w:pStyle w:val="23"/>
        <w:spacing w:line="360" w:lineRule="auto"/>
        <w:ind w:firstLine="480" w:firstLineChars="200"/>
        <w:rPr>
          <w:rFonts w:hint="eastAsia"/>
          <w:sz w:val="24"/>
          <w:szCs w:val="18"/>
          <w:lang w:val="en-US" w:eastAsia="zh-CN"/>
        </w:rPr>
      </w:pPr>
      <w:r>
        <w:rPr>
          <w:rFonts w:hint="eastAsia"/>
          <w:sz w:val="24"/>
          <w:szCs w:val="18"/>
          <w:lang w:val="en-US" w:eastAsia="zh-CN"/>
        </w:rPr>
        <w:t>（8）《鄂尔多斯市农牧局关于印发〈鄂尔多斯市关于开展</w:t>
      </w:r>
      <w:r>
        <w:rPr>
          <w:rFonts w:hint="eastAsia"/>
          <w:sz w:val="24"/>
          <w:szCs w:val="18"/>
          <w:lang w:val="zh-CN" w:eastAsia="zh-CN"/>
        </w:rPr>
        <w:t>“十</w:t>
      </w:r>
      <w:r>
        <w:rPr>
          <w:rFonts w:hint="eastAsia"/>
          <w:sz w:val="24"/>
          <w:szCs w:val="18"/>
          <w:lang w:val="en-US" w:eastAsia="zh-CN"/>
        </w:rPr>
        <w:t>二五”以来高标准农田建设评估及上图入库工作方案〉的通知》</w:t>
      </w:r>
      <w:bookmarkEnd w:id="37"/>
      <w:bookmarkEnd w:id="38"/>
      <w:bookmarkEnd w:id="39"/>
      <w:r>
        <w:rPr>
          <w:rFonts w:hint="eastAsia"/>
          <w:sz w:val="24"/>
          <w:szCs w:val="18"/>
          <w:lang w:val="en-US" w:eastAsia="zh-CN"/>
        </w:rPr>
        <w:t>（鄂农牧发（2019）221号）</w:t>
      </w:r>
    </w:p>
    <w:p>
      <w:pPr>
        <w:pStyle w:val="23"/>
        <w:spacing w:line="360" w:lineRule="auto"/>
        <w:ind w:firstLine="480" w:firstLineChars="200"/>
        <w:rPr>
          <w:rFonts w:hint="eastAsia"/>
          <w:sz w:val="24"/>
          <w:szCs w:val="18"/>
        </w:rPr>
      </w:pPr>
      <w:r>
        <w:rPr>
          <w:rFonts w:hint="eastAsia"/>
          <w:sz w:val="24"/>
          <w:szCs w:val="18"/>
          <w:lang w:val="en-US" w:eastAsia="zh-CN"/>
        </w:rPr>
        <w:t>（9）</w:t>
      </w:r>
      <w:r>
        <w:rPr>
          <w:rFonts w:hint="eastAsia"/>
          <w:sz w:val="24"/>
          <w:szCs w:val="18"/>
        </w:rPr>
        <w:t>《政府购买服务管理办法（暂行）》（财综〔2014〕96号）</w:t>
      </w:r>
    </w:p>
    <w:p>
      <w:pPr>
        <w:pStyle w:val="23"/>
        <w:spacing w:line="360" w:lineRule="auto"/>
        <w:ind w:firstLine="480" w:firstLineChars="200"/>
        <w:rPr>
          <w:rFonts w:hint="eastAsia"/>
          <w:sz w:val="24"/>
          <w:szCs w:val="18"/>
        </w:rPr>
      </w:pPr>
      <w:r>
        <w:rPr>
          <w:rFonts w:hint="eastAsia"/>
          <w:sz w:val="24"/>
          <w:szCs w:val="18"/>
          <w:lang w:eastAsia="zh-CN"/>
        </w:rPr>
        <w:t>（</w:t>
      </w:r>
      <w:r>
        <w:rPr>
          <w:rFonts w:hint="eastAsia"/>
          <w:sz w:val="24"/>
          <w:szCs w:val="18"/>
          <w:lang w:val="en-US" w:eastAsia="zh-CN"/>
        </w:rPr>
        <w:t>10</w:t>
      </w:r>
      <w:r>
        <w:rPr>
          <w:rFonts w:hint="eastAsia"/>
          <w:sz w:val="24"/>
          <w:szCs w:val="18"/>
          <w:lang w:eastAsia="zh-CN"/>
        </w:rPr>
        <w:t>）</w:t>
      </w:r>
      <w:r>
        <w:rPr>
          <w:rFonts w:hint="eastAsia"/>
          <w:sz w:val="24"/>
          <w:szCs w:val="18"/>
        </w:rPr>
        <w:t>《政府采购竞争性磋商采购方式管理暂行办法》（财库〔2014〕214号）</w:t>
      </w:r>
    </w:p>
    <w:p>
      <w:pPr>
        <w:pStyle w:val="23"/>
        <w:spacing w:line="360" w:lineRule="auto"/>
        <w:ind w:firstLine="480" w:firstLineChars="200"/>
        <w:rPr>
          <w:rFonts w:hint="eastAsia"/>
          <w:sz w:val="24"/>
          <w:szCs w:val="18"/>
        </w:rPr>
      </w:pPr>
      <w:r>
        <w:rPr>
          <w:rFonts w:hint="eastAsia"/>
          <w:sz w:val="24"/>
          <w:szCs w:val="18"/>
          <w:lang w:eastAsia="zh-CN"/>
        </w:rPr>
        <w:t>（</w:t>
      </w:r>
      <w:r>
        <w:rPr>
          <w:rFonts w:hint="eastAsia"/>
          <w:sz w:val="24"/>
          <w:szCs w:val="18"/>
          <w:lang w:val="en-US" w:eastAsia="zh-CN"/>
        </w:rPr>
        <w:t>11</w:t>
      </w:r>
      <w:r>
        <w:rPr>
          <w:rFonts w:hint="eastAsia"/>
          <w:sz w:val="24"/>
          <w:szCs w:val="18"/>
          <w:lang w:eastAsia="zh-CN"/>
        </w:rPr>
        <w:t>）</w:t>
      </w:r>
      <w:r>
        <w:rPr>
          <w:rFonts w:hint="eastAsia"/>
          <w:sz w:val="24"/>
          <w:szCs w:val="18"/>
        </w:rPr>
        <w:t>《内蒙古自治区政府向社会力量购买服务管理办法》（内政办发〔2015〕154号）</w:t>
      </w:r>
    </w:p>
    <w:p>
      <w:pPr>
        <w:pStyle w:val="23"/>
        <w:spacing w:line="360" w:lineRule="auto"/>
        <w:ind w:firstLine="480" w:firstLineChars="200"/>
        <w:rPr>
          <w:rFonts w:hint="eastAsia"/>
          <w:sz w:val="24"/>
          <w:szCs w:val="18"/>
        </w:rPr>
      </w:pPr>
      <w:r>
        <w:rPr>
          <w:rFonts w:hint="eastAsia"/>
          <w:sz w:val="24"/>
          <w:szCs w:val="18"/>
          <w:lang w:eastAsia="zh-CN"/>
        </w:rPr>
        <w:t>（</w:t>
      </w:r>
      <w:r>
        <w:rPr>
          <w:rFonts w:hint="eastAsia"/>
          <w:sz w:val="24"/>
          <w:szCs w:val="18"/>
          <w:lang w:val="en-US" w:eastAsia="zh-CN"/>
        </w:rPr>
        <w:t>12</w:t>
      </w:r>
      <w:r>
        <w:rPr>
          <w:rFonts w:hint="eastAsia"/>
          <w:sz w:val="24"/>
          <w:szCs w:val="18"/>
          <w:lang w:eastAsia="zh-CN"/>
        </w:rPr>
        <w:t>）</w:t>
      </w:r>
      <w:r>
        <w:rPr>
          <w:rFonts w:hint="eastAsia"/>
          <w:sz w:val="24"/>
          <w:szCs w:val="18"/>
        </w:rPr>
        <w:t>《鄂尔多斯市人民政府办公厅关于印发&lt;政府向社会力量购买服务实施方案&gt;的通知》（鄂府办发〔2015〕65号）</w:t>
      </w:r>
    </w:p>
    <w:bookmarkEnd w:id="17"/>
    <w:p>
      <w:pPr>
        <w:pStyle w:val="23"/>
        <w:spacing w:line="360" w:lineRule="auto"/>
        <w:jc w:val="center"/>
        <w:rPr>
          <w:rFonts w:hint="eastAsia"/>
          <w:sz w:val="24"/>
          <w:szCs w:val="18"/>
          <w:lang w:val="en-US" w:eastAsia="zh-CN"/>
        </w:rPr>
      </w:pPr>
      <w:r>
        <w:rPr>
          <w:rFonts w:hint="eastAsia"/>
          <w:sz w:val="24"/>
          <w:szCs w:val="18"/>
          <w:lang w:val="en-US" w:eastAsia="zh-CN"/>
        </w:rPr>
        <w:t>四、购买主体</w:t>
      </w:r>
    </w:p>
    <w:p>
      <w:pPr>
        <w:pStyle w:val="23"/>
        <w:spacing w:line="360" w:lineRule="auto"/>
        <w:ind w:firstLine="480" w:firstLineChars="200"/>
        <w:rPr>
          <w:rFonts w:hint="default"/>
          <w:sz w:val="24"/>
          <w:szCs w:val="18"/>
          <w:lang w:val="en-US" w:eastAsia="zh-CN"/>
        </w:rPr>
      </w:pPr>
      <w:r>
        <w:rPr>
          <w:rFonts w:hint="eastAsia"/>
          <w:sz w:val="24"/>
          <w:szCs w:val="18"/>
          <w:lang w:val="en-US" w:eastAsia="zh-CN"/>
        </w:rPr>
        <w:t>鄂托克前旗农牧业综合开发中心</w:t>
      </w:r>
    </w:p>
    <w:p>
      <w:pPr>
        <w:pStyle w:val="23"/>
        <w:spacing w:line="360" w:lineRule="auto"/>
        <w:jc w:val="center"/>
        <w:rPr>
          <w:rFonts w:hint="eastAsia"/>
          <w:sz w:val="24"/>
          <w:szCs w:val="18"/>
        </w:rPr>
      </w:pPr>
      <w:bookmarkStart w:id="40" w:name="_Toc23140"/>
      <w:bookmarkStart w:id="41" w:name="_Toc29650_WPSOffice_Level2"/>
      <w:bookmarkStart w:id="42" w:name="_Toc513015442"/>
      <w:bookmarkStart w:id="43" w:name="_Toc663_WPSOffice_Level2"/>
      <w:r>
        <w:rPr>
          <w:rFonts w:hint="eastAsia"/>
          <w:sz w:val="24"/>
          <w:szCs w:val="18"/>
          <w:lang w:eastAsia="zh-CN"/>
        </w:rPr>
        <w:t>五、购买</w:t>
      </w:r>
      <w:r>
        <w:rPr>
          <w:rFonts w:hint="eastAsia"/>
          <w:sz w:val="24"/>
          <w:szCs w:val="18"/>
        </w:rPr>
        <w:t>内容质量标准</w:t>
      </w:r>
      <w:bookmarkEnd w:id="40"/>
      <w:bookmarkEnd w:id="41"/>
      <w:bookmarkEnd w:id="42"/>
      <w:bookmarkEnd w:id="43"/>
    </w:p>
    <w:p>
      <w:pPr>
        <w:pStyle w:val="23"/>
        <w:spacing w:line="360" w:lineRule="auto"/>
        <w:rPr>
          <w:rFonts w:hint="eastAsia"/>
          <w:sz w:val="24"/>
          <w:szCs w:val="18"/>
        </w:rPr>
      </w:pPr>
      <w:r>
        <w:rPr>
          <w:rFonts w:hint="eastAsia"/>
          <w:sz w:val="24"/>
          <w:szCs w:val="18"/>
          <w:lang w:eastAsia="zh-CN"/>
        </w:rPr>
        <w:t>（一）</w:t>
      </w:r>
      <w:r>
        <w:rPr>
          <w:rFonts w:hint="eastAsia"/>
          <w:sz w:val="24"/>
          <w:szCs w:val="18"/>
        </w:rPr>
        <w:t>项目购买内容</w:t>
      </w:r>
    </w:p>
    <w:p>
      <w:pPr>
        <w:pStyle w:val="23"/>
        <w:spacing w:line="360" w:lineRule="auto"/>
        <w:ind w:firstLine="480" w:firstLineChars="200"/>
        <w:rPr>
          <w:rFonts w:hint="eastAsia"/>
          <w:sz w:val="24"/>
          <w:szCs w:val="18"/>
        </w:rPr>
      </w:pPr>
      <w:r>
        <w:rPr>
          <w:rFonts w:hint="eastAsia"/>
          <w:sz w:val="24"/>
          <w:szCs w:val="18"/>
        </w:rPr>
        <w:t>鄂托克前旗</w:t>
      </w:r>
      <w:r>
        <w:rPr>
          <w:rFonts w:hint="eastAsia"/>
          <w:sz w:val="24"/>
          <w:szCs w:val="18"/>
          <w:lang w:eastAsia="zh-CN"/>
        </w:rPr>
        <w:t>“十二五”以来高标准农田建设项目上图入库及三年规划</w:t>
      </w:r>
      <w:r>
        <w:rPr>
          <w:rFonts w:hint="eastAsia"/>
          <w:sz w:val="24"/>
          <w:szCs w:val="18"/>
        </w:rPr>
        <w:t>服务按工作内容划分具体包括：</w:t>
      </w:r>
    </w:p>
    <w:p>
      <w:pPr>
        <w:pStyle w:val="23"/>
        <w:spacing w:line="360" w:lineRule="auto"/>
        <w:ind w:firstLine="480" w:firstLineChars="200"/>
        <w:rPr>
          <w:rFonts w:hint="eastAsia"/>
          <w:sz w:val="24"/>
          <w:szCs w:val="18"/>
          <w:lang w:eastAsia="zh-CN"/>
        </w:rPr>
      </w:pPr>
      <w:r>
        <w:rPr>
          <w:rFonts w:hint="eastAsia"/>
          <w:sz w:val="24"/>
          <w:szCs w:val="18"/>
          <w:lang w:val="en-US" w:eastAsia="zh-CN"/>
        </w:rPr>
        <w:t>1.</w:t>
      </w:r>
      <w:r>
        <w:rPr>
          <w:rFonts w:hint="eastAsia"/>
          <w:sz w:val="24"/>
          <w:szCs w:val="18"/>
          <w:lang w:eastAsia="zh-CN"/>
        </w:rPr>
        <w:t>对照历年自然资源、水利、财政、发改和农牧等部门十二五以来实施的农田建设项目资料进行现场清查及评估分析。</w:t>
      </w:r>
    </w:p>
    <w:p>
      <w:pPr>
        <w:pStyle w:val="23"/>
        <w:spacing w:line="360" w:lineRule="auto"/>
        <w:ind w:firstLine="480" w:firstLineChars="200"/>
        <w:rPr>
          <w:rFonts w:hint="eastAsia"/>
          <w:sz w:val="24"/>
          <w:szCs w:val="18"/>
          <w:lang w:eastAsia="zh-CN"/>
        </w:rPr>
      </w:pPr>
      <w:r>
        <w:rPr>
          <w:rFonts w:hint="eastAsia"/>
          <w:sz w:val="24"/>
          <w:szCs w:val="18"/>
          <w:lang w:val="en-US" w:eastAsia="zh-CN"/>
        </w:rPr>
        <w:t>2.</w:t>
      </w:r>
      <w:r>
        <w:rPr>
          <w:rFonts w:hint="eastAsia"/>
          <w:sz w:val="24"/>
          <w:szCs w:val="18"/>
          <w:lang w:eastAsia="zh-CN"/>
        </w:rPr>
        <w:t>按照相关文件要求对项目信息进行完善和上图入库，形成数据包并通过光盘汇交上报。</w:t>
      </w:r>
    </w:p>
    <w:p>
      <w:pPr>
        <w:pStyle w:val="23"/>
        <w:spacing w:line="360" w:lineRule="auto"/>
        <w:ind w:firstLine="480" w:firstLineChars="200"/>
        <w:rPr>
          <w:rFonts w:hint="eastAsia"/>
          <w:sz w:val="24"/>
          <w:szCs w:val="18"/>
          <w:lang w:eastAsia="zh-CN"/>
        </w:rPr>
      </w:pPr>
      <w:r>
        <w:rPr>
          <w:rFonts w:hint="eastAsia"/>
          <w:sz w:val="24"/>
          <w:szCs w:val="18"/>
          <w:lang w:val="en-US" w:eastAsia="zh-CN"/>
        </w:rPr>
        <w:t>3.</w:t>
      </w:r>
      <w:r>
        <w:rPr>
          <w:rFonts w:hint="eastAsia"/>
          <w:sz w:val="24"/>
          <w:szCs w:val="18"/>
          <w:lang w:eastAsia="zh-CN"/>
        </w:rPr>
        <w:t>通过评估分析和上图入库，以国土二次调查图（</w:t>
      </w:r>
      <w:r>
        <w:rPr>
          <w:rFonts w:hint="eastAsia"/>
          <w:sz w:val="24"/>
          <w:szCs w:val="18"/>
          <w:lang w:val="en-US" w:eastAsia="zh-CN"/>
        </w:rPr>
        <w:t>或三次调查图，为最新数据</w:t>
      </w:r>
      <w:r>
        <w:rPr>
          <w:rFonts w:hint="eastAsia"/>
          <w:sz w:val="24"/>
          <w:szCs w:val="18"/>
          <w:lang w:eastAsia="zh-CN"/>
        </w:rPr>
        <w:t>）为依据，作出未来三年全旗高标准农田建设规划。</w:t>
      </w:r>
    </w:p>
    <w:p>
      <w:pPr>
        <w:pStyle w:val="23"/>
        <w:spacing w:line="360" w:lineRule="auto"/>
        <w:ind w:firstLine="480" w:firstLineChars="200"/>
        <w:rPr>
          <w:rFonts w:hint="eastAsia"/>
          <w:sz w:val="24"/>
          <w:szCs w:val="18"/>
        </w:rPr>
      </w:pPr>
      <w:r>
        <w:rPr>
          <w:rFonts w:hint="eastAsia"/>
          <w:sz w:val="24"/>
          <w:szCs w:val="18"/>
        </w:rPr>
        <w:t>自20</w:t>
      </w:r>
      <w:r>
        <w:rPr>
          <w:rFonts w:hint="eastAsia"/>
          <w:sz w:val="24"/>
          <w:szCs w:val="18"/>
          <w:lang w:val="en-US" w:eastAsia="zh-CN"/>
        </w:rPr>
        <w:t>20</w:t>
      </w:r>
      <w:r>
        <w:rPr>
          <w:rFonts w:hint="eastAsia"/>
          <w:sz w:val="24"/>
          <w:szCs w:val="18"/>
        </w:rPr>
        <w:t>年</w:t>
      </w:r>
      <w:r>
        <w:rPr>
          <w:rFonts w:hint="eastAsia"/>
          <w:sz w:val="24"/>
          <w:szCs w:val="18"/>
          <w:lang w:val="en-US" w:eastAsia="zh-CN"/>
        </w:rPr>
        <w:t>4</w:t>
      </w:r>
      <w:r>
        <w:rPr>
          <w:rFonts w:hint="eastAsia"/>
          <w:sz w:val="24"/>
          <w:szCs w:val="18"/>
        </w:rPr>
        <w:t>月</w:t>
      </w:r>
      <w:r>
        <w:rPr>
          <w:rFonts w:hint="eastAsia"/>
          <w:sz w:val="24"/>
          <w:szCs w:val="18"/>
          <w:lang w:val="en-US" w:eastAsia="zh-CN"/>
        </w:rPr>
        <w:t>15</w:t>
      </w:r>
      <w:r>
        <w:rPr>
          <w:rFonts w:hint="eastAsia"/>
          <w:sz w:val="24"/>
          <w:szCs w:val="18"/>
        </w:rPr>
        <w:t>日起，至202</w:t>
      </w:r>
      <w:r>
        <w:rPr>
          <w:rFonts w:hint="eastAsia"/>
          <w:sz w:val="24"/>
          <w:szCs w:val="18"/>
          <w:lang w:val="en-US" w:eastAsia="zh-CN"/>
        </w:rPr>
        <w:t>0</w:t>
      </w:r>
      <w:r>
        <w:rPr>
          <w:rFonts w:hint="eastAsia"/>
          <w:sz w:val="24"/>
          <w:szCs w:val="18"/>
        </w:rPr>
        <w:t>年</w:t>
      </w:r>
      <w:r>
        <w:rPr>
          <w:rFonts w:hint="eastAsia"/>
          <w:sz w:val="24"/>
          <w:szCs w:val="18"/>
          <w:lang w:val="en-US" w:eastAsia="zh-CN"/>
        </w:rPr>
        <w:t>6</w:t>
      </w:r>
      <w:r>
        <w:rPr>
          <w:rFonts w:hint="eastAsia"/>
          <w:sz w:val="24"/>
          <w:szCs w:val="18"/>
        </w:rPr>
        <w:t>月</w:t>
      </w:r>
      <w:r>
        <w:rPr>
          <w:rFonts w:hint="eastAsia"/>
          <w:sz w:val="24"/>
          <w:szCs w:val="18"/>
          <w:lang w:val="en-US" w:eastAsia="zh-CN"/>
        </w:rPr>
        <w:t>15</w:t>
      </w:r>
      <w:r>
        <w:rPr>
          <w:rFonts w:hint="eastAsia"/>
          <w:sz w:val="24"/>
          <w:szCs w:val="18"/>
        </w:rPr>
        <w:t>日止。</w:t>
      </w:r>
    </w:p>
    <w:p>
      <w:pPr>
        <w:pStyle w:val="23"/>
        <w:spacing w:line="360" w:lineRule="auto"/>
        <w:rPr>
          <w:rFonts w:hint="eastAsia"/>
          <w:sz w:val="24"/>
          <w:szCs w:val="18"/>
        </w:rPr>
      </w:pPr>
      <w:r>
        <w:rPr>
          <w:rFonts w:hint="eastAsia"/>
          <w:sz w:val="24"/>
          <w:szCs w:val="18"/>
        </w:rPr>
        <w:t>购买内容合规性</w:t>
      </w:r>
    </w:p>
    <w:p>
      <w:pPr>
        <w:pStyle w:val="23"/>
        <w:spacing w:line="360" w:lineRule="auto"/>
        <w:ind w:firstLine="480" w:firstLineChars="200"/>
        <w:rPr>
          <w:rFonts w:hint="eastAsia"/>
          <w:sz w:val="24"/>
          <w:szCs w:val="18"/>
        </w:rPr>
      </w:pPr>
      <w:r>
        <w:rPr>
          <w:rFonts w:hint="eastAsia"/>
          <w:sz w:val="24"/>
          <w:szCs w:val="18"/>
        </w:rPr>
        <w:t>1.鄂托克前旗</w:t>
      </w:r>
      <w:r>
        <w:rPr>
          <w:rFonts w:hint="eastAsia"/>
          <w:sz w:val="24"/>
          <w:szCs w:val="18"/>
          <w:lang w:eastAsia="zh-CN"/>
        </w:rPr>
        <w:t>“十二五”以来高标准农田上图入库及三年规划</w:t>
      </w:r>
      <w:r>
        <w:rPr>
          <w:rFonts w:hint="eastAsia"/>
          <w:sz w:val="24"/>
          <w:szCs w:val="18"/>
        </w:rPr>
        <w:t>服务在“鄂尔多斯市政府向社会购买服务指导性目录”中，属于</w:t>
      </w:r>
      <w:r>
        <w:rPr>
          <w:rFonts w:hint="eastAsia"/>
          <w:sz w:val="24"/>
          <w:szCs w:val="18"/>
          <w:lang w:val="en-US" w:eastAsia="zh-CN"/>
        </w:rPr>
        <w:t>公共服务事项服务三农（牧）类</w:t>
      </w:r>
      <w:r>
        <w:rPr>
          <w:rFonts w:hint="eastAsia"/>
          <w:sz w:val="24"/>
          <w:szCs w:val="18"/>
        </w:rPr>
        <w:t>，符合相关规定。</w:t>
      </w:r>
    </w:p>
    <w:p>
      <w:pPr>
        <w:pStyle w:val="23"/>
        <w:spacing w:line="360" w:lineRule="auto"/>
        <w:ind w:firstLine="480" w:firstLineChars="200"/>
        <w:rPr>
          <w:rFonts w:hint="eastAsia"/>
          <w:sz w:val="24"/>
          <w:szCs w:val="18"/>
        </w:rPr>
      </w:pPr>
      <w:r>
        <w:rPr>
          <w:rFonts w:hint="eastAsia"/>
          <w:sz w:val="24"/>
          <w:szCs w:val="18"/>
        </w:rPr>
        <w:t>2.政府向社会力量购买服务的内容为适合采取市场化的方式提供，社会力量能够承担的公共服务，具有显著的公共性和公益性。</w:t>
      </w:r>
      <w:r>
        <w:rPr>
          <w:rFonts w:hint="eastAsia"/>
          <w:sz w:val="24"/>
          <w:szCs w:val="18"/>
          <w:lang w:eastAsia="zh-CN"/>
        </w:rPr>
        <w:t>且符合本项目的要求的专业性和实效性。</w:t>
      </w:r>
      <w:r>
        <w:rPr>
          <w:rFonts w:hint="eastAsia"/>
          <w:sz w:val="24"/>
          <w:szCs w:val="18"/>
        </w:rPr>
        <w:t>因此，本项目是可以购买的服务类项目。</w:t>
      </w:r>
    </w:p>
    <w:p>
      <w:pPr>
        <w:pStyle w:val="23"/>
        <w:spacing w:line="360" w:lineRule="auto"/>
        <w:rPr>
          <w:rFonts w:hint="eastAsia"/>
          <w:sz w:val="24"/>
          <w:szCs w:val="18"/>
        </w:rPr>
      </w:pPr>
      <w:r>
        <w:rPr>
          <w:rFonts w:hint="eastAsia"/>
          <w:sz w:val="24"/>
          <w:szCs w:val="18"/>
          <w:lang w:eastAsia="zh-CN"/>
        </w:rPr>
        <w:t>（三）</w:t>
      </w:r>
      <w:r>
        <w:rPr>
          <w:rFonts w:hint="eastAsia"/>
          <w:sz w:val="24"/>
          <w:szCs w:val="18"/>
        </w:rPr>
        <w:t>受益对象范围分析</w:t>
      </w:r>
    </w:p>
    <w:p>
      <w:pPr>
        <w:pStyle w:val="23"/>
        <w:spacing w:line="360" w:lineRule="auto"/>
        <w:ind w:firstLine="480" w:firstLineChars="200"/>
        <w:rPr>
          <w:rFonts w:hint="eastAsia"/>
          <w:sz w:val="24"/>
          <w:szCs w:val="18"/>
        </w:rPr>
      </w:pPr>
      <w:r>
        <w:rPr>
          <w:rFonts w:hint="eastAsia"/>
          <w:sz w:val="24"/>
          <w:szCs w:val="18"/>
        </w:rPr>
        <w:t>本项目</w:t>
      </w:r>
      <w:r>
        <w:rPr>
          <w:rFonts w:hint="eastAsia"/>
          <w:sz w:val="24"/>
          <w:szCs w:val="18"/>
          <w:lang w:eastAsia="zh-CN"/>
        </w:rPr>
        <w:t>旨在全面摸清我旗农田建设情况并上报农业农村部统一上图入库，实现全国“一张图”提供数据，同时为我旗今后农田建设及项目争取提供有力可靠数据。</w:t>
      </w:r>
      <w:r>
        <w:rPr>
          <w:rFonts w:hint="eastAsia"/>
          <w:sz w:val="24"/>
          <w:szCs w:val="18"/>
        </w:rPr>
        <w:t>受益</w:t>
      </w:r>
      <w:r>
        <w:rPr>
          <w:rFonts w:hint="eastAsia"/>
          <w:sz w:val="24"/>
          <w:szCs w:val="18"/>
          <w:lang w:eastAsia="zh-CN"/>
        </w:rPr>
        <w:t>范围涉及全旗群众</w:t>
      </w:r>
      <w:r>
        <w:rPr>
          <w:rFonts w:hint="eastAsia"/>
          <w:sz w:val="24"/>
          <w:szCs w:val="18"/>
        </w:rPr>
        <w:t>。</w:t>
      </w:r>
      <w:r>
        <w:rPr>
          <w:rFonts w:hint="eastAsia"/>
          <w:sz w:val="24"/>
          <w:szCs w:val="18"/>
          <w:lang w:eastAsia="zh-CN"/>
        </w:rPr>
        <w:t>对实施“乡村振兴战略”，</w:t>
      </w:r>
      <w:r>
        <w:rPr>
          <w:rFonts w:hint="eastAsia"/>
          <w:sz w:val="24"/>
          <w:szCs w:val="18"/>
        </w:rPr>
        <w:t>提高人民生活质量</w:t>
      </w:r>
      <w:r>
        <w:rPr>
          <w:rFonts w:hint="eastAsia"/>
          <w:sz w:val="24"/>
          <w:szCs w:val="18"/>
          <w:lang w:eastAsia="zh-CN"/>
        </w:rPr>
        <w:t>和全旗规划提供科学准确数据</w:t>
      </w:r>
      <w:r>
        <w:rPr>
          <w:rFonts w:hint="eastAsia"/>
          <w:sz w:val="24"/>
          <w:szCs w:val="18"/>
        </w:rPr>
        <w:t>。</w:t>
      </w:r>
    </w:p>
    <w:p>
      <w:pPr>
        <w:pStyle w:val="23"/>
        <w:spacing w:line="360" w:lineRule="auto"/>
        <w:rPr>
          <w:rFonts w:hint="eastAsia"/>
          <w:sz w:val="24"/>
          <w:szCs w:val="18"/>
        </w:rPr>
      </w:pPr>
      <w:r>
        <w:rPr>
          <w:rFonts w:hint="eastAsia"/>
          <w:sz w:val="24"/>
          <w:szCs w:val="18"/>
          <w:lang w:eastAsia="zh-CN"/>
        </w:rPr>
        <w:t>（四）</w:t>
      </w:r>
      <w:r>
        <w:rPr>
          <w:rFonts w:hint="eastAsia"/>
          <w:sz w:val="24"/>
          <w:szCs w:val="18"/>
        </w:rPr>
        <w:t>服务质量标准及要求</w:t>
      </w:r>
    </w:p>
    <w:p>
      <w:pPr>
        <w:pStyle w:val="23"/>
        <w:spacing w:line="360" w:lineRule="auto"/>
        <w:ind w:firstLine="480" w:firstLineChars="200"/>
        <w:rPr>
          <w:rFonts w:hint="eastAsia"/>
          <w:sz w:val="24"/>
          <w:szCs w:val="18"/>
        </w:rPr>
      </w:pPr>
      <w:r>
        <w:rPr>
          <w:rFonts w:hint="eastAsia"/>
          <w:sz w:val="24"/>
          <w:szCs w:val="18"/>
        </w:rPr>
        <w:t>本项目承接主体应当严格按照国家、自治区相关</w:t>
      </w:r>
      <w:r>
        <w:rPr>
          <w:rFonts w:hint="eastAsia"/>
          <w:sz w:val="24"/>
          <w:szCs w:val="18"/>
          <w:lang w:eastAsia="zh-CN"/>
        </w:rPr>
        <w:t>文件精神</w:t>
      </w:r>
      <w:r>
        <w:rPr>
          <w:rFonts w:hint="eastAsia"/>
          <w:sz w:val="24"/>
          <w:szCs w:val="18"/>
        </w:rPr>
        <w:t>履行服务的相关工作，保证服务工作的</w:t>
      </w:r>
      <w:r>
        <w:rPr>
          <w:rFonts w:hint="eastAsia"/>
          <w:sz w:val="24"/>
          <w:szCs w:val="18"/>
          <w:lang w:eastAsia="zh-CN"/>
        </w:rPr>
        <w:t>高质量按时完成</w:t>
      </w:r>
      <w:r>
        <w:rPr>
          <w:rFonts w:hint="eastAsia"/>
          <w:sz w:val="24"/>
          <w:szCs w:val="18"/>
        </w:rPr>
        <w:t>。</w:t>
      </w:r>
    </w:p>
    <w:p>
      <w:pPr>
        <w:pStyle w:val="23"/>
        <w:spacing w:line="360" w:lineRule="auto"/>
        <w:rPr>
          <w:rFonts w:hint="eastAsia"/>
          <w:sz w:val="24"/>
          <w:szCs w:val="18"/>
        </w:rPr>
      </w:pPr>
      <w:r>
        <w:rPr>
          <w:rFonts w:hint="eastAsia"/>
          <w:sz w:val="24"/>
          <w:szCs w:val="18"/>
        </w:rPr>
        <w:t>根据项目内需要提供的不同服务，确定相应具体标准及要求如下：</w:t>
      </w:r>
    </w:p>
    <w:p>
      <w:pPr>
        <w:pStyle w:val="23"/>
        <w:spacing w:line="360" w:lineRule="auto"/>
        <w:ind w:firstLine="480" w:firstLineChars="200"/>
        <w:rPr>
          <w:rFonts w:hint="eastAsia"/>
          <w:sz w:val="24"/>
          <w:szCs w:val="18"/>
        </w:rPr>
      </w:pPr>
      <w:bookmarkStart w:id="44" w:name="_Toc8768_WPSOffice_Level2"/>
      <w:bookmarkStart w:id="45" w:name="_Toc1985_WPSOffice_Level2"/>
      <w:bookmarkStart w:id="46" w:name="_Toc513015443"/>
      <w:bookmarkStart w:id="47" w:name="_Toc26748"/>
      <w:r>
        <w:rPr>
          <w:rFonts w:hint="eastAsia"/>
          <w:sz w:val="24"/>
          <w:szCs w:val="18"/>
        </w:rPr>
        <w:t>与自然资源部门对接运用共享最新土地利用现状数据，并应用农业农村部开发的“髙标准农田建设上图入库及数据质量检验管理软件”(以下简称“上图入库管理软件”)进行上图入库工作，工作流程如下：</w:t>
      </w:r>
    </w:p>
    <w:p>
      <w:pPr>
        <w:pStyle w:val="23"/>
        <w:spacing w:line="360" w:lineRule="auto"/>
        <w:ind w:firstLine="480" w:firstLineChars="200"/>
        <w:rPr>
          <w:rFonts w:hint="eastAsia"/>
          <w:sz w:val="24"/>
          <w:szCs w:val="18"/>
        </w:rPr>
      </w:pPr>
      <w:bookmarkStart w:id="48" w:name="bookmark12"/>
      <w:r>
        <w:rPr>
          <w:rFonts w:hint="eastAsia"/>
          <w:sz w:val="24"/>
          <w:szCs w:val="18"/>
        </w:rPr>
        <w:t>1</w:t>
      </w:r>
      <w:bookmarkEnd w:id="48"/>
      <w:r>
        <w:rPr>
          <w:rFonts w:hint="eastAsia"/>
          <w:sz w:val="24"/>
          <w:szCs w:val="18"/>
          <w:lang w:val="en-US" w:eastAsia="zh-CN"/>
        </w:rPr>
        <w:t>.</w:t>
      </w:r>
      <w:r>
        <w:rPr>
          <w:rFonts w:hint="eastAsia"/>
          <w:sz w:val="24"/>
          <w:szCs w:val="18"/>
        </w:rPr>
        <w:t>整理资料数据。根据项目批复文件、验收文件等，结合清理检查现场工作底稿，核实髙标准农田建设项目名称、建设地点、建设规模、髙标准农田建设面积、建成髙标准农田质量等级等信息。</w:t>
      </w:r>
    </w:p>
    <w:p>
      <w:pPr>
        <w:pStyle w:val="23"/>
        <w:spacing w:line="360" w:lineRule="auto"/>
        <w:ind w:firstLine="480" w:firstLineChars="200"/>
        <w:rPr>
          <w:rFonts w:hint="eastAsia"/>
          <w:sz w:val="24"/>
          <w:szCs w:val="18"/>
        </w:rPr>
      </w:pPr>
      <w:bookmarkStart w:id="49" w:name="bookmark13"/>
      <w:r>
        <w:rPr>
          <w:rFonts w:hint="eastAsia"/>
          <w:sz w:val="24"/>
          <w:szCs w:val="18"/>
        </w:rPr>
        <w:t>2</w:t>
      </w:r>
      <w:bookmarkEnd w:id="49"/>
      <w:r>
        <w:rPr>
          <w:rFonts w:hint="eastAsia"/>
          <w:sz w:val="24"/>
          <w:szCs w:val="18"/>
          <w:lang w:val="en-US" w:eastAsia="zh-CN"/>
        </w:rPr>
        <w:t>.</w:t>
      </w:r>
      <w:r>
        <w:rPr>
          <w:rFonts w:hint="eastAsia"/>
          <w:sz w:val="24"/>
          <w:szCs w:val="18"/>
        </w:rPr>
        <w:t>统一工作底图。登录上图入库管理软件，将与旗区自然资源部门共享的最新土地利用现状数据导入，作为髙标准农田建设项目上图入库的“统一工作底图”。</w:t>
      </w:r>
    </w:p>
    <w:p>
      <w:pPr>
        <w:pStyle w:val="23"/>
        <w:spacing w:line="360" w:lineRule="auto"/>
        <w:ind w:firstLine="480" w:firstLineChars="200"/>
        <w:rPr>
          <w:rFonts w:hint="eastAsia"/>
          <w:sz w:val="24"/>
          <w:szCs w:val="18"/>
        </w:rPr>
      </w:pPr>
      <w:bookmarkStart w:id="50" w:name="bookmark14"/>
      <w:r>
        <w:rPr>
          <w:rFonts w:hint="eastAsia"/>
          <w:sz w:val="24"/>
          <w:szCs w:val="18"/>
        </w:rPr>
        <w:t>3</w:t>
      </w:r>
      <w:bookmarkEnd w:id="50"/>
      <w:r>
        <w:rPr>
          <w:rFonts w:hint="eastAsia"/>
          <w:sz w:val="24"/>
          <w:szCs w:val="18"/>
          <w:lang w:val="en-US" w:eastAsia="zh-CN"/>
        </w:rPr>
        <w:t>.</w:t>
      </w:r>
      <w:r>
        <w:rPr>
          <w:rFonts w:hint="eastAsia"/>
          <w:sz w:val="24"/>
          <w:szCs w:val="18"/>
        </w:rPr>
        <w:t>填报项目表单数据。根据髙标准农田建设项目是否入库情况，按照整理汇总的项目数据，在上图入库管理软件中逐项填报项目表单信息。</w:t>
      </w:r>
    </w:p>
    <w:p>
      <w:pPr>
        <w:pStyle w:val="23"/>
        <w:spacing w:line="360" w:lineRule="auto"/>
        <w:ind w:firstLine="480" w:firstLineChars="200"/>
        <w:rPr>
          <w:rFonts w:hint="eastAsia"/>
          <w:sz w:val="24"/>
          <w:szCs w:val="18"/>
        </w:rPr>
      </w:pPr>
      <w:bookmarkStart w:id="51" w:name="bookmark15"/>
      <w:r>
        <w:rPr>
          <w:rFonts w:hint="eastAsia"/>
          <w:sz w:val="24"/>
          <w:szCs w:val="18"/>
        </w:rPr>
        <w:t>4</w:t>
      </w:r>
      <w:bookmarkEnd w:id="51"/>
      <w:r>
        <w:rPr>
          <w:rFonts w:hint="eastAsia"/>
          <w:sz w:val="24"/>
          <w:szCs w:val="18"/>
          <w:lang w:val="en-US" w:eastAsia="zh-CN"/>
        </w:rPr>
        <w:t>.</w:t>
      </w:r>
      <w:r>
        <w:rPr>
          <w:rFonts w:hint="eastAsia"/>
          <w:sz w:val="24"/>
          <w:szCs w:val="18"/>
        </w:rPr>
        <w:t>选择以下方式标绘项目区和髙标准农田地块范围界线。</w:t>
      </w:r>
    </w:p>
    <w:p>
      <w:pPr>
        <w:pStyle w:val="23"/>
        <w:spacing w:line="360" w:lineRule="auto"/>
        <w:rPr>
          <w:rFonts w:hint="eastAsia"/>
          <w:sz w:val="24"/>
          <w:szCs w:val="18"/>
        </w:rPr>
      </w:pPr>
      <w:bookmarkStart w:id="52" w:name="bookmark16"/>
      <w:bookmarkEnd w:id="52"/>
      <w:r>
        <w:rPr>
          <w:rFonts w:hint="eastAsia"/>
          <w:sz w:val="24"/>
          <w:szCs w:val="18"/>
          <w:lang w:eastAsia="zh-CN"/>
        </w:rPr>
        <w:t>（</w:t>
      </w:r>
      <w:r>
        <w:rPr>
          <w:rFonts w:hint="eastAsia"/>
          <w:sz w:val="24"/>
          <w:szCs w:val="18"/>
          <w:lang w:val="en-US" w:eastAsia="zh-CN"/>
        </w:rPr>
        <w:t>1</w:t>
      </w:r>
      <w:r>
        <w:rPr>
          <w:rFonts w:hint="eastAsia"/>
          <w:sz w:val="24"/>
          <w:szCs w:val="18"/>
          <w:lang w:eastAsia="zh-CN"/>
        </w:rPr>
        <w:t>）</w:t>
      </w:r>
      <w:r>
        <w:rPr>
          <w:rFonts w:hint="eastAsia"/>
          <w:sz w:val="24"/>
          <w:szCs w:val="18"/>
        </w:rPr>
        <w:t>直接标绘项目区范围。根据项目示意图、项目位置说明等，直接在上图入库管理软件上将项目区标绘在数据底图相应位置，并根据数据库中相关地类图斑范围确定项目区范围界线。</w:t>
      </w:r>
      <w:bookmarkStart w:id="53" w:name="bookmark17"/>
      <w:bookmarkEnd w:id="53"/>
    </w:p>
    <w:p>
      <w:pPr>
        <w:pStyle w:val="23"/>
        <w:spacing w:line="360" w:lineRule="auto"/>
        <w:rPr>
          <w:rFonts w:hint="eastAsia"/>
          <w:sz w:val="24"/>
          <w:szCs w:val="18"/>
        </w:rPr>
      </w:pPr>
      <w:r>
        <w:rPr>
          <w:rFonts w:hint="eastAsia"/>
          <w:sz w:val="24"/>
          <w:szCs w:val="18"/>
          <w:lang w:eastAsia="zh-CN"/>
        </w:rPr>
        <w:t>（</w:t>
      </w:r>
      <w:r>
        <w:rPr>
          <w:rFonts w:hint="eastAsia"/>
          <w:sz w:val="24"/>
          <w:szCs w:val="18"/>
          <w:lang w:val="en-US" w:eastAsia="zh-CN"/>
        </w:rPr>
        <w:t>2</w:t>
      </w:r>
      <w:r>
        <w:rPr>
          <w:rFonts w:hint="eastAsia"/>
          <w:sz w:val="24"/>
          <w:szCs w:val="18"/>
          <w:lang w:eastAsia="zh-CN"/>
        </w:rPr>
        <w:t>）</w:t>
      </w:r>
      <w:r>
        <w:rPr>
          <w:rFonts w:hint="eastAsia"/>
          <w:sz w:val="24"/>
          <w:szCs w:val="18"/>
        </w:rPr>
        <w:t>纸质图纸标绘项目区范围。扫描项目纸质规划图，并进行几何纠正和矢量化，将项目区范围与最新土地利用现状数据中地类图斑层套合，完成项目区标绘。</w:t>
      </w:r>
    </w:p>
    <w:p>
      <w:pPr>
        <w:pStyle w:val="23"/>
        <w:spacing w:line="360" w:lineRule="auto"/>
        <w:rPr>
          <w:rFonts w:hint="eastAsia"/>
          <w:sz w:val="24"/>
          <w:szCs w:val="18"/>
        </w:rPr>
      </w:pPr>
      <w:bookmarkStart w:id="54" w:name="bookmark18"/>
      <w:bookmarkEnd w:id="54"/>
      <w:r>
        <w:rPr>
          <w:rFonts w:hint="eastAsia"/>
          <w:sz w:val="24"/>
          <w:szCs w:val="18"/>
          <w:lang w:eastAsia="zh-CN"/>
        </w:rPr>
        <w:t>（</w:t>
      </w:r>
      <w:r>
        <w:rPr>
          <w:rFonts w:hint="eastAsia"/>
          <w:sz w:val="24"/>
          <w:szCs w:val="18"/>
          <w:lang w:val="en-US" w:eastAsia="zh-CN"/>
        </w:rPr>
        <w:t>3</w:t>
      </w:r>
      <w:r>
        <w:rPr>
          <w:rFonts w:hint="eastAsia"/>
          <w:sz w:val="24"/>
          <w:szCs w:val="18"/>
          <w:lang w:eastAsia="zh-CN"/>
        </w:rPr>
        <w:t>）</w:t>
      </w:r>
      <w:r>
        <w:rPr>
          <w:rFonts w:hint="eastAsia"/>
          <w:sz w:val="24"/>
          <w:szCs w:val="18"/>
        </w:rPr>
        <w:t>遥感影像标绘项目区范围。将配准后项目区遥感影像图矢量化，与最新土地利用现状数据中地类图斑层套 合，将项目区范围落到土地利用现状图上。</w:t>
      </w:r>
    </w:p>
    <w:p>
      <w:pPr>
        <w:pStyle w:val="23"/>
        <w:spacing w:line="360" w:lineRule="auto"/>
        <w:rPr>
          <w:rFonts w:hint="eastAsia"/>
          <w:sz w:val="24"/>
          <w:szCs w:val="18"/>
        </w:rPr>
      </w:pPr>
      <w:bookmarkStart w:id="55" w:name="bookmark19"/>
      <w:bookmarkEnd w:id="55"/>
      <w:r>
        <w:rPr>
          <w:rFonts w:hint="eastAsia"/>
          <w:sz w:val="24"/>
          <w:szCs w:val="18"/>
          <w:lang w:eastAsia="zh-CN"/>
        </w:rPr>
        <w:t>（</w:t>
      </w:r>
      <w:r>
        <w:rPr>
          <w:rFonts w:hint="eastAsia"/>
          <w:sz w:val="24"/>
          <w:szCs w:val="18"/>
          <w:lang w:val="en-US" w:eastAsia="zh-CN"/>
        </w:rPr>
        <w:t>4</w:t>
      </w:r>
      <w:r>
        <w:rPr>
          <w:rFonts w:hint="eastAsia"/>
          <w:sz w:val="24"/>
          <w:szCs w:val="18"/>
          <w:lang w:eastAsia="zh-CN"/>
        </w:rPr>
        <w:t>）</w:t>
      </w:r>
      <w:r>
        <w:rPr>
          <w:rFonts w:hint="eastAsia"/>
          <w:sz w:val="24"/>
          <w:szCs w:val="18"/>
        </w:rPr>
        <w:t>规划图数据导入标绘项目区范围。对于项目有规划图矢量数据的，可直接导入数据，与最新土地利用现状数据中地类图斑套合，将项目区范围落到土地利用现状图上。</w:t>
      </w:r>
    </w:p>
    <w:p>
      <w:pPr>
        <w:pStyle w:val="23"/>
        <w:spacing w:line="360" w:lineRule="auto"/>
        <w:rPr>
          <w:rFonts w:hint="eastAsia"/>
          <w:sz w:val="24"/>
          <w:szCs w:val="18"/>
        </w:rPr>
      </w:pPr>
      <w:bookmarkStart w:id="56" w:name="bookmark20"/>
      <w:bookmarkEnd w:id="56"/>
      <w:r>
        <w:rPr>
          <w:rFonts w:hint="eastAsia"/>
          <w:sz w:val="24"/>
          <w:szCs w:val="18"/>
          <w:lang w:eastAsia="zh-CN"/>
        </w:rPr>
        <w:t>（</w:t>
      </w:r>
      <w:r>
        <w:rPr>
          <w:rFonts w:hint="eastAsia"/>
          <w:sz w:val="24"/>
          <w:szCs w:val="18"/>
          <w:lang w:val="en-US" w:eastAsia="zh-CN"/>
        </w:rPr>
        <w:t>5</w:t>
      </w:r>
      <w:r>
        <w:rPr>
          <w:rFonts w:hint="eastAsia"/>
          <w:sz w:val="24"/>
          <w:szCs w:val="18"/>
          <w:lang w:eastAsia="zh-CN"/>
        </w:rPr>
        <w:t>）</w:t>
      </w:r>
      <w:r>
        <w:rPr>
          <w:rFonts w:hint="eastAsia"/>
          <w:sz w:val="24"/>
          <w:szCs w:val="18"/>
        </w:rPr>
        <w:t>标绘髙标准农田建设范围。在前述标绘项目区范围界线的基础上，将项目区内建成髙标准农田的具体地块 与最新土地利用现状数据中的耕地图斑套合，标绘在土地 利用现状图上。</w:t>
      </w:r>
    </w:p>
    <w:p>
      <w:pPr>
        <w:pStyle w:val="23"/>
        <w:spacing w:line="360" w:lineRule="auto"/>
        <w:ind w:firstLine="480" w:firstLineChars="200"/>
        <w:rPr>
          <w:rFonts w:hint="eastAsia"/>
          <w:sz w:val="24"/>
          <w:szCs w:val="18"/>
        </w:rPr>
      </w:pPr>
      <w:bookmarkStart w:id="57" w:name="bookmark21"/>
      <w:r>
        <w:rPr>
          <w:rFonts w:hint="eastAsia"/>
          <w:sz w:val="24"/>
          <w:szCs w:val="18"/>
        </w:rPr>
        <w:t>5</w:t>
      </w:r>
      <w:bookmarkEnd w:id="57"/>
      <w:r>
        <w:rPr>
          <w:rFonts w:hint="eastAsia"/>
          <w:sz w:val="24"/>
          <w:szCs w:val="18"/>
          <w:lang w:val="en-US" w:eastAsia="zh-CN"/>
        </w:rPr>
        <w:t>.</w:t>
      </w:r>
      <w:r>
        <w:rPr>
          <w:rFonts w:hint="eastAsia"/>
          <w:sz w:val="24"/>
          <w:szCs w:val="18"/>
        </w:rPr>
        <w:t>制作项目区、髙标准农田建设拐点坐标。</w:t>
      </w:r>
    </w:p>
    <w:p>
      <w:pPr>
        <w:pStyle w:val="23"/>
        <w:spacing w:line="360" w:lineRule="auto"/>
        <w:ind w:firstLine="480" w:firstLineChars="200"/>
        <w:rPr>
          <w:rFonts w:hint="eastAsia"/>
          <w:sz w:val="24"/>
          <w:szCs w:val="18"/>
        </w:rPr>
      </w:pPr>
      <w:r>
        <w:rPr>
          <w:rFonts w:hint="eastAsia"/>
          <w:sz w:val="24"/>
          <w:szCs w:val="18"/>
        </w:rPr>
        <w:t>将标绘的项目区、髙标准农田建设范围矢量化，确定相应的位置坐标，计算形成项目区和髙标准农田建设面积。需要注意的是，已入库需要补充完善信息项目，项目区和髙标准农田建设面积应与原入库数据一致，如有不同的，应在数据结构表中“备注”栏进行说明。</w:t>
      </w:r>
    </w:p>
    <w:p>
      <w:pPr>
        <w:pStyle w:val="23"/>
        <w:spacing w:line="360" w:lineRule="auto"/>
        <w:ind w:firstLine="480" w:firstLineChars="200"/>
        <w:rPr>
          <w:rFonts w:hint="eastAsia"/>
          <w:sz w:val="24"/>
          <w:szCs w:val="18"/>
        </w:rPr>
      </w:pPr>
      <w:bookmarkStart w:id="58" w:name="bookmark22"/>
      <w:r>
        <w:rPr>
          <w:rFonts w:hint="eastAsia"/>
          <w:sz w:val="24"/>
          <w:szCs w:val="18"/>
        </w:rPr>
        <w:t>6</w:t>
      </w:r>
      <w:bookmarkEnd w:id="58"/>
      <w:r>
        <w:rPr>
          <w:rFonts w:hint="eastAsia"/>
          <w:sz w:val="24"/>
          <w:szCs w:val="18"/>
          <w:lang w:val="en-US" w:eastAsia="zh-CN"/>
        </w:rPr>
        <w:t>.</w:t>
      </w:r>
      <w:r>
        <w:rPr>
          <w:rFonts w:hint="eastAsia"/>
          <w:sz w:val="24"/>
          <w:szCs w:val="18"/>
        </w:rPr>
        <w:t>统一汇交项目信息。在完成全部髙标准农田建设项目上图入库后，应按照数据汇交要求，以数据包形式，通过光盘将上图入库信息汇交上报。</w:t>
      </w:r>
    </w:p>
    <w:p>
      <w:pPr>
        <w:pStyle w:val="23"/>
        <w:spacing w:line="360" w:lineRule="auto"/>
        <w:ind w:firstLine="480" w:firstLineChars="200"/>
        <w:rPr>
          <w:rFonts w:hint="eastAsia"/>
          <w:sz w:val="24"/>
          <w:szCs w:val="18"/>
        </w:rPr>
      </w:pPr>
      <w:bookmarkStart w:id="59" w:name="bookmark23"/>
      <w:r>
        <w:rPr>
          <w:rFonts w:hint="eastAsia"/>
          <w:sz w:val="24"/>
          <w:szCs w:val="18"/>
        </w:rPr>
        <w:t>7</w:t>
      </w:r>
      <w:bookmarkEnd w:id="59"/>
      <w:r>
        <w:rPr>
          <w:rFonts w:hint="eastAsia"/>
          <w:sz w:val="24"/>
          <w:szCs w:val="18"/>
          <w:lang w:val="en-US" w:eastAsia="zh-CN"/>
        </w:rPr>
        <w:t>.</w:t>
      </w:r>
      <w:r>
        <w:rPr>
          <w:rFonts w:hint="eastAsia"/>
          <w:sz w:val="24"/>
          <w:szCs w:val="18"/>
        </w:rPr>
        <w:t>对于未能与自然资源部门共享最新土地利用现状数据，或是内业无法确认项目区、髙标准农田建设范围的，要实地开展拐点坐标补测，并按规定的数据格式要求，将拐点坐标测量成果导入上图入库管理软件。</w:t>
      </w:r>
    </w:p>
    <w:p>
      <w:pPr>
        <w:pStyle w:val="23"/>
        <w:spacing w:line="360" w:lineRule="auto"/>
        <w:rPr>
          <w:sz w:val="24"/>
          <w:szCs w:val="18"/>
        </w:rPr>
      </w:pPr>
    </w:p>
    <w:p>
      <w:pPr>
        <w:pStyle w:val="23"/>
        <w:spacing w:line="360" w:lineRule="auto"/>
        <w:rPr>
          <w:sz w:val="24"/>
          <w:szCs w:val="18"/>
        </w:rPr>
      </w:pPr>
    </w:p>
    <w:p>
      <w:pPr>
        <w:pStyle w:val="23"/>
        <w:spacing w:line="360" w:lineRule="auto"/>
        <w:rPr>
          <w:sz w:val="24"/>
          <w:szCs w:val="18"/>
        </w:rPr>
      </w:pPr>
    </w:p>
    <w:p>
      <w:pPr>
        <w:pStyle w:val="23"/>
        <w:spacing w:line="360" w:lineRule="auto"/>
        <w:rPr>
          <w:sz w:val="24"/>
          <w:szCs w:val="18"/>
        </w:rPr>
      </w:pPr>
    </w:p>
    <w:p>
      <w:pPr>
        <w:pStyle w:val="23"/>
        <w:spacing w:line="360" w:lineRule="auto"/>
        <w:rPr>
          <w:sz w:val="24"/>
          <w:szCs w:val="18"/>
        </w:rPr>
      </w:pPr>
    </w:p>
    <w:p>
      <w:pPr>
        <w:pStyle w:val="23"/>
        <w:spacing w:line="360" w:lineRule="auto"/>
        <w:rPr>
          <w:sz w:val="24"/>
          <w:szCs w:val="18"/>
        </w:rPr>
      </w:pPr>
    </w:p>
    <w:p>
      <w:pPr>
        <w:pStyle w:val="23"/>
        <w:spacing w:line="360" w:lineRule="auto"/>
        <w:rPr>
          <w:sz w:val="24"/>
          <w:szCs w:val="18"/>
        </w:rPr>
      </w:pPr>
    </w:p>
    <w:p>
      <w:pPr>
        <w:pStyle w:val="23"/>
        <w:spacing w:line="360" w:lineRule="auto"/>
        <w:rPr>
          <w:sz w:val="24"/>
          <w:szCs w:val="18"/>
        </w:rPr>
      </w:pPr>
    </w:p>
    <w:p>
      <w:pPr>
        <w:pStyle w:val="23"/>
        <w:spacing w:line="360" w:lineRule="auto"/>
        <w:rPr>
          <w:sz w:val="24"/>
          <w:szCs w:val="18"/>
        </w:rPr>
      </w:pPr>
    </w:p>
    <w:p>
      <w:pPr>
        <w:pStyle w:val="23"/>
        <w:spacing w:line="360" w:lineRule="auto"/>
        <w:rPr>
          <w:sz w:val="24"/>
          <w:szCs w:val="18"/>
        </w:rPr>
      </w:pPr>
    </w:p>
    <w:p>
      <w:pPr>
        <w:pStyle w:val="23"/>
        <w:spacing w:line="360" w:lineRule="auto"/>
        <w:rPr>
          <w:sz w:val="24"/>
          <w:szCs w:val="18"/>
        </w:rPr>
      </w:pPr>
    </w:p>
    <w:p>
      <w:pPr>
        <w:pStyle w:val="23"/>
        <w:spacing w:line="360" w:lineRule="auto"/>
        <w:rPr>
          <w:sz w:val="24"/>
          <w:szCs w:val="18"/>
        </w:rPr>
      </w:pPr>
    </w:p>
    <w:p>
      <w:pPr>
        <w:pStyle w:val="23"/>
        <w:spacing w:line="360" w:lineRule="auto"/>
        <w:rPr>
          <w:sz w:val="24"/>
          <w:szCs w:val="18"/>
        </w:rPr>
      </w:pPr>
    </w:p>
    <w:p>
      <w:pPr>
        <w:pStyle w:val="23"/>
        <w:spacing w:line="360" w:lineRule="auto"/>
        <w:rPr>
          <w:sz w:val="24"/>
          <w:szCs w:val="18"/>
        </w:rPr>
      </w:pPr>
    </w:p>
    <w:p>
      <w:pPr>
        <w:pStyle w:val="23"/>
        <w:spacing w:line="360" w:lineRule="auto"/>
        <w:rPr>
          <w:sz w:val="24"/>
          <w:szCs w:val="18"/>
        </w:rPr>
      </w:pPr>
    </w:p>
    <w:p>
      <w:pPr>
        <w:pStyle w:val="23"/>
        <w:spacing w:line="360" w:lineRule="auto"/>
        <w:rPr>
          <w:rFonts w:hint="eastAsia"/>
          <w:sz w:val="24"/>
          <w:szCs w:val="18"/>
        </w:rPr>
      </w:pPr>
      <w:r>
        <w:rPr>
          <w:rFonts w:hint="eastAsia"/>
          <w:sz w:val="24"/>
          <w:szCs w:val="18"/>
        </w:rPr>
        <w:t>高标准农田建设上图入库工作流程图</w:t>
      </w:r>
    </w:p>
    <w:p>
      <w:pPr>
        <w:pStyle w:val="23"/>
        <w:spacing w:line="360" w:lineRule="auto"/>
        <w:rPr>
          <w:sz w:val="24"/>
          <w:szCs w:val="18"/>
        </w:rPr>
      </w:pPr>
      <w:r>
        <w:rPr>
          <w:sz w:val="24"/>
          <w:szCs w:val="18"/>
        </w:rPr>
        <w:drawing>
          <wp:inline distT="0" distB="0" distL="114300" distR="114300">
            <wp:extent cx="5132705" cy="5139055"/>
            <wp:effectExtent l="0" t="0" r="10795" b="444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stretch>
                      <a:fillRect/>
                    </a:stretch>
                  </pic:blipFill>
                  <pic:spPr>
                    <a:xfrm>
                      <a:off x="0" y="0"/>
                      <a:ext cx="5132705" cy="5139055"/>
                    </a:xfrm>
                    <a:prstGeom prst="rect">
                      <a:avLst/>
                    </a:prstGeom>
                    <a:noFill/>
                    <a:ln>
                      <a:noFill/>
                    </a:ln>
                  </pic:spPr>
                </pic:pic>
              </a:graphicData>
            </a:graphic>
          </wp:inline>
        </w:drawing>
      </w:r>
    </w:p>
    <w:p>
      <w:pPr>
        <w:pStyle w:val="23"/>
        <w:spacing w:line="360" w:lineRule="auto"/>
        <w:ind w:firstLine="480" w:firstLineChars="200"/>
        <w:rPr>
          <w:rFonts w:hint="eastAsia"/>
          <w:sz w:val="24"/>
          <w:szCs w:val="18"/>
        </w:rPr>
      </w:pPr>
      <w:r>
        <w:rPr>
          <w:rFonts w:hint="eastAsia"/>
          <w:sz w:val="24"/>
          <w:szCs w:val="18"/>
        </w:rPr>
        <w:t>根据</w:t>
      </w:r>
      <w:r>
        <w:rPr>
          <w:rFonts w:hint="eastAsia"/>
          <w:sz w:val="24"/>
          <w:szCs w:val="18"/>
          <w:lang w:val="zh-CN" w:eastAsia="zh-CN"/>
        </w:rPr>
        <w:t>“十</w:t>
      </w:r>
      <w:r>
        <w:rPr>
          <w:rFonts w:hint="eastAsia"/>
          <w:sz w:val="24"/>
          <w:szCs w:val="18"/>
        </w:rPr>
        <w:t>二五”以来髙标准农田建设评估工作总体安排，结合髙标准农田建设上图入库工作要求，对上图入库数据汇交及质量参照《关于印发</w:t>
      </w:r>
      <w:r>
        <w:rPr>
          <w:rFonts w:hint="eastAsia"/>
          <w:sz w:val="24"/>
          <w:szCs w:val="18"/>
          <w:lang w:val="zh-CN" w:eastAsia="zh-CN"/>
        </w:rPr>
        <w:t>〈“十</w:t>
      </w:r>
      <w:r>
        <w:rPr>
          <w:rFonts w:hint="eastAsia"/>
          <w:sz w:val="24"/>
          <w:szCs w:val="18"/>
        </w:rPr>
        <w:t>二五”以来髙标准农田建设上图入库工作</w:t>
      </w:r>
      <w:r>
        <w:rPr>
          <w:rFonts w:hint="eastAsia"/>
          <w:sz w:val="24"/>
          <w:szCs w:val="18"/>
          <w:lang w:val="zh-CN" w:eastAsia="zh-CN"/>
        </w:rPr>
        <w:t>指南〉</w:t>
      </w:r>
      <w:r>
        <w:rPr>
          <w:rFonts w:hint="eastAsia"/>
          <w:sz w:val="24"/>
          <w:szCs w:val="18"/>
        </w:rPr>
        <w:t>等补充文件的函》（农建（监管）〔2019</w:t>
      </w:r>
      <w:r>
        <w:rPr>
          <w:rFonts w:hint="eastAsia"/>
          <w:sz w:val="24"/>
          <w:szCs w:val="18"/>
          <w:lang w:val="en-US" w:eastAsia="zh-CN"/>
        </w:rPr>
        <w:t>〕</w:t>
      </w:r>
      <w:r>
        <w:rPr>
          <w:rFonts w:hint="eastAsia"/>
          <w:sz w:val="24"/>
          <w:szCs w:val="18"/>
        </w:rPr>
        <w:t>23号）的要求。</w:t>
      </w:r>
    </w:p>
    <w:p>
      <w:pPr>
        <w:pStyle w:val="23"/>
        <w:spacing w:line="360" w:lineRule="auto"/>
        <w:ind w:firstLine="480" w:firstLineChars="200"/>
        <w:rPr>
          <w:rFonts w:hint="eastAsia"/>
          <w:sz w:val="24"/>
          <w:szCs w:val="18"/>
        </w:rPr>
      </w:pPr>
      <w:r>
        <w:rPr>
          <w:rFonts w:hint="eastAsia"/>
          <w:sz w:val="24"/>
          <w:szCs w:val="18"/>
        </w:rPr>
        <w:t>对高标准农田建设疑似问题项目进行实地核查。农牧部门会同</w:t>
      </w:r>
      <w:r>
        <w:rPr>
          <w:rFonts w:hint="eastAsia"/>
          <w:sz w:val="24"/>
          <w:szCs w:val="18"/>
          <w:lang w:eastAsia="zh-CN"/>
        </w:rPr>
        <w:t>项目建设部门和承接主体</w:t>
      </w:r>
      <w:r>
        <w:rPr>
          <w:rFonts w:hint="eastAsia"/>
          <w:sz w:val="24"/>
          <w:szCs w:val="18"/>
        </w:rPr>
        <w:t>根据农业农村部下发的疑似问题项目清单（建设区域重叠、存在非耕地地类等疑似问题）和待扣除面积统计情况，还要组织开展</w:t>
      </w:r>
      <w:r>
        <w:rPr>
          <w:rFonts w:hint="eastAsia"/>
          <w:sz w:val="24"/>
          <w:szCs w:val="18"/>
          <w:lang w:val="zh-CN" w:eastAsia="zh-CN"/>
        </w:rPr>
        <w:t>“十</w:t>
      </w:r>
      <w:r>
        <w:rPr>
          <w:rFonts w:hint="eastAsia"/>
          <w:sz w:val="24"/>
          <w:szCs w:val="18"/>
        </w:rPr>
        <w:t>二五”以来髙标准农田建设项目实地核查工作。</w:t>
      </w:r>
    </w:p>
    <w:p>
      <w:pPr>
        <w:pStyle w:val="23"/>
        <w:spacing w:line="360" w:lineRule="auto"/>
        <w:rPr>
          <w:rFonts w:hint="eastAsia"/>
          <w:sz w:val="24"/>
          <w:szCs w:val="18"/>
        </w:rPr>
      </w:pPr>
      <w:r>
        <w:rPr>
          <w:rFonts w:hint="eastAsia"/>
          <w:sz w:val="24"/>
          <w:szCs w:val="18"/>
        </w:rPr>
        <w:t>对存在问题的高标准农田建设项目进行数据修正。根据髙标准农田建设疑似问题项目实地核查成果，就待扣面积情况与上级农牧部门逐一进行对接，根据对接情况对</w:t>
      </w:r>
      <w:r>
        <w:rPr>
          <w:rFonts w:hint="eastAsia"/>
          <w:sz w:val="24"/>
          <w:szCs w:val="18"/>
          <w:lang w:val="zh-CN" w:eastAsia="zh-CN"/>
        </w:rPr>
        <w:t>“十</w:t>
      </w:r>
      <w:r>
        <w:rPr>
          <w:rFonts w:hint="eastAsia"/>
          <w:sz w:val="24"/>
          <w:szCs w:val="18"/>
        </w:rPr>
        <w:t>二五”以来髙标准农田建设上图入库数据进行修正。</w:t>
      </w:r>
    </w:p>
    <w:p>
      <w:pPr>
        <w:pStyle w:val="23"/>
        <w:spacing w:line="360" w:lineRule="auto"/>
        <w:ind w:firstLine="480" w:firstLineChars="200"/>
        <w:rPr>
          <w:rFonts w:hint="eastAsia"/>
          <w:sz w:val="24"/>
          <w:szCs w:val="18"/>
        </w:rPr>
      </w:pPr>
      <w:r>
        <w:rPr>
          <w:rFonts w:hint="eastAsia"/>
          <w:sz w:val="24"/>
          <w:szCs w:val="18"/>
        </w:rPr>
        <w:t>同步做好新建项目规划工作。做好“十二五</w:t>
      </w:r>
      <w:r>
        <w:rPr>
          <w:rFonts w:hint="eastAsia"/>
          <w:sz w:val="24"/>
          <w:szCs w:val="18"/>
          <w:lang w:val="zh-CN" w:eastAsia="zh-CN"/>
        </w:rPr>
        <w:t>”期间</w:t>
      </w:r>
      <w:r>
        <w:rPr>
          <w:rFonts w:hint="eastAsia"/>
          <w:sz w:val="24"/>
          <w:szCs w:val="18"/>
        </w:rPr>
        <w:t>核查评估及上图入库的同时，要同步做好</w:t>
      </w:r>
      <w:r>
        <w:rPr>
          <w:rFonts w:hint="eastAsia"/>
          <w:sz w:val="24"/>
          <w:szCs w:val="18"/>
          <w:lang w:val="en-US" w:eastAsia="en-US"/>
        </w:rPr>
        <w:t>2020-2022</w:t>
      </w:r>
      <w:r>
        <w:rPr>
          <w:rFonts w:hint="eastAsia"/>
          <w:sz w:val="24"/>
          <w:szCs w:val="18"/>
        </w:rPr>
        <w:t>年髙标准农田新建项目的规划工作（具体指今后三年具备做髙标准农田项目地块入库）。</w:t>
      </w:r>
    </w:p>
    <w:p>
      <w:pPr>
        <w:pStyle w:val="23"/>
        <w:spacing w:line="360" w:lineRule="auto"/>
        <w:jc w:val="center"/>
        <w:rPr>
          <w:rFonts w:hint="eastAsia"/>
          <w:sz w:val="24"/>
          <w:szCs w:val="18"/>
        </w:rPr>
      </w:pPr>
      <w:r>
        <w:rPr>
          <w:rFonts w:hint="eastAsia"/>
          <w:sz w:val="24"/>
          <w:szCs w:val="18"/>
          <w:lang w:eastAsia="zh-CN"/>
        </w:rPr>
        <w:t>六、</w:t>
      </w:r>
      <w:r>
        <w:rPr>
          <w:rFonts w:hint="eastAsia"/>
          <w:sz w:val="24"/>
          <w:szCs w:val="18"/>
        </w:rPr>
        <w:t>承接主体</w:t>
      </w:r>
      <w:bookmarkEnd w:id="44"/>
      <w:bookmarkEnd w:id="45"/>
      <w:bookmarkEnd w:id="46"/>
      <w:bookmarkEnd w:id="47"/>
    </w:p>
    <w:p>
      <w:pPr>
        <w:pStyle w:val="23"/>
        <w:spacing w:line="360" w:lineRule="auto"/>
        <w:ind w:firstLine="480" w:firstLineChars="200"/>
        <w:rPr>
          <w:rFonts w:hint="eastAsia"/>
          <w:sz w:val="24"/>
          <w:szCs w:val="18"/>
        </w:rPr>
      </w:pPr>
      <w:r>
        <w:rPr>
          <w:rFonts w:hint="eastAsia"/>
          <w:sz w:val="24"/>
          <w:szCs w:val="18"/>
        </w:rPr>
        <w:t>根据国务院办公厅《关于政府向社会力量购买服务的指导意见》（国办发〔2013〕96号）的规定，承接政府购买服务的主体包括依法在民政部门登记成立或经国务院批准免于登记的社会组织，以及依法在工商管理或行业主管部门登记成立的企业、机构等社会力量。</w:t>
      </w:r>
    </w:p>
    <w:p>
      <w:pPr>
        <w:pStyle w:val="23"/>
        <w:spacing w:line="360" w:lineRule="auto"/>
        <w:rPr>
          <w:rFonts w:hint="eastAsia"/>
          <w:sz w:val="24"/>
          <w:szCs w:val="18"/>
        </w:rPr>
      </w:pPr>
      <w:r>
        <w:rPr>
          <w:rFonts w:hint="eastAsia"/>
          <w:sz w:val="24"/>
          <w:szCs w:val="18"/>
        </w:rPr>
        <w:t>根据《内蒙古自治区人民政府办公厅关于印发政府向社会力量购买服务管理办法的通知》（内政办发〔2015〕154号）第二章第七条的规定，“承接政府购买服务的主体，包括在登记管理部门登记或经国务院批准免予登记的社会组织、按事业单位分类改革应划入公益二类或转为企业的事业单位，以及依法在工商管理或行业主管部门登记成立的企业、机构等社会力量。”另外，本办法第四条指出：“机构编制管理部门负责编制符合作为公共服务承接主体的事业单位名录”、“民政部门负责研究建立作为政府购买服务承接主体的社会组织的资格认定、评估、监管体系”、“工商管理部门负责对承接政府购买服务的企业进行登记管理”，因此，通过上述各部门资格认定或审核的机构，均可作为政府购买服务项目的承接主体。</w:t>
      </w:r>
      <w:bookmarkStart w:id="60" w:name="_Toc513015445"/>
      <w:bookmarkStart w:id="61" w:name="_Toc20330_WPSOffice_Level2"/>
      <w:bookmarkStart w:id="62" w:name="_Toc26468"/>
      <w:bookmarkStart w:id="63" w:name="_Toc18968_WPSOffice_Level2"/>
    </w:p>
    <w:bookmarkEnd w:id="60"/>
    <w:bookmarkEnd w:id="61"/>
    <w:bookmarkEnd w:id="62"/>
    <w:bookmarkEnd w:id="63"/>
    <w:p>
      <w:pPr>
        <w:pStyle w:val="23"/>
        <w:spacing w:line="360" w:lineRule="auto"/>
        <w:rPr>
          <w:rFonts w:hint="eastAsia"/>
          <w:sz w:val="24"/>
          <w:szCs w:val="18"/>
        </w:rPr>
      </w:pPr>
      <w:r>
        <w:rPr>
          <w:rFonts w:hint="eastAsia"/>
          <w:sz w:val="24"/>
          <w:szCs w:val="18"/>
        </w:rPr>
        <w:t>承接主体应具备的具体条件</w:t>
      </w:r>
    </w:p>
    <w:p>
      <w:pPr>
        <w:pStyle w:val="23"/>
        <w:spacing w:line="360" w:lineRule="auto"/>
        <w:ind w:firstLine="480" w:firstLineChars="200"/>
        <w:rPr>
          <w:rFonts w:hint="eastAsia"/>
          <w:sz w:val="24"/>
          <w:szCs w:val="18"/>
        </w:rPr>
      </w:pPr>
      <w:r>
        <w:rPr>
          <w:rFonts w:hint="eastAsia"/>
          <w:sz w:val="24"/>
          <w:szCs w:val="18"/>
        </w:rPr>
        <w:t>本项目具</w:t>
      </w:r>
      <w:r>
        <w:rPr>
          <w:rFonts w:hint="eastAsia"/>
          <w:sz w:val="24"/>
          <w:szCs w:val="18"/>
          <w:lang w:eastAsia="zh-CN"/>
        </w:rPr>
        <w:t>有专业性和时效性强</w:t>
      </w:r>
      <w:r>
        <w:rPr>
          <w:rFonts w:hint="eastAsia"/>
          <w:sz w:val="24"/>
          <w:szCs w:val="18"/>
        </w:rPr>
        <w:t>，旨在</w:t>
      </w:r>
      <w:r>
        <w:rPr>
          <w:rFonts w:hint="eastAsia"/>
          <w:sz w:val="24"/>
          <w:szCs w:val="18"/>
          <w:lang w:eastAsia="zh-CN"/>
        </w:rPr>
        <w:t>摸清十二五以来农田建设情况并上报农业农村部</w:t>
      </w:r>
      <w:r>
        <w:rPr>
          <w:rFonts w:hint="eastAsia"/>
          <w:sz w:val="24"/>
          <w:szCs w:val="18"/>
        </w:rPr>
        <w:t>。因此，项目对承接主体的要求较高，除上述基本条件外，初步设计本项目承接主体应具备的其他条件主要包括：</w:t>
      </w:r>
    </w:p>
    <w:p>
      <w:pPr>
        <w:pStyle w:val="23"/>
        <w:spacing w:line="360" w:lineRule="auto"/>
        <w:ind w:firstLine="480" w:firstLineChars="200"/>
        <w:rPr>
          <w:rFonts w:hint="eastAsia"/>
          <w:sz w:val="24"/>
          <w:szCs w:val="18"/>
        </w:rPr>
      </w:pPr>
      <w:r>
        <w:rPr>
          <w:rFonts w:hint="eastAsia"/>
          <w:sz w:val="24"/>
          <w:szCs w:val="18"/>
        </w:rPr>
        <w:t>具有良好的企业内部结构及管理制度。</w:t>
      </w:r>
    </w:p>
    <w:p>
      <w:pPr>
        <w:pStyle w:val="23"/>
        <w:spacing w:line="360" w:lineRule="auto"/>
        <w:ind w:firstLine="480" w:firstLineChars="200"/>
        <w:rPr>
          <w:rFonts w:hint="eastAsia"/>
          <w:sz w:val="24"/>
          <w:szCs w:val="18"/>
        </w:rPr>
      </w:pPr>
      <w:r>
        <w:rPr>
          <w:rFonts w:hint="eastAsia"/>
          <w:sz w:val="24"/>
          <w:szCs w:val="18"/>
        </w:rPr>
        <w:t>具有本项目相应数量、具备相应专业技术职称的技术人员，以及现场管理人员和现场操作人员；</w:t>
      </w:r>
    </w:p>
    <w:p>
      <w:pPr>
        <w:pStyle w:val="23"/>
        <w:spacing w:line="360" w:lineRule="auto"/>
        <w:ind w:firstLine="480" w:firstLineChars="200"/>
        <w:rPr>
          <w:rFonts w:hint="eastAsia"/>
          <w:sz w:val="24"/>
          <w:szCs w:val="18"/>
        </w:rPr>
      </w:pPr>
      <w:r>
        <w:rPr>
          <w:rFonts w:hint="eastAsia"/>
          <w:sz w:val="24"/>
          <w:szCs w:val="18"/>
        </w:rPr>
        <w:t>具有</w:t>
      </w:r>
      <w:r>
        <w:rPr>
          <w:rFonts w:hint="eastAsia"/>
          <w:sz w:val="24"/>
          <w:szCs w:val="18"/>
          <w:lang w:eastAsia="zh-CN"/>
        </w:rPr>
        <w:t>高标准农田上图入库实践经验</w:t>
      </w:r>
      <w:r>
        <w:rPr>
          <w:rFonts w:hint="eastAsia"/>
          <w:sz w:val="24"/>
          <w:szCs w:val="18"/>
        </w:rPr>
        <w:t>；</w:t>
      </w:r>
    </w:p>
    <w:p>
      <w:pPr>
        <w:pStyle w:val="23"/>
        <w:spacing w:line="360" w:lineRule="auto"/>
        <w:ind w:firstLine="480" w:firstLineChars="200"/>
        <w:rPr>
          <w:rFonts w:hint="eastAsia"/>
          <w:sz w:val="24"/>
          <w:szCs w:val="18"/>
        </w:rPr>
      </w:pPr>
      <w:r>
        <w:rPr>
          <w:rFonts w:hint="eastAsia"/>
          <w:sz w:val="24"/>
          <w:szCs w:val="18"/>
        </w:rPr>
        <w:t>近三年承接过同类政府购买服务项目，且在绩效考核中考核结果为优秀或者良好者优先；</w:t>
      </w:r>
    </w:p>
    <w:p>
      <w:pPr>
        <w:pStyle w:val="23"/>
        <w:spacing w:line="360" w:lineRule="auto"/>
        <w:ind w:firstLine="480" w:firstLineChars="200"/>
        <w:rPr>
          <w:rFonts w:hint="eastAsia"/>
          <w:sz w:val="24"/>
          <w:szCs w:val="18"/>
        </w:rPr>
      </w:pPr>
      <w:r>
        <w:rPr>
          <w:rFonts w:hint="eastAsia"/>
          <w:sz w:val="24"/>
          <w:szCs w:val="18"/>
        </w:rPr>
        <w:t>有近三年的纳税证明（如承接主体成立未满三年，提供从设立之日起的纳税证明）；</w:t>
      </w:r>
    </w:p>
    <w:p>
      <w:pPr>
        <w:pStyle w:val="23"/>
        <w:spacing w:line="360" w:lineRule="auto"/>
        <w:ind w:firstLine="480" w:firstLineChars="200"/>
        <w:rPr>
          <w:rFonts w:hint="eastAsia"/>
          <w:sz w:val="24"/>
          <w:szCs w:val="18"/>
        </w:rPr>
      </w:pPr>
      <w:r>
        <w:rPr>
          <w:rFonts w:hint="eastAsia"/>
          <w:sz w:val="24"/>
          <w:szCs w:val="18"/>
        </w:rPr>
        <w:t>具有完整的项目</w:t>
      </w:r>
      <w:r>
        <w:rPr>
          <w:rFonts w:hint="eastAsia"/>
          <w:sz w:val="24"/>
          <w:szCs w:val="18"/>
          <w:lang w:eastAsia="zh-CN"/>
        </w:rPr>
        <w:t>实施</w:t>
      </w:r>
      <w:r>
        <w:rPr>
          <w:rFonts w:hint="eastAsia"/>
          <w:sz w:val="24"/>
          <w:szCs w:val="18"/>
        </w:rPr>
        <w:t>方案，包括但不限于管理人员及操作人员管理及培训方案、处理质量保证管理方案、安全管理方案、工艺优化升级方案等；</w:t>
      </w:r>
    </w:p>
    <w:p>
      <w:pPr>
        <w:pStyle w:val="23"/>
        <w:spacing w:line="360" w:lineRule="auto"/>
        <w:ind w:firstLine="480" w:firstLineChars="200"/>
        <w:rPr>
          <w:rFonts w:hint="eastAsia"/>
          <w:sz w:val="24"/>
          <w:szCs w:val="18"/>
        </w:rPr>
      </w:pPr>
      <w:r>
        <w:rPr>
          <w:rFonts w:hint="eastAsia"/>
          <w:sz w:val="24"/>
          <w:szCs w:val="18"/>
        </w:rPr>
        <w:t>近三年来在生产经营活动中无重大违法记录者优先，且能够提供有效的声明材料（如承接主体成立未满三年，从承接主体成立之日起算）；</w:t>
      </w:r>
    </w:p>
    <w:p>
      <w:pPr>
        <w:pStyle w:val="23"/>
        <w:spacing w:line="360" w:lineRule="auto"/>
        <w:ind w:firstLine="480" w:firstLineChars="200"/>
        <w:rPr>
          <w:rFonts w:hint="eastAsia"/>
          <w:sz w:val="24"/>
          <w:szCs w:val="18"/>
        </w:rPr>
      </w:pPr>
      <w:r>
        <w:rPr>
          <w:rFonts w:hint="eastAsia"/>
          <w:sz w:val="24"/>
          <w:szCs w:val="18"/>
        </w:rPr>
        <w:t>近三年的政府采购项目中无不良记录。</w:t>
      </w:r>
    </w:p>
    <w:p>
      <w:pPr>
        <w:pStyle w:val="23"/>
        <w:spacing w:line="360" w:lineRule="auto"/>
        <w:rPr>
          <w:rFonts w:hint="eastAsia"/>
          <w:sz w:val="24"/>
          <w:szCs w:val="18"/>
          <w:lang w:eastAsia="zh-CN"/>
        </w:rPr>
      </w:pPr>
      <w:r>
        <w:rPr>
          <w:rFonts w:hint="eastAsia"/>
          <w:sz w:val="24"/>
          <w:szCs w:val="18"/>
          <w:lang w:val="en-US" w:eastAsia="zh-CN"/>
        </w:rPr>
        <w:t>七、</w:t>
      </w:r>
      <w:r>
        <w:rPr>
          <w:rFonts w:hint="eastAsia"/>
          <w:sz w:val="24"/>
          <w:szCs w:val="18"/>
          <w:lang w:eastAsia="zh-CN"/>
        </w:rPr>
        <w:t>购买方式及程序</w:t>
      </w:r>
    </w:p>
    <w:p>
      <w:pPr>
        <w:pStyle w:val="23"/>
        <w:spacing w:line="360" w:lineRule="auto"/>
        <w:ind w:firstLine="480" w:firstLineChars="200"/>
        <w:rPr>
          <w:rFonts w:hint="eastAsia"/>
          <w:sz w:val="24"/>
          <w:szCs w:val="18"/>
          <w:lang w:val="en-US" w:eastAsia="zh-CN"/>
        </w:rPr>
      </w:pPr>
      <w:r>
        <w:rPr>
          <w:rFonts w:hint="eastAsia"/>
          <w:sz w:val="24"/>
          <w:szCs w:val="18"/>
          <w:lang w:val="en-US" w:eastAsia="zh-CN"/>
        </w:rPr>
        <w:t>根据《政府采购竞争性磋商采购方式管理暂行办法》（财库〔2014〕214号）文件中第三条规定符合下列情形的项目，可以采用竞争性磋商方式开展采购：</w:t>
      </w:r>
      <w:r>
        <w:rPr>
          <w:rFonts w:hint="eastAsia"/>
          <w:sz w:val="24"/>
          <w:szCs w:val="18"/>
          <w:lang w:val="en-US" w:eastAsia="zh-CN"/>
        </w:rPr>
        <w:br w:type="textWrapping"/>
      </w:r>
      <w:r>
        <w:rPr>
          <w:rFonts w:hint="eastAsia"/>
          <w:sz w:val="24"/>
          <w:szCs w:val="18"/>
          <w:lang w:val="en-US" w:eastAsia="zh-CN"/>
        </w:rPr>
        <w:t>　　（一）政府购买服务项目；</w:t>
      </w:r>
      <w:r>
        <w:rPr>
          <w:rFonts w:hint="eastAsia"/>
          <w:sz w:val="24"/>
          <w:szCs w:val="18"/>
          <w:lang w:val="en-US" w:eastAsia="zh-CN"/>
        </w:rPr>
        <w:br w:type="textWrapping"/>
      </w:r>
      <w:r>
        <w:rPr>
          <w:rFonts w:hint="eastAsia"/>
          <w:sz w:val="24"/>
          <w:szCs w:val="18"/>
          <w:lang w:val="en-US" w:eastAsia="zh-CN"/>
        </w:rPr>
        <w:t>　　（二）技术复杂或者性质特殊，不能确定详细规格或者具体要求的；</w:t>
      </w:r>
      <w:r>
        <w:rPr>
          <w:rFonts w:hint="eastAsia"/>
          <w:sz w:val="24"/>
          <w:szCs w:val="18"/>
          <w:lang w:val="en-US" w:eastAsia="zh-CN"/>
        </w:rPr>
        <w:br w:type="textWrapping"/>
      </w:r>
      <w:r>
        <w:rPr>
          <w:rFonts w:hint="eastAsia"/>
          <w:sz w:val="24"/>
          <w:szCs w:val="18"/>
          <w:lang w:val="en-US" w:eastAsia="zh-CN"/>
        </w:rPr>
        <w:t>　　（三）因艺术品采购、专利、专有技术或者服务的时间、数量事先不能确定等原因不能事先计算出价格总额的；</w:t>
      </w:r>
      <w:r>
        <w:rPr>
          <w:rFonts w:hint="eastAsia"/>
          <w:sz w:val="24"/>
          <w:szCs w:val="18"/>
          <w:lang w:val="en-US" w:eastAsia="zh-CN"/>
        </w:rPr>
        <w:br w:type="textWrapping"/>
      </w:r>
      <w:r>
        <w:rPr>
          <w:rFonts w:hint="eastAsia"/>
          <w:sz w:val="24"/>
          <w:szCs w:val="18"/>
          <w:lang w:val="en-US" w:eastAsia="zh-CN"/>
        </w:rPr>
        <w:t>　　（四）市场竞争不充分的科研项目，以及需要扶持的科技成果转化项目；</w:t>
      </w:r>
      <w:r>
        <w:rPr>
          <w:rFonts w:hint="eastAsia"/>
          <w:sz w:val="24"/>
          <w:szCs w:val="18"/>
          <w:lang w:val="en-US" w:eastAsia="zh-CN"/>
        </w:rPr>
        <w:br w:type="textWrapping"/>
      </w:r>
      <w:r>
        <w:rPr>
          <w:rFonts w:hint="eastAsia"/>
          <w:sz w:val="24"/>
          <w:szCs w:val="18"/>
          <w:lang w:val="en-US" w:eastAsia="zh-CN"/>
        </w:rPr>
        <w:t>　　（五）按照招标投标法及其实施条例必须进行招标的工程建设项目以外的工程建设项目。</w:t>
      </w:r>
    </w:p>
    <w:p>
      <w:pPr>
        <w:pStyle w:val="23"/>
        <w:spacing w:line="360" w:lineRule="auto"/>
        <w:ind w:firstLine="480" w:firstLineChars="200"/>
        <w:rPr>
          <w:rFonts w:hint="eastAsia"/>
          <w:sz w:val="24"/>
          <w:szCs w:val="18"/>
          <w:lang w:val="en-US" w:eastAsia="zh-CN"/>
        </w:rPr>
      </w:pPr>
      <w:r>
        <w:rPr>
          <w:rFonts w:hint="eastAsia"/>
          <w:sz w:val="24"/>
          <w:szCs w:val="18"/>
          <w:lang w:val="en-US" w:eastAsia="zh-CN"/>
        </w:rPr>
        <w:t>因本次高标准农田建设评估工作涉及项目时间跨度大（2011-2018年），各项目完成情况类型多样，技术较为复杂（包括耕地质量评价、地理勘察及信息录入等综合性分析），需要结合现场实际情况和工程现状情况进行评估，包括大量的外业调查工作；</w:t>
      </w:r>
    </w:p>
    <w:p>
      <w:pPr>
        <w:pStyle w:val="23"/>
        <w:spacing w:line="360" w:lineRule="auto"/>
        <w:ind w:firstLine="480" w:firstLineChars="200"/>
        <w:rPr>
          <w:sz w:val="24"/>
          <w:szCs w:val="18"/>
        </w:rPr>
      </w:pPr>
      <w:r>
        <w:rPr>
          <w:rFonts w:hint="eastAsia"/>
          <w:sz w:val="24"/>
          <w:szCs w:val="18"/>
          <w:lang w:val="en-US" w:eastAsia="zh-CN"/>
        </w:rPr>
        <w:t>本项目时间紧，省（自治区）市级主管部门要求在2月底完成此次项目，为了在上级部门要求的周期内完成上图入库工作，为缩短公示及采购周期，因此采用竞争性磋商方式进行政府采购相关程序。</w:t>
      </w:r>
    </w:p>
    <w:p>
      <w:pPr>
        <w:pStyle w:val="23"/>
        <w:spacing w:line="360" w:lineRule="auto"/>
        <w:jc w:val="center"/>
        <w:rPr>
          <w:rFonts w:hint="eastAsia"/>
          <w:sz w:val="24"/>
          <w:szCs w:val="18"/>
        </w:rPr>
      </w:pPr>
      <w:bookmarkStart w:id="64" w:name="_Toc513015447"/>
      <w:bookmarkStart w:id="65" w:name="_Toc10431"/>
      <w:bookmarkStart w:id="66" w:name="_Toc511199152"/>
      <w:r>
        <w:rPr>
          <w:rFonts w:hint="eastAsia"/>
          <w:sz w:val="24"/>
          <w:szCs w:val="18"/>
          <w:lang w:eastAsia="zh-CN"/>
        </w:rPr>
        <w:t>八、</w:t>
      </w:r>
      <w:r>
        <w:rPr>
          <w:rFonts w:hint="eastAsia"/>
          <w:sz w:val="24"/>
          <w:szCs w:val="18"/>
        </w:rPr>
        <w:t>项目合同</w:t>
      </w:r>
      <w:r>
        <w:rPr>
          <w:rFonts w:hint="eastAsia"/>
          <w:sz w:val="24"/>
          <w:szCs w:val="18"/>
          <w:lang w:eastAsia="zh-CN"/>
        </w:rPr>
        <w:t>签订与</w:t>
      </w:r>
      <w:r>
        <w:rPr>
          <w:rFonts w:hint="eastAsia"/>
          <w:sz w:val="24"/>
          <w:szCs w:val="18"/>
        </w:rPr>
        <w:t>管理</w:t>
      </w:r>
      <w:bookmarkEnd w:id="64"/>
      <w:bookmarkEnd w:id="65"/>
      <w:bookmarkEnd w:id="66"/>
    </w:p>
    <w:p>
      <w:pPr>
        <w:pStyle w:val="23"/>
        <w:spacing w:line="360" w:lineRule="auto"/>
        <w:ind w:firstLine="480" w:firstLineChars="200"/>
        <w:rPr>
          <w:rFonts w:hint="eastAsia"/>
          <w:sz w:val="24"/>
          <w:szCs w:val="18"/>
        </w:rPr>
      </w:pPr>
      <w:bookmarkStart w:id="67" w:name="_Toc511199154"/>
      <w:bookmarkStart w:id="68" w:name="_Toc28573"/>
      <w:r>
        <w:rPr>
          <w:rFonts w:hint="eastAsia"/>
          <w:sz w:val="24"/>
          <w:szCs w:val="18"/>
        </w:rPr>
        <w:t>政府购买服务项目合同的签订、管理、备案等程序适用《中华人民共和国政府采购法》、《中华人民共和国政府采购法实施条例》等政府采购相关规定以及购买服务项目的相关规定。</w:t>
      </w:r>
    </w:p>
    <w:p>
      <w:pPr>
        <w:pStyle w:val="23"/>
        <w:spacing w:line="360" w:lineRule="auto"/>
        <w:rPr>
          <w:rFonts w:hint="eastAsia"/>
          <w:sz w:val="24"/>
          <w:szCs w:val="18"/>
        </w:rPr>
      </w:pPr>
      <w:bookmarkStart w:id="69" w:name="_Toc1706_WPSOffice_Level1"/>
      <w:bookmarkStart w:id="70" w:name="_Toc28256_WPSOffice_Level1"/>
      <w:bookmarkStart w:id="71" w:name="_Toc18810"/>
      <w:bookmarkStart w:id="72" w:name="_Toc513015448"/>
      <w:r>
        <w:rPr>
          <w:rFonts w:hint="eastAsia"/>
          <w:sz w:val="24"/>
          <w:szCs w:val="18"/>
          <w:lang w:val="en-US" w:eastAsia="zh-CN"/>
        </w:rPr>
        <w:t>（一）</w:t>
      </w:r>
      <w:r>
        <w:rPr>
          <w:rFonts w:hint="eastAsia"/>
          <w:sz w:val="24"/>
          <w:szCs w:val="18"/>
        </w:rPr>
        <w:t>合同签订</w:t>
      </w:r>
      <w:bookmarkEnd w:id="69"/>
      <w:bookmarkEnd w:id="70"/>
      <w:bookmarkEnd w:id="71"/>
      <w:bookmarkEnd w:id="72"/>
    </w:p>
    <w:p>
      <w:pPr>
        <w:pStyle w:val="23"/>
        <w:spacing w:line="360" w:lineRule="auto"/>
        <w:ind w:firstLine="480" w:firstLineChars="200"/>
        <w:rPr>
          <w:rFonts w:hint="eastAsia"/>
          <w:sz w:val="24"/>
          <w:szCs w:val="18"/>
        </w:rPr>
      </w:pPr>
      <w:r>
        <w:rPr>
          <w:rFonts w:hint="eastAsia"/>
          <w:sz w:val="24"/>
          <w:szCs w:val="18"/>
        </w:rPr>
        <w:t>确定本项目承接主体后，购买主体应与其签订政府购买服务合同，双方的权利和义务，应当按照平等、自愿的原则约定。根据《政府采购竞争性磋商采购方式管理暂行办法》（财库〔2014〕214号）第三十条规定：“采购人与成交供应商应当在成交通知书发出之日起30日内，按照磋商文件确定的合同文本以及采购标的、采购金额、采购数量、技术和服务要求等事项签订政府采购合同。</w:t>
      </w:r>
    </w:p>
    <w:p>
      <w:pPr>
        <w:pStyle w:val="23"/>
        <w:spacing w:line="360" w:lineRule="auto"/>
        <w:rPr>
          <w:rFonts w:hint="eastAsia"/>
          <w:sz w:val="24"/>
          <w:szCs w:val="18"/>
        </w:rPr>
      </w:pPr>
      <w:bookmarkStart w:id="73" w:name="_Toc26629_WPSOffice_Level1"/>
      <w:bookmarkStart w:id="74" w:name="_Toc32320"/>
      <w:bookmarkStart w:id="75" w:name="_Toc20773_WPSOffice_Level1"/>
      <w:bookmarkStart w:id="76" w:name="_Toc513015449"/>
      <w:r>
        <w:rPr>
          <w:rFonts w:hint="eastAsia"/>
          <w:sz w:val="24"/>
          <w:szCs w:val="18"/>
          <w:lang w:val="en-US" w:eastAsia="zh-CN"/>
        </w:rPr>
        <w:t>（二）</w:t>
      </w:r>
      <w:r>
        <w:rPr>
          <w:rFonts w:hint="eastAsia"/>
          <w:sz w:val="24"/>
          <w:szCs w:val="18"/>
        </w:rPr>
        <w:t>合同备案</w:t>
      </w:r>
      <w:bookmarkEnd w:id="73"/>
      <w:bookmarkEnd w:id="74"/>
      <w:bookmarkEnd w:id="75"/>
      <w:bookmarkEnd w:id="76"/>
    </w:p>
    <w:p>
      <w:pPr>
        <w:pStyle w:val="23"/>
        <w:spacing w:line="360" w:lineRule="auto"/>
        <w:ind w:firstLine="480" w:firstLineChars="200"/>
        <w:rPr>
          <w:rFonts w:hint="eastAsia"/>
          <w:sz w:val="24"/>
          <w:szCs w:val="18"/>
        </w:rPr>
      </w:pPr>
      <w:r>
        <w:rPr>
          <w:rFonts w:hint="eastAsia"/>
          <w:sz w:val="24"/>
          <w:szCs w:val="18"/>
        </w:rPr>
        <w:t>政府购买服务合同签订后，应根据政府采购相关规定进行备案。《中华人民共和国政府采购法》第四十七条规定：“政府采购项目的采购合同自签订之日起七个工作日内，采购人应当将合同副本报同级政府采购监督管理部门和有关部门备案。”</w:t>
      </w:r>
    </w:p>
    <w:p>
      <w:pPr>
        <w:pStyle w:val="23"/>
        <w:spacing w:line="360" w:lineRule="auto"/>
        <w:rPr>
          <w:rFonts w:hint="eastAsia"/>
          <w:sz w:val="24"/>
          <w:szCs w:val="18"/>
        </w:rPr>
      </w:pPr>
      <w:r>
        <w:rPr>
          <w:rFonts w:hint="eastAsia"/>
          <w:sz w:val="24"/>
          <w:szCs w:val="18"/>
        </w:rPr>
        <w:t>对于政府购买服务项目，鄂前期</w:t>
      </w:r>
      <w:r>
        <w:rPr>
          <w:rFonts w:hint="eastAsia"/>
          <w:sz w:val="24"/>
          <w:szCs w:val="18"/>
          <w:lang w:eastAsia="zh-CN"/>
        </w:rPr>
        <w:t>农牧业综合开发中心</w:t>
      </w:r>
      <w:r>
        <w:rPr>
          <w:rFonts w:hint="eastAsia"/>
          <w:sz w:val="24"/>
          <w:szCs w:val="18"/>
        </w:rPr>
        <w:t>应在法律规定的期限内，将合同副本报同级政府采购监督管理部门备案，同时向同级财政部门备案，作为拨付资金的依据。</w:t>
      </w:r>
    </w:p>
    <w:p>
      <w:pPr>
        <w:pStyle w:val="23"/>
        <w:spacing w:line="360" w:lineRule="auto"/>
        <w:rPr>
          <w:rFonts w:hint="eastAsia"/>
          <w:sz w:val="24"/>
          <w:szCs w:val="18"/>
        </w:rPr>
      </w:pPr>
      <w:bookmarkStart w:id="77" w:name="_Toc2308_WPSOffice_Level1"/>
      <w:bookmarkStart w:id="78" w:name="_Toc10745"/>
      <w:bookmarkStart w:id="79" w:name="_Toc29251_WPSOffice_Level1"/>
      <w:bookmarkStart w:id="80" w:name="_Toc513015450"/>
      <w:r>
        <w:rPr>
          <w:rFonts w:hint="eastAsia"/>
          <w:sz w:val="24"/>
          <w:szCs w:val="18"/>
          <w:lang w:val="en-US" w:eastAsia="zh-CN"/>
        </w:rPr>
        <w:t>（三）</w:t>
      </w:r>
      <w:r>
        <w:rPr>
          <w:rFonts w:hint="eastAsia"/>
          <w:sz w:val="24"/>
          <w:szCs w:val="18"/>
        </w:rPr>
        <w:t>合同的主要条款</w:t>
      </w:r>
      <w:bookmarkEnd w:id="77"/>
      <w:bookmarkEnd w:id="78"/>
      <w:bookmarkEnd w:id="79"/>
      <w:bookmarkEnd w:id="80"/>
    </w:p>
    <w:p>
      <w:pPr>
        <w:pStyle w:val="23"/>
        <w:spacing w:line="360" w:lineRule="auto"/>
        <w:ind w:firstLine="480" w:firstLineChars="200"/>
        <w:rPr>
          <w:rFonts w:hint="eastAsia"/>
          <w:sz w:val="24"/>
          <w:szCs w:val="18"/>
        </w:rPr>
      </w:pPr>
      <w:bookmarkStart w:id="81" w:name="_Toc17718_WPSOffice_Level2"/>
      <w:bookmarkStart w:id="82" w:name="_Toc4708_WPSOffice_Level2"/>
      <w:r>
        <w:rPr>
          <w:rFonts w:hint="eastAsia"/>
          <w:sz w:val="24"/>
          <w:szCs w:val="18"/>
          <w:lang w:val="en-US" w:eastAsia="zh-CN"/>
        </w:rPr>
        <w:t>1.</w:t>
      </w:r>
      <w:r>
        <w:rPr>
          <w:rFonts w:hint="eastAsia"/>
          <w:sz w:val="24"/>
          <w:szCs w:val="18"/>
        </w:rPr>
        <w:t>合作方式</w:t>
      </w:r>
      <w:bookmarkEnd w:id="81"/>
      <w:bookmarkEnd w:id="82"/>
    </w:p>
    <w:p>
      <w:pPr>
        <w:pStyle w:val="23"/>
        <w:spacing w:line="360" w:lineRule="auto"/>
        <w:ind w:firstLine="480" w:firstLineChars="200"/>
        <w:rPr>
          <w:rFonts w:hint="eastAsia"/>
          <w:sz w:val="24"/>
          <w:szCs w:val="18"/>
        </w:rPr>
      </w:pPr>
      <w:r>
        <w:rPr>
          <w:rFonts w:hint="eastAsia"/>
          <w:sz w:val="24"/>
          <w:szCs w:val="18"/>
        </w:rPr>
        <w:t>鄂前期</w:t>
      </w:r>
      <w:r>
        <w:rPr>
          <w:rFonts w:hint="eastAsia"/>
          <w:sz w:val="24"/>
          <w:szCs w:val="18"/>
          <w:lang w:eastAsia="zh-CN"/>
        </w:rPr>
        <w:t>农牧业综合开发中心</w:t>
      </w:r>
      <w:r>
        <w:rPr>
          <w:rFonts w:hint="eastAsia"/>
          <w:sz w:val="24"/>
          <w:szCs w:val="18"/>
        </w:rPr>
        <w:t>通过公开、公平的采购程序，选取适格社会力量承接</w:t>
      </w:r>
      <w:r>
        <w:rPr>
          <w:rFonts w:hint="eastAsia"/>
          <w:sz w:val="24"/>
          <w:szCs w:val="18"/>
          <w:lang w:eastAsia="zh-CN"/>
        </w:rPr>
        <w:t>本次</w:t>
      </w:r>
      <w:r>
        <w:rPr>
          <w:rFonts w:hint="eastAsia"/>
          <w:sz w:val="24"/>
          <w:szCs w:val="18"/>
        </w:rPr>
        <w:t>服务</w:t>
      </w:r>
      <w:r>
        <w:rPr>
          <w:rFonts w:hint="eastAsia"/>
          <w:sz w:val="24"/>
          <w:szCs w:val="18"/>
          <w:lang w:eastAsia="zh-CN"/>
        </w:rPr>
        <w:t>项目</w:t>
      </w:r>
      <w:r>
        <w:rPr>
          <w:rFonts w:hint="eastAsia"/>
          <w:sz w:val="24"/>
          <w:szCs w:val="18"/>
        </w:rPr>
        <w:t>。在购买服务期限内，由中选承接主体负责</w:t>
      </w:r>
      <w:r>
        <w:rPr>
          <w:rFonts w:hint="eastAsia"/>
          <w:sz w:val="24"/>
          <w:szCs w:val="18"/>
          <w:lang w:eastAsia="zh-CN"/>
        </w:rPr>
        <w:t>上图入库及规划</w:t>
      </w:r>
      <w:r>
        <w:rPr>
          <w:rFonts w:hint="eastAsia"/>
          <w:sz w:val="24"/>
          <w:szCs w:val="18"/>
        </w:rPr>
        <w:t>服务；鄂前期</w:t>
      </w:r>
      <w:r>
        <w:rPr>
          <w:rFonts w:hint="eastAsia"/>
          <w:sz w:val="24"/>
          <w:szCs w:val="18"/>
          <w:lang w:eastAsia="zh-CN"/>
        </w:rPr>
        <w:t>农牧业综合开发中心</w:t>
      </w:r>
      <w:r>
        <w:rPr>
          <w:rFonts w:hint="eastAsia"/>
          <w:sz w:val="24"/>
          <w:szCs w:val="18"/>
        </w:rPr>
        <w:t>在服务期内，对承接主体</w:t>
      </w:r>
      <w:r>
        <w:rPr>
          <w:rFonts w:hint="eastAsia"/>
          <w:sz w:val="24"/>
          <w:szCs w:val="18"/>
          <w:lang w:eastAsia="zh-CN"/>
        </w:rPr>
        <w:t>按照合同和相关文件要求履行服务条款检查核对及提出优化方案</w:t>
      </w:r>
      <w:r>
        <w:rPr>
          <w:rFonts w:hint="eastAsia"/>
          <w:sz w:val="24"/>
          <w:szCs w:val="18"/>
        </w:rPr>
        <w:t>，并依据</w:t>
      </w:r>
      <w:r>
        <w:rPr>
          <w:rFonts w:hint="eastAsia"/>
          <w:sz w:val="24"/>
          <w:szCs w:val="18"/>
          <w:lang w:eastAsia="zh-CN"/>
        </w:rPr>
        <w:t>服务进度和质量时效</w:t>
      </w:r>
      <w:r>
        <w:rPr>
          <w:rFonts w:hint="eastAsia"/>
          <w:sz w:val="24"/>
          <w:szCs w:val="18"/>
        </w:rPr>
        <w:t>向承接主体支付服务费。</w:t>
      </w:r>
    </w:p>
    <w:p>
      <w:pPr>
        <w:pStyle w:val="23"/>
        <w:spacing w:line="360" w:lineRule="auto"/>
        <w:ind w:firstLine="480" w:firstLineChars="200"/>
        <w:rPr>
          <w:rFonts w:hint="eastAsia"/>
          <w:sz w:val="24"/>
          <w:szCs w:val="18"/>
        </w:rPr>
      </w:pPr>
      <w:bookmarkStart w:id="83" w:name="_Toc4085_WPSOffice_Level2"/>
      <w:bookmarkStart w:id="84" w:name="_Toc19583_WPSOffice_Level2"/>
      <w:r>
        <w:rPr>
          <w:rFonts w:hint="eastAsia"/>
          <w:sz w:val="24"/>
          <w:szCs w:val="18"/>
          <w:lang w:val="en-US" w:eastAsia="zh-CN"/>
        </w:rPr>
        <w:t>2.</w:t>
      </w:r>
      <w:r>
        <w:rPr>
          <w:rFonts w:hint="eastAsia"/>
          <w:sz w:val="24"/>
          <w:szCs w:val="18"/>
        </w:rPr>
        <w:t>购买服务的质量标准</w:t>
      </w:r>
      <w:bookmarkEnd w:id="83"/>
      <w:bookmarkEnd w:id="84"/>
    </w:p>
    <w:p>
      <w:pPr>
        <w:pStyle w:val="23"/>
        <w:spacing w:line="360" w:lineRule="auto"/>
        <w:ind w:firstLine="480" w:firstLineChars="200"/>
        <w:rPr>
          <w:rFonts w:hint="eastAsia"/>
          <w:sz w:val="24"/>
          <w:szCs w:val="18"/>
        </w:rPr>
      </w:pPr>
      <w:r>
        <w:rPr>
          <w:rFonts w:hint="eastAsia"/>
          <w:sz w:val="24"/>
          <w:szCs w:val="18"/>
        </w:rPr>
        <w:t>在合作期内，承接主体就本项目提供的服务应当达到的质量标准主要包含：</w:t>
      </w:r>
    </w:p>
    <w:p>
      <w:pPr>
        <w:pStyle w:val="23"/>
        <w:spacing w:line="360" w:lineRule="auto"/>
        <w:rPr>
          <w:rFonts w:hint="eastAsia"/>
          <w:sz w:val="24"/>
          <w:szCs w:val="18"/>
        </w:rPr>
      </w:pPr>
      <w:r>
        <w:rPr>
          <w:rFonts w:hint="eastAsia"/>
          <w:sz w:val="24"/>
          <w:szCs w:val="18"/>
        </w:rPr>
        <w:t>（1）</w:t>
      </w:r>
      <w:r>
        <w:rPr>
          <w:rFonts w:hint="eastAsia"/>
          <w:sz w:val="24"/>
          <w:szCs w:val="18"/>
          <w:lang w:eastAsia="zh-CN"/>
        </w:rPr>
        <w:t>应当按照购买方提供的相关文件要求</w:t>
      </w:r>
      <w:r>
        <w:rPr>
          <w:rFonts w:hint="eastAsia"/>
          <w:sz w:val="24"/>
          <w:szCs w:val="18"/>
        </w:rPr>
        <w:t>，提供优质服务；</w:t>
      </w:r>
    </w:p>
    <w:p>
      <w:pPr>
        <w:pStyle w:val="23"/>
        <w:spacing w:line="360" w:lineRule="auto"/>
        <w:rPr>
          <w:rFonts w:hint="eastAsia"/>
          <w:sz w:val="24"/>
          <w:szCs w:val="18"/>
        </w:rPr>
      </w:pPr>
      <w:r>
        <w:rPr>
          <w:rFonts w:hint="eastAsia"/>
          <w:sz w:val="24"/>
          <w:szCs w:val="18"/>
        </w:rPr>
        <w:t>（2）应当</w:t>
      </w:r>
      <w:r>
        <w:rPr>
          <w:rFonts w:hint="eastAsia"/>
          <w:sz w:val="24"/>
          <w:szCs w:val="18"/>
          <w:lang w:eastAsia="zh-CN"/>
        </w:rPr>
        <w:t>按照规定时间高质量完成本次服务工作</w:t>
      </w:r>
      <w:r>
        <w:rPr>
          <w:rFonts w:hint="eastAsia"/>
          <w:sz w:val="24"/>
          <w:szCs w:val="18"/>
        </w:rPr>
        <w:t>；</w:t>
      </w:r>
    </w:p>
    <w:p>
      <w:pPr>
        <w:pStyle w:val="23"/>
        <w:spacing w:line="360" w:lineRule="auto"/>
        <w:rPr>
          <w:rFonts w:hint="eastAsia"/>
          <w:sz w:val="24"/>
          <w:szCs w:val="18"/>
        </w:rPr>
      </w:pPr>
      <w:r>
        <w:rPr>
          <w:rFonts w:hint="eastAsia"/>
          <w:sz w:val="24"/>
          <w:szCs w:val="18"/>
        </w:rPr>
        <w:t>（</w:t>
      </w:r>
      <w:r>
        <w:rPr>
          <w:rFonts w:hint="eastAsia"/>
          <w:sz w:val="24"/>
          <w:szCs w:val="18"/>
          <w:lang w:val="en-US" w:eastAsia="zh-CN"/>
        </w:rPr>
        <w:t>3</w:t>
      </w:r>
      <w:r>
        <w:rPr>
          <w:rFonts w:hint="eastAsia"/>
          <w:sz w:val="24"/>
          <w:szCs w:val="18"/>
        </w:rPr>
        <w:t>）应</w:t>
      </w:r>
      <w:r>
        <w:rPr>
          <w:rFonts w:hint="eastAsia"/>
          <w:sz w:val="24"/>
          <w:szCs w:val="18"/>
          <w:lang w:eastAsia="zh-CN"/>
        </w:rPr>
        <w:t>当结合本次项目制定</w:t>
      </w:r>
      <w:r>
        <w:rPr>
          <w:rFonts w:hint="eastAsia"/>
          <w:sz w:val="24"/>
          <w:szCs w:val="18"/>
        </w:rPr>
        <w:t>各项管理制度</w:t>
      </w:r>
      <w:r>
        <w:rPr>
          <w:rFonts w:hint="eastAsia"/>
          <w:sz w:val="24"/>
          <w:szCs w:val="18"/>
          <w:lang w:eastAsia="zh-CN"/>
        </w:rPr>
        <w:t>和进度计划</w:t>
      </w:r>
      <w:r>
        <w:rPr>
          <w:rFonts w:hint="eastAsia"/>
          <w:sz w:val="24"/>
          <w:szCs w:val="18"/>
        </w:rPr>
        <w:t>，做到各部门人员分工明确、专业素质达标、工作流程清晰、奖惩得当，确保项目实施过程中各类事宜均有据可依，井然有序；</w:t>
      </w:r>
    </w:p>
    <w:p>
      <w:pPr>
        <w:pStyle w:val="23"/>
        <w:spacing w:line="360" w:lineRule="auto"/>
        <w:rPr>
          <w:rFonts w:hint="eastAsia"/>
          <w:sz w:val="24"/>
          <w:szCs w:val="18"/>
        </w:rPr>
      </w:pPr>
      <w:r>
        <w:rPr>
          <w:rFonts w:hint="eastAsia"/>
          <w:sz w:val="24"/>
          <w:szCs w:val="18"/>
        </w:rPr>
        <w:t>具体服务质量标准以购买主体与承接主体签订的政府购买服务合同约定为主。</w:t>
      </w:r>
    </w:p>
    <w:p>
      <w:pPr>
        <w:pStyle w:val="23"/>
        <w:spacing w:line="360" w:lineRule="auto"/>
        <w:ind w:firstLine="480" w:firstLineChars="200"/>
        <w:rPr>
          <w:rFonts w:hint="eastAsia"/>
          <w:sz w:val="24"/>
          <w:szCs w:val="18"/>
        </w:rPr>
      </w:pPr>
      <w:bookmarkStart w:id="85" w:name="_Toc31714_WPSOffice_Level2"/>
      <w:bookmarkStart w:id="86" w:name="_Toc280_WPSOffice_Level2"/>
      <w:r>
        <w:rPr>
          <w:rFonts w:hint="eastAsia"/>
          <w:sz w:val="24"/>
          <w:szCs w:val="18"/>
          <w:lang w:val="en-US" w:eastAsia="zh-CN"/>
        </w:rPr>
        <w:t>3.</w:t>
      </w:r>
      <w:r>
        <w:rPr>
          <w:rFonts w:hint="eastAsia"/>
          <w:sz w:val="24"/>
          <w:szCs w:val="18"/>
        </w:rPr>
        <w:t>双方权利义务</w:t>
      </w:r>
      <w:bookmarkEnd w:id="85"/>
      <w:bookmarkEnd w:id="86"/>
    </w:p>
    <w:p>
      <w:pPr>
        <w:pStyle w:val="23"/>
        <w:spacing w:line="360" w:lineRule="auto"/>
        <w:ind w:firstLine="480" w:firstLineChars="200"/>
        <w:rPr>
          <w:rFonts w:hint="eastAsia"/>
          <w:sz w:val="24"/>
          <w:szCs w:val="18"/>
        </w:rPr>
      </w:pPr>
      <w:r>
        <w:rPr>
          <w:rFonts w:hint="eastAsia"/>
          <w:sz w:val="24"/>
          <w:szCs w:val="18"/>
          <w:lang w:eastAsia="zh-CN"/>
        </w:rPr>
        <w:t>（</w:t>
      </w:r>
      <w:r>
        <w:rPr>
          <w:rFonts w:hint="eastAsia"/>
          <w:sz w:val="24"/>
          <w:szCs w:val="18"/>
          <w:lang w:val="en-US" w:eastAsia="zh-CN"/>
        </w:rPr>
        <w:t>1</w:t>
      </w:r>
      <w:r>
        <w:rPr>
          <w:rFonts w:hint="eastAsia"/>
          <w:sz w:val="24"/>
          <w:szCs w:val="18"/>
          <w:lang w:eastAsia="zh-CN"/>
        </w:rPr>
        <w:t>）</w:t>
      </w:r>
      <w:r>
        <w:rPr>
          <w:rFonts w:hint="eastAsia"/>
          <w:sz w:val="24"/>
          <w:szCs w:val="18"/>
        </w:rPr>
        <w:t>购买主体的权利义务包括但不限于：</w:t>
      </w:r>
    </w:p>
    <w:p>
      <w:pPr>
        <w:pStyle w:val="23"/>
        <w:spacing w:line="360" w:lineRule="auto"/>
        <w:rPr>
          <w:rFonts w:hint="eastAsia"/>
          <w:sz w:val="24"/>
          <w:szCs w:val="18"/>
        </w:rPr>
      </w:pPr>
      <w:r>
        <w:rPr>
          <w:rFonts w:hint="eastAsia"/>
          <w:sz w:val="24"/>
          <w:szCs w:val="18"/>
        </w:rPr>
        <w:t>①购买主体应当按照政府购买服务合同的约定向承接主体支付服务费；</w:t>
      </w:r>
    </w:p>
    <w:p>
      <w:pPr>
        <w:pStyle w:val="23"/>
        <w:spacing w:line="360" w:lineRule="auto"/>
        <w:rPr>
          <w:rFonts w:hint="eastAsia"/>
          <w:sz w:val="24"/>
          <w:szCs w:val="18"/>
        </w:rPr>
      </w:pPr>
      <w:r>
        <w:rPr>
          <w:rFonts w:hint="eastAsia"/>
          <w:sz w:val="24"/>
          <w:szCs w:val="18"/>
        </w:rPr>
        <w:t>②购买主体应当对承接主体的业务协调、机构管理、制度建设等工作提供协助；</w:t>
      </w:r>
    </w:p>
    <w:p>
      <w:pPr>
        <w:pStyle w:val="23"/>
        <w:spacing w:line="360" w:lineRule="auto"/>
        <w:rPr>
          <w:rFonts w:hint="eastAsia"/>
          <w:sz w:val="24"/>
          <w:szCs w:val="18"/>
        </w:rPr>
      </w:pPr>
      <w:r>
        <w:rPr>
          <w:rFonts w:hint="eastAsia"/>
          <w:sz w:val="24"/>
          <w:szCs w:val="18"/>
        </w:rPr>
        <w:t>③购买主体有权</w:t>
      </w:r>
      <w:r>
        <w:rPr>
          <w:rFonts w:hint="eastAsia"/>
          <w:sz w:val="24"/>
          <w:szCs w:val="18"/>
          <w:lang w:eastAsia="zh-CN"/>
        </w:rPr>
        <w:t>按照文件要求</w:t>
      </w:r>
      <w:r>
        <w:rPr>
          <w:rFonts w:hint="eastAsia"/>
          <w:sz w:val="24"/>
          <w:szCs w:val="18"/>
        </w:rPr>
        <w:t>制定项目服务质量标准</w:t>
      </w:r>
      <w:r>
        <w:rPr>
          <w:rFonts w:hint="eastAsia"/>
          <w:sz w:val="24"/>
          <w:szCs w:val="18"/>
          <w:lang w:eastAsia="zh-CN"/>
        </w:rPr>
        <w:t>和时效等</w:t>
      </w:r>
      <w:r>
        <w:rPr>
          <w:rFonts w:hint="eastAsia"/>
          <w:sz w:val="24"/>
          <w:szCs w:val="18"/>
        </w:rPr>
        <w:t>指标，对项目</w:t>
      </w:r>
      <w:r>
        <w:rPr>
          <w:rFonts w:hint="eastAsia"/>
          <w:sz w:val="24"/>
          <w:szCs w:val="18"/>
          <w:lang w:eastAsia="zh-CN"/>
        </w:rPr>
        <w:t>服务进行</w:t>
      </w:r>
      <w:r>
        <w:rPr>
          <w:rFonts w:hint="eastAsia"/>
          <w:sz w:val="24"/>
          <w:szCs w:val="18"/>
        </w:rPr>
        <w:t>全过程进行监督</w:t>
      </w:r>
      <w:r>
        <w:rPr>
          <w:rFonts w:hint="eastAsia"/>
          <w:sz w:val="24"/>
          <w:szCs w:val="18"/>
          <w:lang w:eastAsia="zh-CN"/>
        </w:rPr>
        <w:t>提出修改完善意见建议</w:t>
      </w:r>
      <w:r>
        <w:rPr>
          <w:rFonts w:hint="eastAsia"/>
          <w:sz w:val="24"/>
          <w:szCs w:val="18"/>
        </w:rPr>
        <w:t>；</w:t>
      </w:r>
    </w:p>
    <w:p>
      <w:pPr>
        <w:pStyle w:val="23"/>
        <w:spacing w:line="360" w:lineRule="auto"/>
        <w:ind w:firstLine="480" w:firstLineChars="200"/>
        <w:rPr>
          <w:rFonts w:hint="eastAsia"/>
          <w:sz w:val="24"/>
          <w:szCs w:val="18"/>
        </w:rPr>
      </w:pPr>
      <w:r>
        <w:rPr>
          <w:rFonts w:hint="eastAsia"/>
          <w:sz w:val="24"/>
          <w:szCs w:val="18"/>
        </w:rPr>
        <w:t>（4）由于承接主体自身原因，导致</w:t>
      </w:r>
      <w:r>
        <w:rPr>
          <w:rFonts w:hint="eastAsia"/>
          <w:sz w:val="24"/>
          <w:szCs w:val="18"/>
          <w:lang w:eastAsia="zh-CN"/>
        </w:rPr>
        <w:t>服务中断或无法进行时</w:t>
      </w:r>
      <w:r>
        <w:rPr>
          <w:rFonts w:hint="eastAsia"/>
          <w:sz w:val="24"/>
          <w:szCs w:val="18"/>
        </w:rPr>
        <w:t>，购买主体有权单方解除合同，并要求承接主体赔偿损失。</w:t>
      </w:r>
    </w:p>
    <w:p>
      <w:pPr>
        <w:pStyle w:val="23"/>
        <w:spacing w:line="360" w:lineRule="auto"/>
        <w:ind w:firstLine="480" w:firstLineChars="200"/>
        <w:rPr>
          <w:rFonts w:hint="eastAsia"/>
          <w:sz w:val="24"/>
          <w:szCs w:val="18"/>
        </w:rPr>
      </w:pPr>
      <w:r>
        <w:rPr>
          <w:rFonts w:hint="eastAsia"/>
          <w:sz w:val="24"/>
          <w:szCs w:val="18"/>
          <w:lang w:eastAsia="zh-CN"/>
        </w:rPr>
        <w:t>（</w:t>
      </w:r>
      <w:r>
        <w:rPr>
          <w:rFonts w:hint="eastAsia"/>
          <w:sz w:val="24"/>
          <w:szCs w:val="18"/>
          <w:lang w:val="en-US" w:eastAsia="zh-CN"/>
        </w:rPr>
        <w:t>2</w:t>
      </w:r>
      <w:r>
        <w:rPr>
          <w:rFonts w:hint="eastAsia"/>
          <w:sz w:val="24"/>
          <w:szCs w:val="18"/>
          <w:lang w:eastAsia="zh-CN"/>
        </w:rPr>
        <w:t>）</w:t>
      </w:r>
      <w:r>
        <w:rPr>
          <w:rFonts w:hint="eastAsia"/>
          <w:sz w:val="24"/>
          <w:szCs w:val="18"/>
        </w:rPr>
        <w:t>承接主体的权利义务包括但不限于：</w:t>
      </w:r>
    </w:p>
    <w:p>
      <w:pPr>
        <w:pStyle w:val="23"/>
        <w:spacing w:line="360" w:lineRule="auto"/>
        <w:rPr>
          <w:rFonts w:hint="eastAsia"/>
          <w:sz w:val="24"/>
          <w:szCs w:val="18"/>
        </w:rPr>
      </w:pPr>
      <w:r>
        <w:rPr>
          <w:rFonts w:hint="eastAsia"/>
          <w:sz w:val="24"/>
          <w:szCs w:val="18"/>
        </w:rPr>
        <w:t>①承接主体应当在合同约定的期限内提供服务，逾期提供服务的，应当支付违约金或损失赔偿</w:t>
      </w:r>
      <w:r>
        <w:rPr>
          <w:rFonts w:hint="eastAsia"/>
          <w:sz w:val="24"/>
          <w:szCs w:val="18"/>
          <w:lang w:eastAsia="zh-CN"/>
        </w:rPr>
        <w:t>（因客观原因不能按期完成的另行协商）</w:t>
      </w:r>
      <w:r>
        <w:rPr>
          <w:rFonts w:hint="eastAsia"/>
          <w:sz w:val="24"/>
          <w:szCs w:val="18"/>
        </w:rPr>
        <w:t>；</w:t>
      </w:r>
    </w:p>
    <w:p>
      <w:pPr>
        <w:pStyle w:val="23"/>
        <w:spacing w:line="360" w:lineRule="auto"/>
        <w:rPr>
          <w:rFonts w:hint="eastAsia"/>
          <w:sz w:val="24"/>
          <w:szCs w:val="18"/>
        </w:rPr>
      </w:pPr>
      <w:r>
        <w:rPr>
          <w:rFonts w:hint="eastAsia"/>
          <w:sz w:val="24"/>
          <w:szCs w:val="18"/>
        </w:rPr>
        <w:t>②承接主体应当根据相关法律法规、项目采购文件以及政府购买服务合同及其附件的规定按质按量提供服务；</w:t>
      </w:r>
    </w:p>
    <w:p>
      <w:pPr>
        <w:pStyle w:val="23"/>
        <w:spacing w:line="360" w:lineRule="auto"/>
        <w:rPr>
          <w:rFonts w:hint="eastAsia"/>
          <w:sz w:val="24"/>
          <w:szCs w:val="18"/>
        </w:rPr>
      </w:pPr>
      <w:r>
        <w:rPr>
          <w:rFonts w:hint="eastAsia"/>
          <w:sz w:val="24"/>
          <w:szCs w:val="18"/>
        </w:rPr>
        <w:t>③因购买主体违约造成的损失，有权要求购买主体支付违约金并赔偿损失</w:t>
      </w:r>
      <w:r>
        <w:rPr>
          <w:rFonts w:hint="eastAsia"/>
          <w:sz w:val="24"/>
          <w:szCs w:val="18"/>
          <w:lang w:eastAsia="zh-CN"/>
        </w:rPr>
        <w:t>（因客观原因可另行协商）</w:t>
      </w:r>
      <w:r>
        <w:rPr>
          <w:rFonts w:hint="eastAsia"/>
          <w:sz w:val="24"/>
          <w:szCs w:val="18"/>
        </w:rPr>
        <w:t>。</w:t>
      </w:r>
    </w:p>
    <w:p>
      <w:pPr>
        <w:pStyle w:val="23"/>
        <w:spacing w:line="360" w:lineRule="auto"/>
        <w:ind w:firstLine="480" w:firstLineChars="200"/>
        <w:rPr>
          <w:rFonts w:hint="eastAsia"/>
          <w:sz w:val="24"/>
          <w:szCs w:val="18"/>
        </w:rPr>
      </w:pPr>
      <w:bookmarkStart w:id="87" w:name="_Toc18673_WPSOffice_Level2"/>
      <w:bookmarkStart w:id="88" w:name="_Toc16109_WPSOffice_Level2"/>
      <w:r>
        <w:rPr>
          <w:rFonts w:hint="eastAsia"/>
          <w:sz w:val="24"/>
          <w:szCs w:val="18"/>
          <w:lang w:eastAsia="zh-CN"/>
        </w:rPr>
        <w:t>（</w:t>
      </w:r>
      <w:r>
        <w:rPr>
          <w:rFonts w:hint="eastAsia"/>
          <w:sz w:val="24"/>
          <w:szCs w:val="18"/>
          <w:lang w:val="en-US" w:eastAsia="zh-CN"/>
        </w:rPr>
        <w:t>4</w:t>
      </w:r>
      <w:r>
        <w:rPr>
          <w:rFonts w:hint="eastAsia"/>
          <w:sz w:val="24"/>
          <w:szCs w:val="18"/>
          <w:lang w:eastAsia="zh-CN"/>
        </w:rPr>
        <w:t>）</w:t>
      </w:r>
      <w:r>
        <w:rPr>
          <w:rFonts w:hint="eastAsia"/>
          <w:sz w:val="24"/>
          <w:szCs w:val="18"/>
        </w:rPr>
        <w:t>保密条款</w:t>
      </w:r>
      <w:bookmarkEnd w:id="87"/>
      <w:bookmarkEnd w:id="88"/>
    </w:p>
    <w:p>
      <w:pPr>
        <w:pStyle w:val="23"/>
        <w:spacing w:line="360" w:lineRule="auto"/>
        <w:rPr>
          <w:rFonts w:hint="eastAsia"/>
          <w:sz w:val="24"/>
          <w:szCs w:val="18"/>
        </w:rPr>
      </w:pPr>
      <w:r>
        <w:rPr>
          <w:rFonts w:hint="eastAsia"/>
          <w:sz w:val="24"/>
          <w:szCs w:val="18"/>
        </w:rPr>
        <w:t xml:space="preserve">    承接主体对购买主体提供的资料负有保密义务，未经购买主体的同意，不得向项目无关单位和个人提供有关资料。购买主体有义务保护承接主体的知识产权，未经承接主体同意，购买主体不得将其成果文件及资料向第三方转让或用于本合同以外的项目。</w:t>
      </w:r>
    </w:p>
    <w:p>
      <w:pPr>
        <w:pStyle w:val="23"/>
        <w:spacing w:line="360" w:lineRule="auto"/>
        <w:ind w:firstLine="480" w:firstLineChars="200"/>
        <w:rPr>
          <w:rFonts w:hint="eastAsia"/>
          <w:sz w:val="24"/>
          <w:szCs w:val="18"/>
        </w:rPr>
      </w:pPr>
      <w:bookmarkStart w:id="89" w:name="_Toc26070_WPSOffice_Level2"/>
      <w:bookmarkStart w:id="90" w:name="_Toc30919_WPSOffice_Level2"/>
      <w:r>
        <w:rPr>
          <w:rFonts w:hint="eastAsia"/>
          <w:sz w:val="24"/>
          <w:szCs w:val="18"/>
          <w:lang w:eastAsia="zh-CN"/>
        </w:rPr>
        <w:t>（</w:t>
      </w:r>
      <w:r>
        <w:rPr>
          <w:rFonts w:hint="eastAsia"/>
          <w:sz w:val="24"/>
          <w:szCs w:val="18"/>
          <w:lang w:val="en-US" w:eastAsia="zh-CN"/>
        </w:rPr>
        <w:t>5</w:t>
      </w:r>
      <w:r>
        <w:rPr>
          <w:rFonts w:hint="eastAsia"/>
          <w:sz w:val="24"/>
          <w:szCs w:val="18"/>
          <w:lang w:eastAsia="zh-CN"/>
        </w:rPr>
        <w:t>）</w:t>
      </w:r>
      <w:r>
        <w:rPr>
          <w:rFonts w:hint="eastAsia"/>
          <w:sz w:val="24"/>
          <w:szCs w:val="18"/>
        </w:rPr>
        <w:t>不可抗力</w:t>
      </w:r>
      <w:bookmarkEnd w:id="89"/>
      <w:bookmarkEnd w:id="90"/>
    </w:p>
    <w:p>
      <w:pPr>
        <w:pStyle w:val="23"/>
        <w:spacing w:line="360" w:lineRule="auto"/>
        <w:rPr>
          <w:rFonts w:hint="eastAsia"/>
          <w:sz w:val="24"/>
          <w:szCs w:val="18"/>
        </w:rPr>
      </w:pPr>
      <w:r>
        <w:rPr>
          <w:rFonts w:hint="eastAsia"/>
          <w:sz w:val="24"/>
          <w:szCs w:val="18"/>
        </w:rPr>
        <w:t>任何一方由于不可抗力原因不能履行合同时，应在不可抗力事件结束后1日内向对方通报，以减轻可能给对方造成的损失，在取得有关机构的不可抗力证明或双方谅解确</w:t>
      </w:r>
      <w:r>
        <w:rPr>
          <w:rFonts w:hint="eastAsia"/>
          <w:sz w:val="24"/>
          <w:szCs w:val="18"/>
          <w:lang w:val="en-US" w:eastAsia="zh-CN"/>
        </w:rPr>
        <w:t>认</w:t>
      </w:r>
      <w:r>
        <w:rPr>
          <w:rFonts w:hint="eastAsia"/>
          <w:sz w:val="24"/>
          <w:szCs w:val="18"/>
        </w:rPr>
        <w:t>后，允许延期履行或修订合同，并根据情况可部分或全部免于承担违约责任。</w:t>
      </w:r>
    </w:p>
    <w:p>
      <w:pPr>
        <w:pStyle w:val="23"/>
        <w:spacing w:line="360" w:lineRule="auto"/>
        <w:ind w:firstLine="480" w:firstLineChars="200"/>
        <w:rPr>
          <w:rFonts w:hint="eastAsia"/>
          <w:sz w:val="24"/>
          <w:szCs w:val="18"/>
        </w:rPr>
      </w:pPr>
      <w:bookmarkStart w:id="91" w:name="_Toc22613_WPSOffice_Level2"/>
      <w:bookmarkStart w:id="92" w:name="_Toc24044_WPSOffice_Level2"/>
      <w:r>
        <w:rPr>
          <w:rFonts w:hint="eastAsia"/>
          <w:sz w:val="24"/>
          <w:szCs w:val="18"/>
          <w:lang w:eastAsia="zh-CN"/>
        </w:rPr>
        <w:t>（</w:t>
      </w:r>
      <w:r>
        <w:rPr>
          <w:rFonts w:hint="eastAsia"/>
          <w:sz w:val="24"/>
          <w:szCs w:val="18"/>
          <w:lang w:val="en-US" w:eastAsia="zh-CN"/>
        </w:rPr>
        <w:t>6</w:t>
      </w:r>
      <w:r>
        <w:rPr>
          <w:rFonts w:hint="eastAsia"/>
          <w:sz w:val="24"/>
          <w:szCs w:val="18"/>
          <w:lang w:eastAsia="zh-CN"/>
        </w:rPr>
        <w:t>）</w:t>
      </w:r>
      <w:r>
        <w:rPr>
          <w:rFonts w:hint="eastAsia"/>
          <w:sz w:val="24"/>
          <w:szCs w:val="18"/>
        </w:rPr>
        <w:t>合同的终止</w:t>
      </w:r>
      <w:bookmarkEnd w:id="91"/>
      <w:bookmarkEnd w:id="92"/>
    </w:p>
    <w:p>
      <w:pPr>
        <w:pStyle w:val="23"/>
        <w:spacing w:line="360" w:lineRule="auto"/>
        <w:rPr>
          <w:rFonts w:hint="eastAsia"/>
          <w:sz w:val="24"/>
          <w:szCs w:val="18"/>
        </w:rPr>
      </w:pPr>
      <w:r>
        <w:rPr>
          <w:rFonts w:hint="eastAsia"/>
          <w:sz w:val="24"/>
          <w:szCs w:val="18"/>
        </w:rPr>
        <w:t xml:space="preserve">    本项目政府购买服务合同终止的情形包括：合同期满，双方未续签的；承接主体不能按照合同约定提供服务，致使合同无法继续履行的；合同双方协商提前终止合同。</w:t>
      </w:r>
    </w:p>
    <w:p>
      <w:pPr>
        <w:pStyle w:val="23"/>
        <w:spacing w:line="360" w:lineRule="auto"/>
        <w:ind w:firstLine="480" w:firstLineChars="200"/>
        <w:rPr>
          <w:rFonts w:hint="eastAsia"/>
          <w:sz w:val="24"/>
          <w:szCs w:val="18"/>
        </w:rPr>
      </w:pPr>
      <w:bookmarkStart w:id="93" w:name="_Toc7399_WPSOffice_Level2"/>
      <w:bookmarkStart w:id="94" w:name="_Toc14442_WPSOffice_Level2"/>
      <w:r>
        <w:rPr>
          <w:rFonts w:hint="eastAsia"/>
          <w:sz w:val="24"/>
          <w:szCs w:val="18"/>
          <w:lang w:eastAsia="zh-CN"/>
        </w:rPr>
        <w:t>（</w:t>
      </w:r>
      <w:r>
        <w:rPr>
          <w:rFonts w:hint="eastAsia"/>
          <w:sz w:val="24"/>
          <w:szCs w:val="18"/>
          <w:lang w:val="en-US" w:eastAsia="zh-CN"/>
        </w:rPr>
        <w:t>7</w:t>
      </w:r>
      <w:r>
        <w:rPr>
          <w:rFonts w:hint="eastAsia"/>
          <w:sz w:val="24"/>
          <w:szCs w:val="18"/>
          <w:lang w:eastAsia="zh-CN"/>
        </w:rPr>
        <w:t>）</w:t>
      </w:r>
      <w:r>
        <w:rPr>
          <w:rFonts w:hint="eastAsia"/>
          <w:sz w:val="24"/>
          <w:szCs w:val="18"/>
        </w:rPr>
        <w:t>争议的解决</w:t>
      </w:r>
      <w:bookmarkEnd w:id="93"/>
      <w:bookmarkEnd w:id="94"/>
    </w:p>
    <w:p>
      <w:pPr>
        <w:pStyle w:val="23"/>
        <w:spacing w:line="360" w:lineRule="auto"/>
        <w:rPr>
          <w:rFonts w:hint="eastAsia"/>
          <w:sz w:val="24"/>
          <w:szCs w:val="18"/>
        </w:rPr>
      </w:pPr>
      <w:r>
        <w:rPr>
          <w:rFonts w:hint="eastAsia"/>
          <w:sz w:val="24"/>
          <w:szCs w:val="18"/>
        </w:rPr>
        <w:t xml:space="preserve">    本合同履行过程中发生的任何争议，如双方不能通过友好协商解决，任何一方可向合同签订地人民法院提起诉讼。</w:t>
      </w:r>
    </w:p>
    <w:p>
      <w:pPr>
        <w:pStyle w:val="23"/>
        <w:spacing w:line="360" w:lineRule="auto"/>
        <w:jc w:val="center"/>
        <w:rPr>
          <w:rFonts w:hint="eastAsia"/>
          <w:sz w:val="24"/>
          <w:szCs w:val="18"/>
        </w:rPr>
      </w:pPr>
      <w:bookmarkStart w:id="95" w:name="_Toc25481_WPSOffice_Level2"/>
      <w:bookmarkStart w:id="96" w:name="_Toc6611_WPSOffice_Level2"/>
      <w:r>
        <w:rPr>
          <w:rFonts w:hint="eastAsia"/>
          <w:sz w:val="24"/>
          <w:szCs w:val="18"/>
          <w:lang w:eastAsia="zh-CN"/>
        </w:rPr>
        <w:t>九、</w:t>
      </w:r>
      <w:r>
        <w:rPr>
          <w:rFonts w:hint="eastAsia"/>
          <w:sz w:val="24"/>
          <w:szCs w:val="18"/>
        </w:rPr>
        <w:t>资金支付</w:t>
      </w:r>
      <w:bookmarkEnd w:id="95"/>
      <w:bookmarkEnd w:id="96"/>
    </w:p>
    <w:p>
      <w:pPr>
        <w:pStyle w:val="23"/>
        <w:spacing w:line="360" w:lineRule="auto"/>
        <w:ind w:firstLine="480" w:firstLineChars="200"/>
        <w:rPr>
          <w:rFonts w:hint="eastAsia"/>
          <w:sz w:val="24"/>
          <w:szCs w:val="18"/>
        </w:rPr>
      </w:pPr>
      <w:r>
        <w:rPr>
          <w:rFonts w:hint="eastAsia"/>
          <w:sz w:val="24"/>
          <w:szCs w:val="18"/>
        </w:rPr>
        <w:t>1.付款方式</w:t>
      </w:r>
    </w:p>
    <w:p>
      <w:pPr>
        <w:pStyle w:val="23"/>
        <w:spacing w:line="360" w:lineRule="auto"/>
        <w:ind w:firstLine="480" w:firstLineChars="200"/>
        <w:rPr>
          <w:rFonts w:hint="eastAsia"/>
          <w:sz w:val="24"/>
          <w:szCs w:val="18"/>
        </w:rPr>
      </w:pPr>
      <w:r>
        <w:rPr>
          <w:rFonts w:hint="eastAsia"/>
          <w:sz w:val="24"/>
          <w:szCs w:val="18"/>
        </w:rPr>
        <w:t>本政府购买服务项目的付款方式为国库直接支付。</w:t>
      </w:r>
    </w:p>
    <w:p>
      <w:pPr>
        <w:pStyle w:val="23"/>
        <w:spacing w:line="360" w:lineRule="auto"/>
        <w:ind w:firstLine="480" w:firstLineChars="200"/>
        <w:rPr>
          <w:rFonts w:hint="eastAsia"/>
          <w:sz w:val="24"/>
          <w:szCs w:val="18"/>
        </w:rPr>
      </w:pPr>
      <w:r>
        <w:rPr>
          <w:rFonts w:hint="eastAsia"/>
          <w:sz w:val="24"/>
          <w:szCs w:val="18"/>
        </w:rPr>
        <w:t>2.付款时间</w:t>
      </w:r>
    </w:p>
    <w:p>
      <w:pPr>
        <w:pStyle w:val="23"/>
        <w:spacing w:line="360" w:lineRule="auto"/>
        <w:ind w:firstLine="480" w:firstLineChars="200"/>
        <w:rPr>
          <w:rFonts w:hint="eastAsia"/>
          <w:sz w:val="24"/>
          <w:szCs w:val="18"/>
        </w:rPr>
      </w:pPr>
      <w:r>
        <w:rPr>
          <w:rFonts w:hint="eastAsia"/>
          <w:sz w:val="24"/>
          <w:szCs w:val="18"/>
        </w:rPr>
        <w:t>本项目服务费支付分为两部分，</w:t>
      </w:r>
      <w:r>
        <w:rPr>
          <w:rFonts w:hint="eastAsia"/>
          <w:sz w:val="24"/>
          <w:szCs w:val="18"/>
          <w:lang w:eastAsia="zh-CN"/>
        </w:rPr>
        <w:t>上图入库及分析评估为</w:t>
      </w:r>
      <w:r>
        <w:rPr>
          <w:rFonts w:hint="eastAsia"/>
          <w:sz w:val="24"/>
          <w:szCs w:val="18"/>
          <w:lang w:val="en-US" w:eastAsia="zh-CN"/>
        </w:rPr>
        <w:t>49.5万元，三年规划为10.5万元。</w:t>
      </w:r>
      <w:r>
        <w:rPr>
          <w:rFonts w:hint="eastAsia"/>
          <w:sz w:val="24"/>
          <w:szCs w:val="18"/>
        </w:rPr>
        <w:t>具体安排如下：</w:t>
      </w:r>
    </w:p>
    <w:p>
      <w:pPr>
        <w:pStyle w:val="23"/>
        <w:spacing w:line="360" w:lineRule="auto"/>
        <w:ind w:firstLine="480" w:firstLineChars="200"/>
        <w:rPr>
          <w:rFonts w:hint="eastAsia"/>
          <w:sz w:val="24"/>
          <w:szCs w:val="18"/>
        </w:rPr>
      </w:pPr>
      <w:r>
        <w:rPr>
          <w:rFonts w:hint="eastAsia"/>
          <w:sz w:val="24"/>
          <w:szCs w:val="18"/>
        </w:rPr>
        <w:t>（1）</w:t>
      </w:r>
      <w:r>
        <w:rPr>
          <w:rFonts w:hint="eastAsia"/>
          <w:sz w:val="24"/>
          <w:szCs w:val="18"/>
          <w:lang w:eastAsia="zh-CN"/>
        </w:rPr>
        <w:t>上图入库及分析评估</w:t>
      </w:r>
      <w:r>
        <w:rPr>
          <w:rFonts w:hint="eastAsia"/>
          <w:sz w:val="24"/>
          <w:szCs w:val="18"/>
        </w:rPr>
        <w:t>：购买主体根据</w:t>
      </w:r>
      <w:r>
        <w:rPr>
          <w:rFonts w:hint="eastAsia"/>
          <w:sz w:val="24"/>
          <w:szCs w:val="18"/>
          <w:lang w:eastAsia="zh-CN"/>
        </w:rPr>
        <w:t>进度和财政拨付情况</w:t>
      </w:r>
      <w:r>
        <w:rPr>
          <w:rFonts w:hint="eastAsia"/>
          <w:sz w:val="24"/>
          <w:szCs w:val="18"/>
        </w:rPr>
        <w:t>，向承接主体支付服务费，</w:t>
      </w:r>
      <w:r>
        <w:rPr>
          <w:rFonts w:hint="eastAsia"/>
          <w:sz w:val="24"/>
          <w:szCs w:val="18"/>
          <w:lang w:eastAsia="zh-CN"/>
        </w:rPr>
        <w:t>服务通过市级主管部门审核通过后申请财政拨款进行支付</w:t>
      </w:r>
      <w:r>
        <w:rPr>
          <w:rFonts w:hint="eastAsia"/>
          <w:sz w:val="24"/>
          <w:szCs w:val="18"/>
        </w:rPr>
        <w:t>。</w:t>
      </w:r>
    </w:p>
    <w:p>
      <w:pPr>
        <w:pStyle w:val="23"/>
        <w:spacing w:line="360" w:lineRule="auto"/>
        <w:ind w:firstLine="480" w:firstLineChars="200"/>
        <w:rPr>
          <w:rFonts w:hint="eastAsia"/>
          <w:sz w:val="24"/>
          <w:szCs w:val="18"/>
        </w:rPr>
      </w:pPr>
      <w:r>
        <w:rPr>
          <w:rFonts w:hint="eastAsia"/>
          <w:sz w:val="24"/>
          <w:szCs w:val="18"/>
        </w:rPr>
        <w:t>（2）</w:t>
      </w:r>
      <w:r>
        <w:rPr>
          <w:rFonts w:hint="eastAsia"/>
          <w:sz w:val="24"/>
          <w:szCs w:val="18"/>
          <w:lang w:eastAsia="zh-CN"/>
        </w:rPr>
        <w:t>三年规划</w:t>
      </w:r>
      <w:r>
        <w:rPr>
          <w:rFonts w:hint="eastAsia"/>
          <w:sz w:val="24"/>
          <w:szCs w:val="18"/>
        </w:rPr>
        <w:t>：购买主体</w:t>
      </w:r>
      <w:r>
        <w:rPr>
          <w:rFonts w:hint="eastAsia"/>
          <w:sz w:val="24"/>
          <w:szCs w:val="18"/>
          <w:lang w:eastAsia="zh-CN"/>
        </w:rPr>
        <w:t>通过专家评审并提交政府审核后</w:t>
      </w:r>
      <w:r>
        <w:rPr>
          <w:rFonts w:hint="eastAsia"/>
          <w:sz w:val="24"/>
          <w:szCs w:val="18"/>
        </w:rPr>
        <w:t>，</w:t>
      </w:r>
      <w:r>
        <w:rPr>
          <w:rFonts w:hint="eastAsia"/>
          <w:sz w:val="24"/>
          <w:szCs w:val="18"/>
          <w:lang w:eastAsia="zh-CN"/>
        </w:rPr>
        <w:t>按照财政拨款情况</w:t>
      </w:r>
      <w:r>
        <w:rPr>
          <w:rFonts w:hint="eastAsia"/>
          <w:sz w:val="24"/>
          <w:szCs w:val="18"/>
        </w:rPr>
        <w:t>向承接主体支付服务费。</w:t>
      </w:r>
    </w:p>
    <w:p>
      <w:pPr>
        <w:pStyle w:val="23"/>
        <w:spacing w:line="360" w:lineRule="auto"/>
        <w:jc w:val="center"/>
        <w:rPr>
          <w:rFonts w:hint="eastAsia"/>
          <w:sz w:val="24"/>
          <w:szCs w:val="18"/>
          <w:lang w:eastAsia="zh-CN"/>
        </w:rPr>
      </w:pPr>
      <w:r>
        <w:rPr>
          <w:rFonts w:hint="eastAsia"/>
          <w:sz w:val="24"/>
          <w:szCs w:val="18"/>
          <w:lang w:eastAsia="zh-CN"/>
        </w:rPr>
        <w:t>十、监督检查</w:t>
      </w:r>
    </w:p>
    <w:p>
      <w:pPr>
        <w:pStyle w:val="23"/>
        <w:spacing w:line="360" w:lineRule="auto"/>
        <w:ind w:firstLine="480" w:firstLineChars="200"/>
        <w:rPr>
          <w:rFonts w:hint="eastAsia"/>
          <w:sz w:val="24"/>
          <w:szCs w:val="18"/>
        </w:rPr>
      </w:pPr>
      <w:r>
        <w:rPr>
          <w:rFonts w:hint="eastAsia"/>
          <w:sz w:val="24"/>
          <w:szCs w:val="18"/>
        </w:rPr>
        <w:t>《内蒙古自治区政府向社会力量购买服务管理办法》（内政办发〔2015〕154号）指出，“政府购买服务工作应建立政府统一领导，财政部门牵头，机构编制、民政、工商、审计及行业主管部门协同，职能部门履职，监督部门保障的工作分工机制，规范有序地开展工作。”政府购买服务项目既涉及公众服务，也涉及财政支付，既要维护人民群众的利益，也要保障国有资金的合理使用，因此，应当建立健全政府购买服务项目监督检查机制，对项目进行全过程的跟踪、监管，保证项目的有序实施。</w:t>
      </w:r>
    </w:p>
    <w:p>
      <w:pPr>
        <w:pStyle w:val="23"/>
        <w:spacing w:line="360" w:lineRule="auto"/>
        <w:rPr>
          <w:rFonts w:hint="eastAsia"/>
          <w:sz w:val="24"/>
          <w:szCs w:val="18"/>
        </w:rPr>
      </w:pPr>
      <w:r>
        <w:rPr>
          <w:rFonts w:hint="eastAsia"/>
          <w:sz w:val="24"/>
          <w:szCs w:val="18"/>
        </w:rPr>
        <w:t>本项目的监管方式主要包括：履约监管</w:t>
      </w:r>
      <w:r>
        <w:rPr>
          <w:rFonts w:hint="eastAsia"/>
          <w:sz w:val="24"/>
          <w:szCs w:val="18"/>
          <w:lang w:eastAsia="zh-CN"/>
        </w:rPr>
        <w:t>、</w:t>
      </w:r>
      <w:r>
        <w:rPr>
          <w:rFonts w:hint="eastAsia"/>
          <w:sz w:val="24"/>
          <w:szCs w:val="18"/>
        </w:rPr>
        <w:t>行政监管。每种方式对应不同的监管主体和监管内容，下文将进行具体说明。</w:t>
      </w:r>
    </w:p>
    <w:p>
      <w:pPr>
        <w:pStyle w:val="23"/>
        <w:spacing w:line="360" w:lineRule="auto"/>
        <w:ind w:firstLine="480" w:firstLineChars="200"/>
        <w:rPr>
          <w:rFonts w:hint="eastAsia"/>
          <w:sz w:val="24"/>
          <w:szCs w:val="18"/>
        </w:rPr>
      </w:pPr>
      <w:bookmarkStart w:id="97" w:name="_Toc513015463"/>
      <w:bookmarkStart w:id="98" w:name="_Toc30097_WPSOffice_Level2"/>
      <w:bookmarkStart w:id="99" w:name="_Toc29066"/>
      <w:bookmarkStart w:id="100" w:name="_Toc6982_WPSOffice_Level2"/>
      <w:r>
        <w:rPr>
          <w:rFonts w:hint="eastAsia"/>
          <w:sz w:val="24"/>
          <w:szCs w:val="18"/>
          <w:lang w:val="en-US" w:eastAsia="zh-CN"/>
        </w:rPr>
        <w:t>1.</w:t>
      </w:r>
      <w:r>
        <w:rPr>
          <w:rFonts w:hint="eastAsia"/>
          <w:sz w:val="24"/>
          <w:szCs w:val="18"/>
        </w:rPr>
        <w:t>履约监管</w:t>
      </w:r>
      <w:bookmarkEnd w:id="97"/>
      <w:bookmarkEnd w:id="98"/>
      <w:bookmarkEnd w:id="99"/>
      <w:bookmarkEnd w:id="100"/>
    </w:p>
    <w:p>
      <w:pPr>
        <w:pStyle w:val="23"/>
        <w:spacing w:line="360" w:lineRule="auto"/>
        <w:rPr>
          <w:rFonts w:hint="eastAsia"/>
          <w:sz w:val="24"/>
          <w:szCs w:val="18"/>
          <w:lang w:eastAsia="zh-CN"/>
        </w:rPr>
      </w:pPr>
      <w:r>
        <w:rPr>
          <w:rFonts w:hint="eastAsia"/>
          <w:sz w:val="24"/>
          <w:szCs w:val="18"/>
        </w:rPr>
        <w:t xml:space="preserve">    履约监管也称项目监管，是指对承接主体提供服务的内容、质量、效率等进行的监管。本项目的承接主体应当根据项目实施方案、采购文件、政府购买服务合同以及国家、地方相关政策法规、质量标准的要求，向鄂托克前旗</w:t>
      </w:r>
      <w:r>
        <w:rPr>
          <w:rFonts w:hint="eastAsia"/>
          <w:sz w:val="24"/>
          <w:szCs w:val="18"/>
          <w:lang w:eastAsia="zh-CN"/>
        </w:rPr>
        <w:t>农牧业综合开发中心提供</w:t>
      </w:r>
      <w:r>
        <w:rPr>
          <w:rFonts w:hint="eastAsia"/>
          <w:sz w:val="24"/>
          <w:szCs w:val="18"/>
        </w:rPr>
        <w:t>服务。履约监管方式主要通过政府购买服务合同中的违约条款、绩效条款、终止条款等相关内容对项目产生监督作用</w:t>
      </w:r>
      <w:r>
        <w:rPr>
          <w:rFonts w:hint="eastAsia"/>
          <w:sz w:val="24"/>
          <w:szCs w:val="18"/>
          <w:lang w:eastAsia="zh-CN"/>
        </w:rPr>
        <w:t>。</w:t>
      </w:r>
    </w:p>
    <w:p>
      <w:pPr>
        <w:pStyle w:val="23"/>
        <w:spacing w:line="360" w:lineRule="auto"/>
        <w:ind w:firstLine="480" w:firstLineChars="200"/>
        <w:rPr>
          <w:rFonts w:hint="eastAsia"/>
          <w:sz w:val="24"/>
          <w:szCs w:val="18"/>
        </w:rPr>
      </w:pPr>
      <w:r>
        <w:rPr>
          <w:rFonts w:hint="eastAsia"/>
          <w:sz w:val="24"/>
          <w:szCs w:val="18"/>
          <w:lang w:val="en-US" w:eastAsia="zh-CN"/>
        </w:rPr>
        <w:t>2.</w:t>
      </w:r>
      <w:r>
        <w:rPr>
          <w:rFonts w:hint="eastAsia"/>
          <w:sz w:val="24"/>
          <w:szCs w:val="18"/>
        </w:rPr>
        <w:t>监管主体</w:t>
      </w:r>
    </w:p>
    <w:p>
      <w:pPr>
        <w:pStyle w:val="23"/>
        <w:spacing w:line="360" w:lineRule="auto"/>
        <w:ind w:firstLine="480" w:firstLineChars="200"/>
        <w:rPr>
          <w:rFonts w:hint="eastAsia"/>
          <w:sz w:val="24"/>
          <w:szCs w:val="18"/>
        </w:rPr>
      </w:pPr>
      <w:r>
        <w:rPr>
          <w:rFonts w:hint="eastAsia"/>
          <w:sz w:val="24"/>
          <w:szCs w:val="18"/>
        </w:rPr>
        <w:t>本项目履约监管的主体为</w:t>
      </w:r>
      <w:r>
        <w:rPr>
          <w:rFonts w:hint="eastAsia"/>
          <w:sz w:val="24"/>
          <w:szCs w:val="18"/>
          <w:lang w:eastAsia="zh-CN"/>
        </w:rPr>
        <w:t>鄂托克前旗农牧业综合开发中心</w:t>
      </w:r>
      <w:r>
        <w:rPr>
          <w:rFonts w:hint="eastAsia"/>
          <w:sz w:val="24"/>
          <w:szCs w:val="18"/>
        </w:rPr>
        <w:t>，其他监督机构为鄂托克前旗财政局以及鄂托克前旗</w:t>
      </w:r>
      <w:r>
        <w:rPr>
          <w:rFonts w:hint="eastAsia"/>
          <w:sz w:val="24"/>
          <w:szCs w:val="18"/>
          <w:lang w:eastAsia="zh-CN"/>
        </w:rPr>
        <w:t>审计局</w:t>
      </w:r>
      <w:r>
        <w:rPr>
          <w:rFonts w:hint="eastAsia"/>
          <w:sz w:val="24"/>
          <w:szCs w:val="18"/>
        </w:rPr>
        <w:t>。鄂托克前旗</w:t>
      </w:r>
      <w:r>
        <w:rPr>
          <w:rFonts w:hint="eastAsia"/>
          <w:sz w:val="24"/>
          <w:szCs w:val="18"/>
          <w:lang w:eastAsia="zh-CN"/>
        </w:rPr>
        <w:t>农牧业综合开发中心</w:t>
      </w:r>
      <w:r>
        <w:rPr>
          <w:rFonts w:hint="eastAsia"/>
          <w:sz w:val="24"/>
          <w:szCs w:val="18"/>
        </w:rPr>
        <w:t>作为服务相关工作的负责单位。同时作为本项目的购买主体，其所承担的主要角色即为“监督者”，应当对承接主体提供服务的质量、效率进行监督管理，保证</w:t>
      </w:r>
      <w:r>
        <w:rPr>
          <w:rFonts w:hint="eastAsia"/>
          <w:sz w:val="24"/>
          <w:szCs w:val="18"/>
          <w:lang w:eastAsia="zh-CN"/>
        </w:rPr>
        <w:t>各项</w:t>
      </w:r>
      <w:r>
        <w:rPr>
          <w:rFonts w:hint="eastAsia"/>
          <w:sz w:val="24"/>
          <w:szCs w:val="18"/>
        </w:rPr>
        <w:t>工作的顺利进行</w:t>
      </w:r>
      <w:r>
        <w:rPr>
          <w:rFonts w:hint="eastAsia"/>
          <w:sz w:val="24"/>
          <w:szCs w:val="18"/>
          <w:lang w:eastAsia="zh-CN"/>
        </w:rPr>
        <w:t>按时高质量完成</w:t>
      </w:r>
      <w:r>
        <w:rPr>
          <w:rFonts w:hint="eastAsia"/>
          <w:sz w:val="24"/>
          <w:szCs w:val="18"/>
        </w:rPr>
        <w:t>。</w:t>
      </w:r>
    </w:p>
    <w:p>
      <w:pPr>
        <w:pStyle w:val="23"/>
        <w:spacing w:line="360" w:lineRule="auto"/>
        <w:ind w:firstLine="480" w:firstLineChars="200"/>
        <w:rPr>
          <w:rFonts w:hint="eastAsia"/>
          <w:sz w:val="24"/>
          <w:szCs w:val="18"/>
        </w:rPr>
      </w:pPr>
      <w:r>
        <w:rPr>
          <w:rFonts w:hint="eastAsia"/>
          <w:sz w:val="24"/>
          <w:szCs w:val="18"/>
          <w:lang w:val="en-US" w:eastAsia="zh-CN"/>
        </w:rPr>
        <w:t>3.</w:t>
      </w:r>
      <w:r>
        <w:rPr>
          <w:rFonts w:hint="eastAsia"/>
          <w:sz w:val="24"/>
          <w:szCs w:val="18"/>
        </w:rPr>
        <w:t>监管内容</w:t>
      </w:r>
    </w:p>
    <w:p>
      <w:pPr>
        <w:pStyle w:val="23"/>
        <w:spacing w:line="360" w:lineRule="auto"/>
        <w:ind w:firstLine="480" w:firstLineChars="200"/>
        <w:rPr>
          <w:rFonts w:hint="eastAsia"/>
          <w:sz w:val="24"/>
          <w:szCs w:val="18"/>
        </w:rPr>
      </w:pPr>
      <w:r>
        <w:rPr>
          <w:rFonts w:hint="eastAsia"/>
          <w:sz w:val="24"/>
          <w:szCs w:val="18"/>
        </w:rPr>
        <w:t>履约监管的内容为承接主体是否按照</w:t>
      </w:r>
      <w:r>
        <w:rPr>
          <w:rFonts w:hint="eastAsia"/>
          <w:sz w:val="24"/>
          <w:szCs w:val="18"/>
          <w:lang w:eastAsia="zh-CN"/>
        </w:rPr>
        <w:t>各级文件要求和</w:t>
      </w:r>
      <w:r>
        <w:rPr>
          <w:rFonts w:hint="eastAsia"/>
          <w:sz w:val="24"/>
          <w:szCs w:val="18"/>
        </w:rPr>
        <w:t>实施方案、政府购买服务合同、国家和地区相关标准提供服务。具体包括下列几方面：</w:t>
      </w:r>
    </w:p>
    <w:p>
      <w:pPr>
        <w:pStyle w:val="23"/>
        <w:spacing w:line="360" w:lineRule="auto"/>
        <w:ind w:firstLine="480" w:firstLineChars="200"/>
        <w:rPr>
          <w:rFonts w:hint="eastAsia"/>
          <w:sz w:val="24"/>
          <w:szCs w:val="18"/>
        </w:rPr>
      </w:pPr>
      <w:r>
        <w:rPr>
          <w:rFonts w:hint="eastAsia"/>
          <w:sz w:val="24"/>
          <w:szCs w:val="18"/>
          <w:lang w:eastAsia="zh-CN"/>
        </w:rPr>
        <w:t>（</w:t>
      </w:r>
      <w:r>
        <w:rPr>
          <w:rFonts w:hint="eastAsia"/>
          <w:sz w:val="24"/>
          <w:szCs w:val="18"/>
          <w:lang w:val="en-US" w:eastAsia="zh-CN"/>
        </w:rPr>
        <w:t>1</w:t>
      </w:r>
      <w:r>
        <w:rPr>
          <w:rFonts w:hint="eastAsia"/>
          <w:sz w:val="24"/>
          <w:szCs w:val="18"/>
          <w:lang w:eastAsia="zh-CN"/>
        </w:rPr>
        <w:t>）</w:t>
      </w:r>
      <w:r>
        <w:rPr>
          <w:rFonts w:hint="eastAsia"/>
          <w:sz w:val="24"/>
          <w:szCs w:val="18"/>
        </w:rPr>
        <w:t>服务提供内容</w:t>
      </w:r>
    </w:p>
    <w:p>
      <w:pPr>
        <w:pStyle w:val="23"/>
        <w:spacing w:line="360" w:lineRule="auto"/>
        <w:rPr>
          <w:rFonts w:hint="eastAsia"/>
          <w:sz w:val="24"/>
          <w:szCs w:val="18"/>
        </w:rPr>
      </w:pPr>
      <w:r>
        <w:rPr>
          <w:rFonts w:hint="eastAsia"/>
          <w:sz w:val="24"/>
          <w:szCs w:val="18"/>
        </w:rPr>
        <w:t xml:space="preserve">    主要考察承接主体是否按照第</w:t>
      </w:r>
      <w:r>
        <w:rPr>
          <w:rFonts w:hint="eastAsia"/>
          <w:sz w:val="24"/>
          <w:szCs w:val="18"/>
          <w:lang w:eastAsia="zh-CN"/>
        </w:rPr>
        <w:t>二</w:t>
      </w:r>
      <w:r>
        <w:rPr>
          <w:rFonts w:hint="eastAsia"/>
          <w:sz w:val="24"/>
          <w:szCs w:val="18"/>
        </w:rPr>
        <w:t>章所述的购买内容提供全面服务。承接主体提供服务存在缺少、遗漏的，将根据合同约定，相应减少服务费或向购买主体支付违约金。</w:t>
      </w:r>
    </w:p>
    <w:p>
      <w:pPr>
        <w:pStyle w:val="23"/>
        <w:spacing w:line="360" w:lineRule="auto"/>
        <w:ind w:firstLine="480" w:firstLineChars="200"/>
        <w:rPr>
          <w:rFonts w:hint="eastAsia"/>
          <w:sz w:val="24"/>
          <w:szCs w:val="18"/>
        </w:rPr>
      </w:pPr>
      <w:r>
        <w:rPr>
          <w:rFonts w:hint="eastAsia"/>
          <w:sz w:val="24"/>
          <w:szCs w:val="18"/>
          <w:lang w:eastAsia="zh-CN"/>
        </w:rPr>
        <w:t>（</w:t>
      </w:r>
      <w:r>
        <w:rPr>
          <w:rFonts w:hint="eastAsia"/>
          <w:sz w:val="24"/>
          <w:szCs w:val="18"/>
          <w:lang w:val="en-US" w:eastAsia="zh-CN"/>
        </w:rPr>
        <w:t>2</w:t>
      </w:r>
      <w:r>
        <w:rPr>
          <w:rFonts w:hint="eastAsia"/>
          <w:sz w:val="24"/>
          <w:szCs w:val="18"/>
          <w:lang w:eastAsia="zh-CN"/>
        </w:rPr>
        <w:t>）</w:t>
      </w:r>
      <w:r>
        <w:rPr>
          <w:rFonts w:hint="eastAsia"/>
          <w:sz w:val="24"/>
          <w:szCs w:val="18"/>
        </w:rPr>
        <w:t>服务提供效率</w:t>
      </w:r>
    </w:p>
    <w:p>
      <w:pPr>
        <w:pStyle w:val="23"/>
        <w:spacing w:line="360" w:lineRule="auto"/>
        <w:ind w:firstLine="480" w:firstLineChars="200"/>
        <w:rPr>
          <w:rFonts w:hint="eastAsia"/>
          <w:sz w:val="24"/>
          <w:szCs w:val="18"/>
        </w:rPr>
      </w:pPr>
      <w:r>
        <w:rPr>
          <w:rFonts w:hint="eastAsia"/>
          <w:sz w:val="24"/>
          <w:szCs w:val="18"/>
        </w:rPr>
        <w:t>主要考察承接主体是否在合同约定的时间内完成各项服务。本项目主要考察的内容有：</w:t>
      </w:r>
      <w:r>
        <w:rPr>
          <w:rFonts w:hint="eastAsia"/>
          <w:sz w:val="24"/>
          <w:szCs w:val="18"/>
          <w:lang w:val="en-US" w:eastAsia="zh-CN"/>
        </w:rPr>
        <w:t>①</w:t>
      </w:r>
      <w:r>
        <w:rPr>
          <w:rFonts w:hint="eastAsia"/>
          <w:sz w:val="24"/>
          <w:szCs w:val="18"/>
          <w:lang w:eastAsia="zh-CN"/>
        </w:rPr>
        <w:t>上图入库及分析评估</w:t>
      </w:r>
      <w:r>
        <w:rPr>
          <w:rFonts w:hint="eastAsia"/>
          <w:sz w:val="24"/>
          <w:szCs w:val="18"/>
        </w:rPr>
        <w:t>工作的完善及准确性；</w:t>
      </w:r>
      <w:r>
        <w:rPr>
          <w:rFonts w:hint="eastAsia"/>
          <w:sz w:val="24"/>
          <w:szCs w:val="18"/>
          <w:lang w:val="en-US" w:eastAsia="zh-CN"/>
        </w:rPr>
        <w:t>②</w:t>
      </w:r>
      <w:r>
        <w:rPr>
          <w:rFonts w:hint="eastAsia"/>
          <w:sz w:val="24"/>
          <w:szCs w:val="18"/>
          <w:lang w:eastAsia="zh-CN"/>
        </w:rPr>
        <w:t>三年规划的科学性和可行性</w:t>
      </w:r>
      <w:r>
        <w:rPr>
          <w:rFonts w:hint="eastAsia"/>
          <w:sz w:val="24"/>
          <w:szCs w:val="18"/>
        </w:rPr>
        <w:t>。</w:t>
      </w:r>
    </w:p>
    <w:p>
      <w:pPr>
        <w:pStyle w:val="23"/>
        <w:spacing w:line="360" w:lineRule="auto"/>
        <w:rPr>
          <w:rFonts w:hint="eastAsia"/>
          <w:sz w:val="24"/>
          <w:szCs w:val="18"/>
          <w:lang w:eastAsia="zh-CN"/>
        </w:rPr>
      </w:pPr>
      <w:r>
        <w:rPr>
          <w:rFonts w:hint="eastAsia"/>
          <w:sz w:val="24"/>
          <w:szCs w:val="18"/>
        </w:rPr>
        <w:t>另外，承接主体提供各项服务均应在规定时间内完成</w:t>
      </w:r>
      <w:r>
        <w:rPr>
          <w:rFonts w:hint="eastAsia"/>
          <w:sz w:val="24"/>
          <w:szCs w:val="18"/>
          <w:lang w:eastAsia="zh-CN"/>
        </w:rPr>
        <w:t>。</w:t>
      </w:r>
    </w:p>
    <w:p>
      <w:pPr>
        <w:pStyle w:val="23"/>
        <w:spacing w:line="360" w:lineRule="auto"/>
        <w:ind w:firstLine="480" w:firstLineChars="200"/>
        <w:rPr>
          <w:rFonts w:hint="eastAsia"/>
          <w:sz w:val="24"/>
          <w:szCs w:val="18"/>
        </w:rPr>
      </w:pPr>
      <w:r>
        <w:rPr>
          <w:rFonts w:hint="eastAsia"/>
          <w:sz w:val="24"/>
          <w:szCs w:val="18"/>
          <w:lang w:eastAsia="zh-CN"/>
        </w:rPr>
        <w:t>（</w:t>
      </w:r>
      <w:r>
        <w:rPr>
          <w:rFonts w:hint="eastAsia"/>
          <w:sz w:val="24"/>
          <w:szCs w:val="18"/>
          <w:lang w:val="en-US" w:eastAsia="zh-CN"/>
        </w:rPr>
        <w:t>3</w:t>
      </w:r>
      <w:r>
        <w:rPr>
          <w:rFonts w:hint="eastAsia"/>
          <w:sz w:val="24"/>
          <w:szCs w:val="18"/>
          <w:lang w:eastAsia="zh-CN"/>
        </w:rPr>
        <w:t>）</w:t>
      </w:r>
      <w:r>
        <w:rPr>
          <w:rFonts w:hint="eastAsia"/>
          <w:sz w:val="24"/>
          <w:szCs w:val="18"/>
        </w:rPr>
        <w:t>服务提供质量</w:t>
      </w:r>
    </w:p>
    <w:p>
      <w:pPr>
        <w:pStyle w:val="23"/>
        <w:spacing w:line="360" w:lineRule="auto"/>
        <w:ind w:firstLine="480" w:firstLineChars="200"/>
        <w:rPr>
          <w:rFonts w:hint="eastAsia"/>
          <w:sz w:val="24"/>
          <w:szCs w:val="18"/>
        </w:rPr>
      </w:pPr>
      <w:r>
        <w:rPr>
          <w:rFonts w:hint="eastAsia"/>
          <w:sz w:val="24"/>
          <w:szCs w:val="18"/>
        </w:rPr>
        <w:t>主要考察承接主体是否按照合同约定的标准提供各项服务。本项目提供服务质量标准主要包含以下几方面：</w:t>
      </w:r>
      <w:r>
        <w:rPr>
          <w:rFonts w:hint="eastAsia"/>
          <w:sz w:val="24"/>
          <w:szCs w:val="18"/>
          <w:lang w:val="en-US" w:eastAsia="zh-CN"/>
        </w:rPr>
        <w:t>①</w:t>
      </w:r>
      <w:r>
        <w:rPr>
          <w:rFonts w:hint="eastAsia"/>
          <w:sz w:val="24"/>
          <w:szCs w:val="18"/>
          <w:lang w:eastAsia="zh-CN"/>
        </w:rPr>
        <w:t>是否符合项目各项要求</w:t>
      </w:r>
      <w:r>
        <w:rPr>
          <w:rFonts w:hint="eastAsia"/>
          <w:sz w:val="24"/>
          <w:szCs w:val="18"/>
        </w:rPr>
        <w:t>；</w:t>
      </w:r>
      <w:r>
        <w:rPr>
          <w:rFonts w:hint="eastAsia"/>
          <w:sz w:val="24"/>
          <w:szCs w:val="18"/>
          <w:lang w:val="en-US" w:eastAsia="zh-CN"/>
        </w:rPr>
        <w:t>②</w:t>
      </w:r>
      <w:r>
        <w:rPr>
          <w:rFonts w:hint="eastAsia"/>
          <w:sz w:val="24"/>
          <w:szCs w:val="18"/>
          <w:lang w:eastAsia="zh-CN"/>
        </w:rPr>
        <w:t>是否全面完成各项服务工作，无遗漏地块，不缺项</w:t>
      </w:r>
      <w:r>
        <w:rPr>
          <w:rFonts w:hint="eastAsia"/>
          <w:sz w:val="24"/>
          <w:szCs w:val="18"/>
        </w:rPr>
        <w:t>。</w:t>
      </w:r>
    </w:p>
    <w:p>
      <w:pPr>
        <w:pStyle w:val="23"/>
        <w:spacing w:line="360" w:lineRule="auto"/>
        <w:ind w:firstLine="480" w:firstLineChars="200"/>
        <w:rPr>
          <w:rFonts w:hint="eastAsia"/>
          <w:sz w:val="24"/>
          <w:szCs w:val="18"/>
        </w:rPr>
      </w:pPr>
      <w:r>
        <w:rPr>
          <w:rFonts w:hint="eastAsia"/>
          <w:sz w:val="24"/>
          <w:szCs w:val="18"/>
          <w:lang w:eastAsia="zh-CN"/>
        </w:rPr>
        <w:t>（</w:t>
      </w:r>
      <w:r>
        <w:rPr>
          <w:rFonts w:hint="eastAsia"/>
          <w:sz w:val="24"/>
          <w:szCs w:val="18"/>
          <w:lang w:val="en-US" w:eastAsia="zh-CN"/>
        </w:rPr>
        <w:t>4</w:t>
      </w:r>
      <w:r>
        <w:rPr>
          <w:rFonts w:hint="eastAsia"/>
          <w:sz w:val="24"/>
          <w:szCs w:val="18"/>
          <w:lang w:eastAsia="zh-CN"/>
        </w:rPr>
        <w:t>）</w:t>
      </w:r>
      <w:r>
        <w:rPr>
          <w:rFonts w:hint="eastAsia"/>
          <w:sz w:val="24"/>
          <w:szCs w:val="18"/>
        </w:rPr>
        <w:t>政府采购管理</w:t>
      </w:r>
    </w:p>
    <w:p>
      <w:pPr>
        <w:pStyle w:val="23"/>
        <w:spacing w:line="360" w:lineRule="auto"/>
        <w:rPr>
          <w:rFonts w:hint="eastAsia"/>
          <w:sz w:val="24"/>
          <w:szCs w:val="18"/>
        </w:rPr>
      </w:pPr>
      <w:r>
        <w:rPr>
          <w:rFonts w:hint="eastAsia"/>
          <w:sz w:val="24"/>
          <w:szCs w:val="18"/>
        </w:rPr>
        <w:t xml:space="preserve">    鄂托克前旗财政局主管政府采购的部门应当对项目的采购过程进行监督，确保项目采购方式的正确选择，确保采购过程的公正公开。鄂托克前旗财政局主管政府采购的部门应当监督购买主体及时公布采购公告、采购结果、合同公示等内容，保证项目采购程序的合法进行。</w:t>
      </w:r>
    </w:p>
    <w:p>
      <w:pPr>
        <w:pStyle w:val="23"/>
        <w:spacing w:line="360" w:lineRule="auto"/>
        <w:ind w:firstLine="480" w:firstLineChars="200"/>
        <w:rPr>
          <w:rFonts w:hint="eastAsia"/>
          <w:sz w:val="24"/>
          <w:szCs w:val="18"/>
        </w:rPr>
      </w:pPr>
      <w:r>
        <w:rPr>
          <w:rFonts w:hint="eastAsia"/>
          <w:sz w:val="24"/>
          <w:szCs w:val="18"/>
        </w:rPr>
        <w:t>资金规范管理</w:t>
      </w:r>
    </w:p>
    <w:p>
      <w:pPr>
        <w:pStyle w:val="23"/>
        <w:spacing w:line="360" w:lineRule="auto"/>
        <w:ind w:firstLine="480" w:firstLineChars="200"/>
        <w:rPr>
          <w:rFonts w:hint="eastAsia"/>
          <w:sz w:val="24"/>
          <w:szCs w:val="18"/>
        </w:rPr>
      </w:pPr>
      <w:r>
        <w:rPr>
          <w:rFonts w:hint="eastAsia"/>
          <w:sz w:val="24"/>
          <w:szCs w:val="18"/>
        </w:rPr>
        <w:t>鄂托克前旗财政局、鄂托克前旗</w:t>
      </w:r>
      <w:r>
        <w:rPr>
          <w:rFonts w:hint="eastAsia"/>
          <w:sz w:val="24"/>
          <w:szCs w:val="18"/>
          <w:lang w:eastAsia="zh-CN"/>
        </w:rPr>
        <w:t>审计局</w:t>
      </w:r>
      <w:r>
        <w:rPr>
          <w:rFonts w:hint="eastAsia"/>
          <w:sz w:val="24"/>
          <w:szCs w:val="18"/>
        </w:rPr>
        <w:t>应当加强对本项目的监督、审计，确保政府购买服务资金规范管理和合理使用，对截留、挪用和滞留资金以及其他违反内政办发〔2015〕154号文规定的行为，依照《中华人民共和国政府采购法》、《财政违法行为处罚处分条例》等法律法规有关规定追究法律责任；涉嫌犯罪的，依法移交司法机关处理。</w:t>
      </w:r>
    </w:p>
    <w:p>
      <w:pPr>
        <w:pStyle w:val="23"/>
        <w:spacing w:line="360" w:lineRule="auto"/>
        <w:ind w:firstLine="480" w:firstLineChars="200"/>
        <w:rPr>
          <w:rFonts w:hint="eastAsia"/>
          <w:sz w:val="24"/>
          <w:szCs w:val="18"/>
        </w:rPr>
      </w:pPr>
      <w:r>
        <w:rPr>
          <w:rFonts w:hint="eastAsia"/>
          <w:sz w:val="24"/>
          <w:szCs w:val="18"/>
          <w:lang w:eastAsia="zh-CN"/>
        </w:rPr>
        <w:t>（</w:t>
      </w:r>
      <w:r>
        <w:rPr>
          <w:rFonts w:hint="eastAsia"/>
          <w:sz w:val="24"/>
          <w:szCs w:val="18"/>
          <w:lang w:val="en-US" w:eastAsia="zh-CN"/>
        </w:rPr>
        <w:t>6</w:t>
      </w:r>
      <w:r>
        <w:rPr>
          <w:rFonts w:hint="eastAsia"/>
          <w:sz w:val="24"/>
          <w:szCs w:val="18"/>
          <w:lang w:eastAsia="zh-CN"/>
        </w:rPr>
        <w:t>）</w:t>
      </w:r>
      <w:r>
        <w:rPr>
          <w:rFonts w:hint="eastAsia"/>
          <w:sz w:val="24"/>
          <w:szCs w:val="18"/>
        </w:rPr>
        <w:t>信用记录</w:t>
      </w:r>
    </w:p>
    <w:p>
      <w:pPr>
        <w:pStyle w:val="23"/>
        <w:spacing w:line="360" w:lineRule="auto"/>
        <w:ind w:firstLine="480" w:firstLineChars="200"/>
        <w:rPr>
          <w:rFonts w:hint="eastAsia"/>
          <w:sz w:val="24"/>
          <w:szCs w:val="18"/>
        </w:rPr>
      </w:pPr>
      <w:r>
        <w:rPr>
          <w:rFonts w:hint="eastAsia"/>
          <w:sz w:val="24"/>
          <w:szCs w:val="18"/>
        </w:rPr>
        <w:t>鄂托克前旗财政局主管政府采购的部门</w:t>
      </w:r>
      <w:r>
        <w:rPr>
          <w:rFonts w:hint="eastAsia"/>
          <w:sz w:val="24"/>
          <w:szCs w:val="18"/>
          <w:lang w:eastAsia="zh-CN"/>
        </w:rPr>
        <w:t>和农牧业综合开发中心</w:t>
      </w:r>
      <w:r>
        <w:rPr>
          <w:rFonts w:hint="eastAsia"/>
          <w:sz w:val="24"/>
          <w:szCs w:val="18"/>
        </w:rPr>
        <w:t>应当根据职责分工，将承接主体承接政府购买服务行为信用记录纳入信用记录，对弄虚作假、冒领财政资金以及有其他违法违规行为的承接主体，依法给予行政处罚，并列入政府购买服务黑名单。</w:t>
      </w:r>
    </w:p>
    <w:p>
      <w:pPr>
        <w:pStyle w:val="23"/>
        <w:spacing w:line="360" w:lineRule="auto"/>
        <w:rPr>
          <w:rFonts w:hint="eastAsia"/>
          <w:sz w:val="24"/>
          <w:szCs w:val="18"/>
        </w:rPr>
      </w:pPr>
      <w:r>
        <w:rPr>
          <w:rFonts w:hint="eastAsia"/>
          <w:sz w:val="24"/>
          <w:szCs w:val="18"/>
        </w:rPr>
        <w:t>承接主体未按合同约定的质量标准完成上述工作的，将导致减扣得分、支付违约金等不利后果，造成损失的，还应当就损失进行赔偿。</w:t>
      </w:r>
    </w:p>
    <w:p>
      <w:pPr>
        <w:pStyle w:val="23"/>
        <w:spacing w:line="360" w:lineRule="auto"/>
        <w:ind w:firstLine="480" w:firstLineChars="200"/>
        <w:rPr>
          <w:rFonts w:hint="eastAsia"/>
          <w:sz w:val="24"/>
          <w:szCs w:val="18"/>
        </w:rPr>
      </w:pPr>
      <w:r>
        <w:rPr>
          <w:rFonts w:hint="eastAsia"/>
          <w:sz w:val="24"/>
          <w:szCs w:val="18"/>
          <w:lang w:val="en-US" w:eastAsia="zh-CN"/>
        </w:rPr>
        <w:t>4.</w:t>
      </w:r>
      <w:r>
        <w:rPr>
          <w:rFonts w:hint="eastAsia"/>
          <w:sz w:val="24"/>
          <w:szCs w:val="18"/>
        </w:rPr>
        <w:t>监管主体</w:t>
      </w:r>
    </w:p>
    <w:p>
      <w:pPr>
        <w:pStyle w:val="23"/>
        <w:spacing w:line="360" w:lineRule="auto"/>
        <w:ind w:firstLine="480" w:firstLineChars="200"/>
        <w:rPr>
          <w:rFonts w:hint="eastAsia"/>
          <w:sz w:val="24"/>
          <w:szCs w:val="18"/>
        </w:rPr>
      </w:pPr>
      <w:r>
        <w:rPr>
          <w:rFonts w:hint="eastAsia"/>
          <w:sz w:val="24"/>
          <w:szCs w:val="18"/>
        </w:rPr>
        <w:t>根据内政办发〔2015〕154号文的规定，政府购买服务工作应建立政府统一领导，财政部门牵头，审计及行业主管部门协同，职能部门履职，监督部门保障的工作分工机制，规范有序地开展工作。</w:t>
      </w:r>
    </w:p>
    <w:p>
      <w:pPr>
        <w:pStyle w:val="23"/>
        <w:spacing w:line="360" w:lineRule="auto"/>
        <w:ind w:firstLine="480" w:firstLineChars="200"/>
        <w:rPr>
          <w:rFonts w:hint="eastAsia"/>
          <w:sz w:val="24"/>
          <w:szCs w:val="18"/>
        </w:rPr>
      </w:pPr>
      <w:r>
        <w:rPr>
          <w:rFonts w:hint="eastAsia"/>
          <w:sz w:val="24"/>
          <w:szCs w:val="18"/>
        </w:rPr>
        <w:t>本项目</w:t>
      </w:r>
      <w:r>
        <w:rPr>
          <w:rFonts w:hint="eastAsia"/>
          <w:sz w:val="24"/>
          <w:szCs w:val="18"/>
          <w:lang w:eastAsia="zh-CN"/>
        </w:rPr>
        <w:t>已成立领导小组，详尽规定个部门职能职责，保证项目有序顺利完成。（详见附件文件）</w:t>
      </w:r>
      <w:r>
        <w:rPr>
          <w:rFonts w:hint="eastAsia"/>
          <w:sz w:val="24"/>
          <w:szCs w:val="18"/>
        </w:rPr>
        <w:t>。</w:t>
      </w:r>
    </w:p>
    <w:p>
      <w:pPr>
        <w:pStyle w:val="23"/>
        <w:spacing w:line="360" w:lineRule="auto"/>
        <w:jc w:val="center"/>
        <w:rPr>
          <w:rFonts w:hint="eastAsia"/>
          <w:sz w:val="24"/>
          <w:szCs w:val="18"/>
          <w:lang w:eastAsia="zh-CN"/>
        </w:rPr>
      </w:pPr>
      <w:bookmarkStart w:id="101" w:name="_Toc20206_WPSOffice_Level2"/>
      <w:bookmarkStart w:id="102" w:name="_Toc26890_WPSOffice_Level2"/>
      <w:r>
        <w:rPr>
          <w:rFonts w:hint="eastAsia"/>
          <w:sz w:val="24"/>
          <w:szCs w:val="18"/>
          <w:lang w:eastAsia="zh-CN"/>
        </w:rPr>
        <w:t>十一、</w:t>
      </w:r>
      <w:r>
        <w:rPr>
          <w:rFonts w:hint="eastAsia"/>
          <w:sz w:val="24"/>
          <w:szCs w:val="18"/>
        </w:rPr>
        <w:t>绩效</w:t>
      </w:r>
      <w:bookmarkEnd w:id="101"/>
      <w:bookmarkEnd w:id="102"/>
      <w:r>
        <w:rPr>
          <w:rFonts w:hint="eastAsia"/>
          <w:sz w:val="24"/>
          <w:szCs w:val="18"/>
          <w:lang w:eastAsia="zh-CN"/>
        </w:rPr>
        <w:t>管理</w:t>
      </w:r>
    </w:p>
    <w:p>
      <w:pPr>
        <w:pStyle w:val="23"/>
        <w:spacing w:line="360" w:lineRule="auto"/>
        <w:ind w:firstLine="480" w:firstLineChars="200"/>
        <w:rPr>
          <w:rFonts w:hint="eastAsia"/>
          <w:sz w:val="24"/>
          <w:szCs w:val="18"/>
        </w:rPr>
      </w:pPr>
      <w:r>
        <w:rPr>
          <w:rFonts w:hint="eastAsia"/>
          <w:sz w:val="24"/>
          <w:szCs w:val="18"/>
        </w:rPr>
        <w:t>本项目绩效评价采取</w:t>
      </w:r>
      <w:r>
        <w:rPr>
          <w:rFonts w:hint="eastAsia"/>
          <w:sz w:val="24"/>
          <w:szCs w:val="18"/>
          <w:lang w:eastAsia="zh-CN"/>
        </w:rPr>
        <w:t>质量和时效</w:t>
      </w:r>
      <w:r>
        <w:rPr>
          <w:rFonts w:hint="eastAsia"/>
          <w:sz w:val="24"/>
          <w:szCs w:val="18"/>
        </w:rPr>
        <w:t>相结合的方式进行。</w:t>
      </w:r>
      <w:r>
        <w:rPr>
          <w:rFonts w:hint="eastAsia"/>
          <w:sz w:val="24"/>
          <w:szCs w:val="18"/>
          <w:lang w:eastAsia="zh-CN"/>
        </w:rPr>
        <w:t>鄂托克前旗农牧业综合开发中心根据文件要求和合同约定，积极配合承接主体协调各部门提供必要数据和实地评价。以单个项目逐一审核验收，及时提出整改意见和要求。</w:t>
      </w:r>
      <w:r>
        <w:rPr>
          <w:rFonts w:hint="eastAsia"/>
          <w:sz w:val="24"/>
          <w:szCs w:val="18"/>
        </w:rPr>
        <w:t>这样有利于实现项目绩效</w:t>
      </w:r>
      <w:r>
        <w:rPr>
          <w:rFonts w:hint="eastAsia"/>
          <w:sz w:val="24"/>
          <w:szCs w:val="18"/>
          <w:lang w:eastAsia="zh-CN"/>
        </w:rPr>
        <w:t>与时效结合</w:t>
      </w:r>
      <w:r>
        <w:rPr>
          <w:rFonts w:hint="eastAsia"/>
          <w:sz w:val="24"/>
          <w:szCs w:val="18"/>
        </w:rPr>
        <w:t>做到有问题及时发现、及时纠正，提高财政资金利用率</w:t>
      </w:r>
      <w:r>
        <w:rPr>
          <w:rFonts w:hint="eastAsia"/>
          <w:sz w:val="24"/>
          <w:szCs w:val="18"/>
          <w:lang w:eastAsia="zh-CN"/>
        </w:rPr>
        <w:t>和项目优秀率</w:t>
      </w:r>
      <w:r>
        <w:rPr>
          <w:rFonts w:hint="eastAsia"/>
          <w:sz w:val="24"/>
          <w:szCs w:val="18"/>
        </w:rPr>
        <w:t>。</w:t>
      </w:r>
      <w:r>
        <w:rPr>
          <w:rFonts w:hint="eastAsia"/>
          <w:sz w:val="24"/>
          <w:szCs w:val="18"/>
          <w:lang w:eastAsia="zh-CN"/>
        </w:rPr>
        <w:t>项目总体完成后，上报上级主管部门进行整体审核，对于不符合或不完善的项目按照要求继续完善，直至符合要求为止。</w:t>
      </w:r>
    </w:p>
    <w:p>
      <w:pPr>
        <w:pStyle w:val="23"/>
        <w:spacing w:line="360" w:lineRule="auto"/>
        <w:ind w:firstLine="480" w:firstLineChars="200"/>
        <w:rPr>
          <w:rFonts w:hint="eastAsia"/>
          <w:sz w:val="24"/>
          <w:szCs w:val="18"/>
          <w:lang w:eastAsia="zh-CN"/>
        </w:rPr>
      </w:pPr>
      <w:r>
        <w:rPr>
          <w:rFonts w:hint="eastAsia"/>
          <w:sz w:val="24"/>
          <w:szCs w:val="18"/>
        </w:rPr>
        <w:t>政府购买服务合同将约定，</w:t>
      </w:r>
      <w:r>
        <w:rPr>
          <w:rFonts w:hint="eastAsia"/>
          <w:sz w:val="24"/>
          <w:szCs w:val="18"/>
          <w:lang w:eastAsia="zh-CN"/>
        </w:rPr>
        <w:t>时间和质量具体细化要求，</w:t>
      </w:r>
      <w:r>
        <w:rPr>
          <w:rFonts w:hint="eastAsia"/>
          <w:sz w:val="24"/>
          <w:szCs w:val="18"/>
        </w:rPr>
        <w:t>承接主体的服务期内</w:t>
      </w:r>
      <w:r>
        <w:rPr>
          <w:rFonts w:hint="eastAsia"/>
          <w:sz w:val="24"/>
          <w:szCs w:val="18"/>
          <w:lang w:eastAsia="zh-CN"/>
        </w:rPr>
        <w:t>项目服务</w:t>
      </w:r>
      <w:r>
        <w:rPr>
          <w:rFonts w:hint="eastAsia"/>
          <w:sz w:val="24"/>
          <w:szCs w:val="18"/>
        </w:rPr>
        <w:t>均为优秀或者良好以上的，将在下一次采购中具备优先资格，</w:t>
      </w:r>
      <w:r>
        <w:rPr>
          <w:rFonts w:hint="eastAsia"/>
          <w:sz w:val="24"/>
          <w:szCs w:val="18"/>
          <w:lang w:eastAsia="zh-CN"/>
        </w:rPr>
        <w:t>项目服务</w:t>
      </w:r>
      <w:r>
        <w:rPr>
          <w:rFonts w:hint="eastAsia"/>
          <w:sz w:val="24"/>
          <w:szCs w:val="18"/>
        </w:rPr>
        <w:t>为不合格的</w:t>
      </w:r>
      <w:r>
        <w:rPr>
          <w:rFonts w:hint="eastAsia"/>
          <w:sz w:val="24"/>
          <w:szCs w:val="18"/>
          <w:lang w:eastAsia="zh-CN"/>
        </w:rPr>
        <w:t>或者未按时完成导致上级部门通报或点名批评的</w:t>
      </w:r>
      <w:r>
        <w:rPr>
          <w:rFonts w:hint="eastAsia"/>
          <w:sz w:val="24"/>
          <w:szCs w:val="18"/>
        </w:rPr>
        <w:t>，不得参与下一次的采购活动。</w:t>
      </w:r>
    </w:p>
    <w:bookmarkEnd w:id="67"/>
    <w:bookmarkEnd w:id="68"/>
    <w:p>
      <w:pPr>
        <w:pStyle w:val="23"/>
        <w:spacing w:line="360" w:lineRule="auto"/>
        <w:rPr>
          <w:rFonts w:hint="eastAsia"/>
          <w:sz w:val="24"/>
          <w:szCs w:val="18"/>
          <w:lang w:eastAsia="zh-CN"/>
        </w:rPr>
      </w:pPr>
      <w:r>
        <w:rPr>
          <w:rFonts w:hint="eastAsia"/>
          <w:sz w:val="24"/>
          <w:szCs w:val="18"/>
        </w:rPr>
        <w:t>政府购买服务项目的绩效评价，是指购买主体、同级财政部门独立组织或购买主体牵头、同级财政部门、服务对象和专业机构运用科学合理的绩效评价指标体系、标准和方法，对购买服务合同的履行、服务数量和质量、受益群体满意度、资金预算绩效的实现等情况进行评价。绩效评价是政府购买服务项目全服务期内的重要环节，购买主体的资金支付以项目绩效评价为依据，以此形成激励相容，保证公共服务质量。</w:t>
      </w:r>
      <w:r>
        <w:rPr>
          <w:rFonts w:hint="eastAsia"/>
          <w:sz w:val="24"/>
          <w:szCs w:val="18"/>
          <w:lang w:eastAsia="zh-CN"/>
        </w:rPr>
        <w:t>（详见目标绩效表）</w:t>
      </w:r>
    </w:p>
    <w:p>
      <w:pPr>
        <w:pStyle w:val="23"/>
        <w:spacing w:line="360" w:lineRule="auto"/>
        <w:rPr>
          <w:rFonts w:hint="eastAsia"/>
          <w:sz w:val="24"/>
          <w:szCs w:val="18"/>
        </w:rPr>
      </w:pPr>
      <w:bookmarkStart w:id="103" w:name="_Toc513015460"/>
      <w:bookmarkStart w:id="104" w:name="_Toc7439"/>
      <w:bookmarkStart w:id="105" w:name="_Toc24527_WPSOffice_Level2"/>
      <w:bookmarkStart w:id="106" w:name="_Toc27965_WPSOffice_Level2"/>
      <w:r>
        <w:rPr>
          <w:rFonts w:hint="eastAsia"/>
          <w:sz w:val="24"/>
          <w:szCs w:val="18"/>
        </w:rPr>
        <w:t>绩效评价结果的使用</w:t>
      </w:r>
      <w:bookmarkEnd w:id="103"/>
      <w:bookmarkEnd w:id="104"/>
      <w:bookmarkEnd w:id="105"/>
      <w:bookmarkEnd w:id="106"/>
    </w:p>
    <w:p>
      <w:pPr>
        <w:pStyle w:val="23"/>
        <w:spacing w:line="360" w:lineRule="auto"/>
        <w:ind w:firstLine="480" w:firstLineChars="200"/>
        <w:rPr>
          <w:rFonts w:hint="eastAsia"/>
          <w:sz w:val="24"/>
          <w:szCs w:val="18"/>
        </w:rPr>
      </w:pPr>
      <w:r>
        <w:rPr>
          <w:rFonts w:hint="eastAsia"/>
          <w:sz w:val="24"/>
          <w:szCs w:val="18"/>
        </w:rPr>
        <w:t>（</w:t>
      </w:r>
      <w:r>
        <w:rPr>
          <w:rFonts w:hint="eastAsia"/>
          <w:sz w:val="24"/>
          <w:szCs w:val="18"/>
          <w:lang w:eastAsia="zh-CN"/>
        </w:rPr>
        <w:t>一</w:t>
      </w:r>
      <w:r>
        <w:rPr>
          <w:rFonts w:hint="eastAsia"/>
          <w:sz w:val="24"/>
          <w:szCs w:val="18"/>
        </w:rPr>
        <w:t>）绩效评价结果为优秀和良好的，该承接主体获得同等条件下优先承接购买服务项目的资格；</w:t>
      </w:r>
    </w:p>
    <w:p>
      <w:pPr>
        <w:pStyle w:val="23"/>
        <w:spacing w:line="360" w:lineRule="auto"/>
        <w:ind w:firstLine="480" w:firstLineChars="200"/>
        <w:rPr>
          <w:rFonts w:hint="eastAsia"/>
          <w:sz w:val="24"/>
          <w:szCs w:val="18"/>
        </w:rPr>
      </w:pPr>
      <w:r>
        <w:rPr>
          <w:rFonts w:hint="eastAsia"/>
          <w:sz w:val="24"/>
          <w:szCs w:val="18"/>
        </w:rPr>
        <w:t>（</w:t>
      </w:r>
      <w:r>
        <w:rPr>
          <w:rFonts w:hint="eastAsia"/>
          <w:sz w:val="24"/>
          <w:szCs w:val="18"/>
          <w:lang w:eastAsia="zh-CN"/>
        </w:rPr>
        <w:t>二</w:t>
      </w:r>
      <w:r>
        <w:rPr>
          <w:rFonts w:hint="eastAsia"/>
          <w:sz w:val="24"/>
          <w:szCs w:val="18"/>
        </w:rPr>
        <w:t>）绩效评价结果为合格和基本合格的，要求该承接主体改善自身管理，切实提高服务质量；</w:t>
      </w:r>
    </w:p>
    <w:p>
      <w:pPr>
        <w:pStyle w:val="23"/>
        <w:spacing w:line="360" w:lineRule="auto"/>
        <w:ind w:firstLine="480" w:firstLineChars="200"/>
        <w:rPr>
          <w:rFonts w:hint="eastAsia"/>
          <w:sz w:val="24"/>
          <w:szCs w:val="18"/>
        </w:rPr>
      </w:pPr>
      <w:r>
        <w:rPr>
          <w:rFonts w:hint="eastAsia"/>
          <w:sz w:val="24"/>
          <w:szCs w:val="18"/>
        </w:rPr>
        <w:t>（</w:t>
      </w:r>
      <w:r>
        <w:rPr>
          <w:rFonts w:hint="eastAsia"/>
          <w:sz w:val="24"/>
          <w:szCs w:val="18"/>
          <w:lang w:eastAsia="zh-CN"/>
        </w:rPr>
        <w:t>三</w:t>
      </w:r>
      <w:r>
        <w:rPr>
          <w:rFonts w:hint="eastAsia"/>
          <w:sz w:val="24"/>
          <w:szCs w:val="18"/>
        </w:rPr>
        <w:t>）绩效评价结果不合格的，立即终止合同，该承接主体不得参加下一年度该项目的竞标；对其中弄虚作假、冒领财政资金的承接主体，将列入单位信用等级黑名单，3年内不得参与该类政府购买服务项目。</w:t>
      </w:r>
    </w:p>
    <w:p>
      <w:pPr>
        <w:pStyle w:val="23"/>
        <w:spacing w:line="360" w:lineRule="auto"/>
        <w:jc w:val="center"/>
        <w:rPr>
          <w:rFonts w:hint="eastAsia"/>
          <w:sz w:val="24"/>
          <w:szCs w:val="18"/>
        </w:rPr>
      </w:pPr>
      <w:bookmarkStart w:id="107" w:name="_Toc4597_WPSOffice_Level2"/>
      <w:bookmarkStart w:id="108" w:name="_Toc36_WPSOffice_Level2"/>
      <w:bookmarkStart w:id="109" w:name="_Toc513015465"/>
      <w:bookmarkStart w:id="110" w:name="_Toc450138258"/>
      <w:bookmarkStart w:id="111" w:name="_Toc26480"/>
      <w:r>
        <w:rPr>
          <w:rFonts w:hint="eastAsia"/>
          <w:sz w:val="24"/>
          <w:szCs w:val="18"/>
          <w:lang w:eastAsia="zh-CN"/>
        </w:rPr>
        <w:t>十二、</w:t>
      </w:r>
      <w:bookmarkEnd w:id="107"/>
      <w:bookmarkEnd w:id="108"/>
      <w:bookmarkEnd w:id="109"/>
      <w:bookmarkEnd w:id="110"/>
      <w:bookmarkEnd w:id="111"/>
      <w:r>
        <w:rPr>
          <w:rFonts w:hint="eastAsia"/>
          <w:sz w:val="24"/>
          <w:szCs w:val="18"/>
          <w:lang w:eastAsia="zh-CN"/>
        </w:rPr>
        <w:t>信息公开</w:t>
      </w:r>
    </w:p>
    <w:p>
      <w:pPr>
        <w:pStyle w:val="23"/>
        <w:spacing w:line="360" w:lineRule="auto"/>
        <w:ind w:firstLine="480" w:firstLineChars="200"/>
        <w:rPr>
          <w:rFonts w:hint="eastAsia"/>
          <w:sz w:val="24"/>
          <w:szCs w:val="18"/>
        </w:rPr>
      </w:pPr>
      <w:bookmarkStart w:id="112" w:name="_Toc450138259"/>
      <w:r>
        <w:rPr>
          <w:rFonts w:hint="eastAsia"/>
          <w:sz w:val="24"/>
          <w:szCs w:val="18"/>
          <w:lang w:val="en-US" w:eastAsia="zh-CN"/>
        </w:rPr>
        <w:t>1.</w:t>
      </w:r>
      <w:r>
        <w:rPr>
          <w:rFonts w:hint="eastAsia"/>
          <w:sz w:val="24"/>
          <w:szCs w:val="18"/>
        </w:rPr>
        <w:t>信息公开</w:t>
      </w:r>
    </w:p>
    <w:p>
      <w:pPr>
        <w:pStyle w:val="23"/>
        <w:spacing w:line="360" w:lineRule="auto"/>
        <w:ind w:firstLine="480" w:firstLineChars="200"/>
        <w:rPr>
          <w:rFonts w:hint="eastAsia"/>
          <w:sz w:val="24"/>
          <w:szCs w:val="18"/>
        </w:rPr>
      </w:pPr>
      <w:r>
        <w:rPr>
          <w:rFonts w:hint="eastAsia"/>
          <w:sz w:val="24"/>
          <w:szCs w:val="18"/>
        </w:rPr>
        <w:t>项目采购信息、采购结果等相关内容均需通过部门门户网站、本级政府购买网、各级政府指定的信息公开平台及时进行公示，接受公众监督，保证各程序的合法、有序进行。</w:t>
      </w:r>
    </w:p>
    <w:p>
      <w:pPr>
        <w:pStyle w:val="23"/>
        <w:spacing w:line="360" w:lineRule="auto"/>
        <w:ind w:firstLine="480" w:firstLineChars="200"/>
        <w:rPr>
          <w:rFonts w:hint="eastAsia"/>
          <w:sz w:val="24"/>
          <w:szCs w:val="18"/>
        </w:rPr>
      </w:pPr>
      <w:r>
        <w:rPr>
          <w:rFonts w:hint="eastAsia"/>
          <w:sz w:val="24"/>
          <w:szCs w:val="18"/>
          <w:lang w:val="en-US" w:eastAsia="zh-CN"/>
        </w:rPr>
        <w:t>2</w:t>
      </w:r>
      <w:r>
        <w:rPr>
          <w:rFonts w:hint="eastAsia"/>
          <w:sz w:val="24"/>
          <w:szCs w:val="18"/>
        </w:rPr>
        <w:t>.投诉建议平台</w:t>
      </w:r>
    </w:p>
    <w:p>
      <w:pPr>
        <w:pStyle w:val="23"/>
        <w:spacing w:line="360" w:lineRule="auto"/>
        <w:ind w:firstLine="480" w:firstLineChars="200"/>
        <w:rPr>
          <w:rFonts w:hint="eastAsia"/>
          <w:sz w:val="24"/>
          <w:szCs w:val="18"/>
        </w:rPr>
      </w:pPr>
      <w:r>
        <w:rPr>
          <w:rFonts w:hint="eastAsia"/>
          <w:sz w:val="24"/>
          <w:szCs w:val="18"/>
        </w:rPr>
        <w:t>本地区民众可直接向鄂托克前旗</w:t>
      </w:r>
      <w:r>
        <w:rPr>
          <w:rFonts w:hint="eastAsia"/>
          <w:sz w:val="24"/>
          <w:szCs w:val="18"/>
          <w:lang w:eastAsia="zh-CN"/>
        </w:rPr>
        <w:t>农牧局</w:t>
      </w:r>
      <w:r>
        <w:rPr>
          <w:rFonts w:hint="eastAsia"/>
          <w:sz w:val="24"/>
          <w:szCs w:val="18"/>
        </w:rPr>
        <w:t>进行投诉，鄂托克前旗</w:t>
      </w:r>
      <w:r>
        <w:rPr>
          <w:rFonts w:hint="eastAsia"/>
          <w:sz w:val="24"/>
          <w:szCs w:val="18"/>
          <w:lang w:eastAsia="zh-CN"/>
        </w:rPr>
        <w:t>农牧局</w:t>
      </w:r>
      <w:r>
        <w:rPr>
          <w:rFonts w:hint="eastAsia"/>
          <w:sz w:val="24"/>
          <w:szCs w:val="18"/>
        </w:rPr>
        <w:t>接到投诉后对投诉的问题进行核查与处理。同时，应当依法公开披露项目实施的相关信息，保障公众知情权，接受社会监督。</w:t>
      </w:r>
      <w:bookmarkEnd w:id="112"/>
    </w:p>
    <w:p>
      <w:pPr>
        <w:pStyle w:val="23"/>
        <w:spacing w:line="360" w:lineRule="auto"/>
        <w:jc w:val="center"/>
        <w:rPr>
          <w:rFonts w:hint="eastAsia"/>
          <w:sz w:val="24"/>
          <w:szCs w:val="18"/>
          <w:lang w:eastAsia="zh-CN"/>
        </w:rPr>
      </w:pPr>
      <w:r>
        <w:rPr>
          <w:rFonts w:hint="eastAsia"/>
          <w:sz w:val="24"/>
          <w:szCs w:val="18"/>
          <w:lang w:val="en-US" w:eastAsia="zh-CN"/>
        </w:rPr>
        <w:t>十三、</w:t>
      </w:r>
      <w:r>
        <w:rPr>
          <w:rFonts w:hint="eastAsia"/>
          <w:sz w:val="24"/>
          <w:szCs w:val="18"/>
          <w:lang w:eastAsia="zh-CN"/>
        </w:rPr>
        <w:t>结论</w:t>
      </w:r>
    </w:p>
    <w:p>
      <w:pPr>
        <w:pStyle w:val="23"/>
        <w:spacing w:line="360" w:lineRule="auto"/>
        <w:ind w:firstLine="480" w:firstLineChars="200"/>
        <w:rPr>
          <w:rFonts w:hint="eastAsia"/>
          <w:sz w:val="24"/>
          <w:szCs w:val="18"/>
        </w:rPr>
      </w:pPr>
      <w:r>
        <w:rPr>
          <w:rFonts w:hint="eastAsia"/>
          <w:sz w:val="24"/>
          <w:szCs w:val="18"/>
        </w:rPr>
        <w:t>本项目购买主体为鄂前旗</w:t>
      </w:r>
      <w:r>
        <w:rPr>
          <w:rFonts w:hint="eastAsia"/>
          <w:sz w:val="24"/>
          <w:szCs w:val="18"/>
          <w:lang w:eastAsia="zh-CN"/>
        </w:rPr>
        <w:t>农牧业综合开发中心</w:t>
      </w:r>
      <w:r>
        <w:rPr>
          <w:rFonts w:hint="eastAsia"/>
          <w:sz w:val="24"/>
          <w:szCs w:val="18"/>
        </w:rPr>
        <w:t>，其主体资格符合国家、地方政策要求。项目购买内容含</w:t>
      </w:r>
      <w:r>
        <w:rPr>
          <w:rFonts w:hint="eastAsia"/>
          <w:sz w:val="24"/>
          <w:szCs w:val="18"/>
          <w:lang w:eastAsia="zh-CN"/>
        </w:rPr>
        <w:t>上图入库分析评估</w:t>
      </w:r>
      <w:r>
        <w:rPr>
          <w:rFonts w:hint="eastAsia"/>
          <w:sz w:val="24"/>
          <w:szCs w:val="18"/>
        </w:rPr>
        <w:t>和</w:t>
      </w:r>
      <w:r>
        <w:rPr>
          <w:rFonts w:hint="eastAsia"/>
          <w:sz w:val="24"/>
          <w:szCs w:val="18"/>
          <w:lang w:eastAsia="zh-CN"/>
        </w:rPr>
        <w:t>三年规划</w:t>
      </w:r>
      <w:r>
        <w:rPr>
          <w:rFonts w:hint="eastAsia"/>
          <w:sz w:val="24"/>
          <w:szCs w:val="18"/>
        </w:rPr>
        <w:t>两部分，购买内容符合国家、地方政策要求。项目适于采用竞争性磋商的方式进行采购。项目将签订政府购买服务合同，约定购买服务费用的核算、支付方式，以及合同双方权利义务边界等内容。</w:t>
      </w:r>
    </w:p>
    <w:p>
      <w:pPr>
        <w:pStyle w:val="23"/>
        <w:spacing w:line="360" w:lineRule="auto"/>
        <w:rPr>
          <w:rFonts w:hint="eastAsia"/>
          <w:sz w:val="24"/>
          <w:szCs w:val="18"/>
        </w:rPr>
      </w:pPr>
      <w:r>
        <w:rPr>
          <w:rFonts w:hint="eastAsia"/>
          <w:sz w:val="24"/>
          <w:szCs w:val="18"/>
        </w:rPr>
        <w:t>项目将受到购买主体、财政部门、行业主管部门等部门的履约监管、行政监管，并将广泛接纳群众的监督。同时，项目将按照法律规定的程序和要求进行信息公开，保证资金使用的公开透明，以及项目的合法实施。</w:t>
      </w:r>
    </w:p>
    <w:p>
      <w:pPr>
        <w:pStyle w:val="23"/>
        <w:spacing w:line="360" w:lineRule="auto"/>
        <w:ind w:firstLine="480" w:firstLineChars="200"/>
        <w:rPr>
          <w:rFonts w:hint="eastAsia"/>
          <w:sz w:val="24"/>
          <w:szCs w:val="18"/>
          <w:lang w:val="en-US" w:eastAsia="zh-CN"/>
        </w:rPr>
      </w:pPr>
      <w:r>
        <w:rPr>
          <w:rFonts w:hint="eastAsia"/>
          <w:sz w:val="24"/>
          <w:szCs w:val="18"/>
        </w:rPr>
        <w:t>综上，本项目采用政府购买服务模式实施必要可行、合理合规。在购买服务全过程中，项目要严格按照国家、地方相关政策法规的要求实施，保证</w:t>
      </w:r>
      <w:r>
        <w:rPr>
          <w:rFonts w:hint="eastAsia"/>
          <w:sz w:val="24"/>
          <w:szCs w:val="18"/>
          <w:lang w:eastAsia="zh-CN"/>
        </w:rPr>
        <w:t>此项</w:t>
      </w:r>
      <w:r>
        <w:rPr>
          <w:rFonts w:hint="eastAsia"/>
          <w:sz w:val="24"/>
          <w:szCs w:val="18"/>
        </w:rPr>
        <w:t>工作的顺利</w:t>
      </w:r>
      <w:r>
        <w:rPr>
          <w:rFonts w:hint="eastAsia"/>
          <w:sz w:val="24"/>
          <w:szCs w:val="18"/>
          <w:lang w:eastAsia="zh-CN"/>
        </w:rPr>
        <w:t>按期完</w:t>
      </w:r>
      <w:r>
        <w:rPr>
          <w:rFonts w:hint="eastAsia"/>
          <w:sz w:val="24"/>
          <w:szCs w:val="18"/>
          <w:lang w:val="en-US" w:eastAsia="zh-CN"/>
        </w:rPr>
        <w:t>成。</w:t>
      </w:r>
    </w:p>
    <w:p>
      <w:pPr>
        <w:pStyle w:val="23"/>
        <w:spacing w:line="360" w:lineRule="auto"/>
        <w:ind w:firstLine="480" w:firstLineChars="200"/>
        <w:rPr>
          <w:rFonts w:hint="eastAsia"/>
          <w:sz w:val="24"/>
          <w:szCs w:val="18"/>
          <w:lang w:val="en-US" w:eastAsia="zh-CN"/>
        </w:rPr>
      </w:pPr>
    </w:p>
    <w:p>
      <w:pPr>
        <w:pStyle w:val="23"/>
        <w:ind w:firstLine="482" w:firstLineChars="200"/>
        <w:rPr>
          <w:rFonts w:ascii="宋体" w:hAnsi="宋体"/>
          <w:b/>
          <w:bCs/>
          <w:color w:val="000000"/>
          <w:kern w:val="44"/>
          <w:sz w:val="24"/>
          <w:szCs w:val="24"/>
        </w:rPr>
      </w:pPr>
      <w:r>
        <w:rPr>
          <w:rFonts w:hint="eastAsia" w:ascii="宋体" w:hAnsi="宋体"/>
          <w:b/>
          <w:bCs/>
          <w:color w:val="000000"/>
          <w:kern w:val="44"/>
          <w:sz w:val="24"/>
          <w:szCs w:val="24"/>
          <w:lang w:val="en-US" w:eastAsia="zh-CN"/>
        </w:rPr>
        <w:t>注：</w:t>
      </w:r>
      <w:r>
        <w:rPr>
          <w:rFonts w:hint="eastAsia" w:ascii="宋体" w:hAnsi="宋体"/>
          <w:b/>
          <w:bCs/>
          <w:color w:val="000000"/>
          <w:kern w:val="44"/>
          <w:sz w:val="24"/>
          <w:szCs w:val="24"/>
        </w:rPr>
        <w:t>供应商如对以上内容有疑问，截止报名时间之前向采购人或采购代理机构提出，过期则视为同意。</w:t>
      </w:r>
    </w:p>
    <w:p>
      <w:pPr>
        <w:jc w:val="center"/>
        <w:outlineLvl w:val="0"/>
        <w:rPr>
          <w:rFonts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pStyle w:val="23"/>
        <w:rPr>
          <w:rFonts w:hint="eastAsia"/>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pStyle w:val="23"/>
        <w:rPr>
          <w:rFonts w:hint="eastAsia"/>
          <w:lang w:val="zh-CN"/>
        </w:rPr>
      </w:pPr>
    </w:p>
    <w:p>
      <w:pPr>
        <w:jc w:val="center"/>
        <w:outlineLvl w:val="0"/>
        <w:rPr>
          <w:rFonts w:ascii="宋体" w:hAnsi="宋体"/>
          <w:b/>
          <w:bCs/>
          <w:color w:val="000000"/>
          <w:kern w:val="44"/>
          <w:sz w:val="24"/>
          <w:szCs w:val="24"/>
          <w:lang w:val="zh-CN"/>
        </w:rPr>
      </w:pPr>
      <w:r>
        <w:rPr>
          <w:rFonts w:hint="eastAsia" w:ascii="宋体" w:hAnsi="宋体"/>
          <w:b/>
          <w:bCs/>
          <w:color w:val="000000"/>
          <w:kern w:val="44"/>
          <w:sz w:val="24"/>
          <w:szCs w:val="24"/>
          <w:lang w:val="zh-CN"/>
        </w:rPr>
        <w:t>第五章 供应商资格证明及相关文件要求</w:t>
      </w:r>
      <w:bookmarkEnd w:id="11"/>
      <w:bookmarkEnd w:id="12"/>
    </w:p>
    <w:p>
      <w:pPr>
        <w:spacing w:line="360" w:lineRule="auto"/>
        <w:jc w:val="center"/>
        <w:rPr>
          <w:rFonts w:ascii="宋体" w:hAnsi="宋体"/>
          <w:b/>
          <w:bCs/>
          <w:color w:val="000000"/>
          <w:kern w:val="44"/>
          <w:sz w:val="24"/>
          <w:szCs w:val="24"/>
          <w:lang w:val="zh-CN"/>
        </w:rPr>
      </w:pPr>
    </w:p>
    <w:p>
      <w:pPr>
        <w:autoSpaceDE w:val="0"/>
        <w:autoSpaceDN w:val="0"/>
        <w:adjustRightInd w:val="0"/>
        <w:snapToGrid w:val="0"/>
        <w:spacing w:line="360" w:lineRule="auto"/>
        <w:ind w:firstLine="482" w:firstLineChars="201"/>
        <w:rPr>
          <w:rFonts w:ascii="宋体" w:hAnsi="宋体" w:cs="宋体"/>
          <w:kern w:val="0"/>
          <w:sz w:val="24"/>
          <w:szCs w:val="24"/>
        </w:rPr>
      </w:pPr>
      <w:r>
        <w:rPr>
          <w:rFonts w:hint="eastAsia" w:ascii="宋体" w:hAnsi="宋体" w:cs="宋体"/>
          <w:kern w:val="0"/>
          <w:sz w:val="24"/>
          <w:szCs w:val="24"/>
        </w:rPr>
        <w:t>供应商应提交证明其有资格参加投标和中标后有能力履行合同的文件，并作为其响应文件的一部分，所有文件</w:t>
      </w:r>
      <w:r>
        <w:rPr>
          <w:rFonts w:hint="eastAsia" w:ascii="宋体" w:hAnsi="宋体" w:cs="宋体"/>
          <w:sz w:val="24"/>
          <w:szCs w:val="24"/>
        </w:rPr>
        <w:t>必须真实可靠、不得伪造，否则将按相关规定予以处罚。资质证明文件及其它文件</w:t>
      </w:r>
      <w:r>
        <w:rPr>
          <w:rFonts w:hint="eastAsia" w:ascii="宋体" w:hAnsi="宋体" w:cs="宋体"/>
          <w:kern w:val="0"/>
          <w:sz w:val="24"/>
          <w:szCs w:val="24"/>
        </w:rPr>
        <w:t>应包括：</w:t>
      </w:r>
    </w:p>
    <w:p>
      <w:pPr>
        <w:spacing w:line="360" w:lineRule="auto"/>
        <w:rPr>
          <w:rFonts w:ascii="宋体" w:hAnsi="宋体" w:cs="宋体"/>
          <w:sz w:val="24"/>
          <w:szCs w:val="24"/>
        </w:rPr>
      </w:pPr>
      <w:r>
        <w:rPr>
          <w:rFonts w:hint="eastAsia" w:ascii="宋体" w:hAnsi="宋体" w:cs="宋体"/>
          <w:b/>
          <w:sz w:val="24"/>
          <w:szCs w:val="24"/>
        </w:rPr>
        <w:t>一.供应商及投标货物的资格性证明文件</w:t>
      </w:r>
    </w:p>
    <w:p>
      <w:pPr>
        <w:spacing w:line="360" w:lineRule="auto"/>
        <w:ind w:firstLine="482" w:firstLineChars="201"/>
        <w:rPr>
          <w:rFonts w:ascii="宋体" w:hAnsi="宋体" w:cs="宋体"/>
          <w:sz w:val="24"/>
          <w:szCs w:val="24"/>
        </w:rPr>
      </w:pPr>
      <w:r>
        <w:rPr>
          <w:rFonts w:ascii="宋体" w:hAnsi="宋体" w:cs="宋体"/>
          <w:sz w:val="24"/>
          <w:szCs w:val="24"/>
        </w:rPr>
        <w:t>1.</w:t>
      </w:r>
      <w:r>
        <w:rPr>
          <w:rFonts w:hint="eastAsia" w:ascii="宋体" w:hAnsi="宋体" w:cs="宋体"/>
          <w:sz w:val="24"/>
          <w:szCs w:val="24"/>
        </w:rPr>
        <w:t>法人营业执照副本（三证合一）；</w:t>
      </w:r>
    </w:p>
    <w:p>
      <w:pPr>
        <w:pStyle w:val="23"/>
        <w:ind w:firstLine="480" w:firstLineChars="200"/>
        <w:rPr>
          <w:rFonts w:hAnsi="宋体"/>
          <w:sz w:val="24"/>
          <w:szCs w:val="24"/>
        </w:rPr>
      </w:pPr>
      <w:r>
        <w:rPr>
          <w:rFonts w:hint="eastAsia" w:hAnsi="宋体"/>
          <w:sz w:val="24"/>
          <w:szCs w:val="24"/>
        </w:rPr>
        <w:t>2.委托代表投标时的法人代表授权书（开标时需提供原件）；</w:t>
      </w:r>
    </w:p>
    <w:p>
      <w:pPr>
        <w:spacing w:line="360" w:lineRule="auto"/>
        <w:ind w:firstLine="482" w:firstLineChars="201"/>
        <w:rPr>
          <w:rFonts w:ascii="宋体" w:hAnsi="宋体"/>
          <w:sz w:val="24"/>
          <w:szCs w:val="24"/>
        </w:rPr>
      </w:pPr>
      <w:r>
        <w:rPr>
          <w:rFonts w:hint="eastAsia" w:hAnsi="宋体"/>
          <w:sz w:val="24"/>
          <w:szCs w:val="24"/>
        </w:rPr>
        <w:t>3</w:t>
      </w:r>
      <w:r>
        <w:rPr>
          <w:rFonts w:hint="eastAsia" w:ascii="宋体" w:hAnsi="宋体" w:cs="宋体"/>
          <w:sz w:val="24"/>
          <w:szCs w:val="24"/>
        </w:rPr>
        <w:t>.具有良好的商业信誉：</w:t>
      </w:r>
      <w:r>
        <w:rPr>
          <w:rFonts w:hint="eastAsia" w:ascii="宋体" w:hAnsi="宋体"/>
          <w:sz w:val="24"/>
          <w:szCs w:val="24"/>
        </w:rPr>
        <w:t>(1).供应商需提供由“征信中心网”（https://ipcrs.pbccrc.org.cn/）查询的信用报告。(2).供应商是企业或个体经营户的需带公司法人身份证及公司营业执照和公章去项目所在地或当地中国人民银行出具信用报告。</w:t>
      </w:r>
    </w:p>
    <w:p>
      <w:pPr>
        <w:spacing w:line="360" w:lineRule="auto"/>
        <w:ind w:firstLine="482" w:firstLineChars="201"/>
        <w:rPr>
          <w:rFonts w:ascii="宋体" w:hAnsi="宋体"/>
          <w:sz w:val="24"/>
          <w:szCs w:val="24"/>
        </w:rPr>
      </w:pPr>
      <w:r>
        <w:rPr>
          <w:rFonts w:hint="eastAsia" w:ascii="宋体" w:hAnsi="宋体"/>
          <w:sz w:val="24"/>
          <w:szCs w:val="24"/>
        </w:rPr>
        <w:t>4</w:t>
      </w:r>
      <w:r>
        <w:rPr>
          <w:rFonts w:hint="eastAsia" w:ascii="宋体" w:hAnsi="宋体" w:cs="宋体"/>
          <w:sz w:val="24"/>
          <w:szCs w:val="24"/>
        </w:rPr>
        <w:t>.供应商依法缴纳税收证明（以税务机关提供的纳税凭证或银行入账单为准）；</w:t>
      </w:r>
    </w:p>
    <w:p>
      <w:pPr>
        <w:spacing w:line="360" w:lineRule="auto"/>
        <w:ind w:firstLine="482" w:firstLineChars="201"/>
        <w:rPr>
          <w:rFonts w:ascii="宋体" w:hAnsi="宋体"/>
          <w:color w:val="0000FF"/>
          <w:sz w:val="24"/>
          <w:szCs w:val="24"/>
        </w:rPr>
      </w:pPr>
      <w:r>
        <w:rPr>
          <w:rFonts w:hint="eastAsia" w:ascii="宋体" w:hAnsi="宋体" w:cs="宋体"/>
          <w:sz w:val="24"/>
          <w:szCs w:val="24"/>
        </w:rPr>
        <w:t>5.供应商为企业员工缴纳社保资金的凭证（以社保机构出具的缴纳纪录凭证或银行入账单为准）；</w:t>
      </w:r>
    </w:p>
    <w:p>
      <w:pPr>
        <w:autoSpaceDE w:val="0"/>
        <w:autoSpaceDN w:val="0"/>
        <w:adjustRightInd w:val="0"/>
        <w:snapToGrid w:val="0"/>
        <w:spacing w:line="360" w:lineRule="auto"/>
        <w:ind w:right="32" w:firstLine="482" w:firstLineChars="201"/>
        <w:rPr>
          <w:rFonts w:ascii="宋体" w:hAnsi="宋体" w:cs="宋体"/>
          <w:kern w:val="0"/>
          <w:sz w:val="24"/>
          <w:szCs w:val="24"/>
        </w:rPr>
      </w:pPr>
      <w:r>
        <w:rPr>
          <w:rFonts w:hint="eastAsia" w:ascii="宋体" w:hAnsi="宋体" w:cs="宋体"/>
          <w:sz w:val="24"/>
          <w:szCs w:val="24"/>
        </w:rPr>
        <w:t>6.供应商参加政府采购近</w:t>
      </w:r>
      <w:r>
        <w:rPr>
          <w:rFonts w:hint="eastAsia" w:ascii="宋体" w:hAnsi="宋体" w:cs="宋体"/>
          <w:kern w:val="0"/>
          <w:sz w:val="24"/>
          <w:szCs w:val="24"/>
        </w:rPr>
        <w:t>三年内在经营活动中没有重大违法记录书面声明；</w:t>
      </w:r>
    </w:p>
    <w:p>
      <w:pPr>
        <w:spacing w:line="360" w:lineRule="auto"/>
        <w:ind w:firstLine="482" w:firstLineChars="201"/>
        <w:rPr>
          <w:rFonts w:hint="eastAsia" w:ascii="宋体" w:hAnsi="宋体"/>
          <w:sz w:val="24"/>
          <w:szCs w:val="24"/>
        </w:rPr>
      </w:pPr>
      <w:r>
        <w:rPr>
          <w:rFonts w:hint="eastAsia" w:ascii="宋体" w:hAnsi="宋体"/>
          <w:sz w:val="24"/>
          <w:szCs w:val="24"/>
        </w:rPr>
        <w:t>7.</w:t>
      </w:r>
      <w:r>
        <w:rPr>
          <w:rFonts w:hint="eastAsia" w:hAnsi="宋体"/>
          <w:sz w:val="24"/>
          <w:szCs w:val="24"/>
        </w:rPr>
        <w:t>供应商须在投标文件中提供企业工商注册所在地或项目所在地信用管理中心出具的《信用信息查询结果》且在有效期范围内，办理步骤：详见第七章格式</w:t>
      </w:r>
      <w:r>
        <w:rPr>
          <w:rFonts w:hint="eastAsia" w:ascii="宋体" w:hAnsi="宋体"/>
          <w:sz w:val="24"/>
          <w:szCs w:val="24"/>
        </w:rPr>
        <w:t>；</w:t>
      </w:r>
    </w:p>
    <w:p>
      <w:pPr>
        <w:pStyle w:val="23"/>
        <w:spacing w:line="360" w:lineRule="auto"/>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供应商</w:t>
      </w:r>
      <w:r>
        <w:rPr>
          <w:rFonts w:hint="eastAsia" w:ascii="宋体" w:hAnsi="宋体"/>
          <w:color w:val="000000" w:themeColor="text1"/>
          <w:sz w:val="24"/>
          <w:szCs w:val="24"/>
          <w:lang w:val="en-US" w:eastAsia="zh-CN"/>
          <w14:textFill>
            <w14:solidFill>
              <w14:schemeClr w14:val="tx1"/>
            </w14:solidFill>
          </w14:textFill>
        </w:rPr>
        <w:t>须同时具备水利行业丙级（含丙级）以上企业资质和农林行业专业乙级（含乙级）以上企业资质，并在人员、设备、资金等方面具有相应的能力；</w:t>
      </w:r>
    </w:p>
    <w:p>
      <w:pPr>
        <w:spacing w:line="360" w:lineRule="auto"/>
        <w:ind w:firstLine="482" w:firstLineChars="201"/>
        <w:rPr>
          <w:rFonts w:hint="default" w:ascii="宋体" w:hAnsi="宋体"/>
          <w:color w:val="000000" w:themeColor="text1"/>
          <w:sz w:val="24"/>
          <w:szCs w:val="24"/>
          <w:lang w:val="en-US"/>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9.拟派项目负责人须具备水利或农林相关专业中级及以上技术职称；</w:t>
      </w:r>
    </w:p>
    <w:p>
      <w:pPr>
        <w:autoSpaceDE w:val="0"/>
        <w:autoSpaceDN w:val="0"/>
        <w:adjustRightInd w:val="0"/>
        <w:snapToGrid w:val="0"/>
        <w:spacing w:line="360" w:lineRule="auto"/>
        <w:ind w:right="32" w:firstLine="482" w:firstLineChars="201"/>
        <w:rPr>
          <w:rFonts w:hint="eastAsia" w:ascii="宋体" w:hAnsi="宋体" w:eastAsia="宋体"/>
          <w:sz w:val="24"/>
          <w:szCs w:val="24"/>
          <w:lang w:eastAsia="zh-CN"/>
        </w:rPr>
      </w:pPr>
      <w:r>
        <w:rPr>
          <w:rFonts w:hint="eastAsia" w:ascii="宋体" w:hAnsi="宋体"/>
          <w:sz w:val="24"/>
          <w:szCs w:val="24"/>
          <w:lang w:val="en-US" w:eastAsia="zh-CN"/>
        </w:rPr>
        <w:t>10</w:t>
      </w:r>
      <w:r>
        <w:rPr>
          <w:rFonts w:hint="eastAsia" w:ascii="宋体" w:hAnsi="宋体"/>
          <w:sz w:val="24"/>
          <w:szCs w:val="24"/>
        </w:rPr>
        <w:t>.磋商文件（包括评审表中）对供应商的其他要求</w:t>
      </w:r>
      <w:r>
        <w:rPr>
          <w:rFonts w:hint="eastAsia" w:ascii="宋体" w:hAnsi="宋体"/>
          <w:sz w:val="24"/>
          <w:szCs w:val="24"/>
          <w:lang w:eastAsia="zh-CN"/>
        </w:rPr>
        <w:t>：</w:t>
      </w:r>
    </w:p>
    <w:p>
      <w:pPr>
        <w:spacing w:line="360" w:lineRule="auto"/>
        <w:ind w:firstLine="482" w:firstLineChars="201"/>
        <w:rPr>
          <w:rFonts w:ascii="宋体" w:hAnsi="宋体"/>
          <w:sz w:val="24"/>
          <w:szCs w:val="24"/>
        </w:rPr>
      </w:pPr>
      <w:r>
        <w:rPr>
          <w:rFonts w:hint="eastAsia" w:ascii="宋体" w:hAnsi="宋体"/>
          <w:sz w:val="24"/>
          <w:szCs w:val="24"/>
        </w:rPr>
        <w:t>以上文件除要求提供“原件”以外，均应在投标文件中提供复印件并加盖</w:t>
      </w:r>
      <w:r>
        <w:rPr>
          <w:rFonts w:hint="eastAsia" w:ascii="宋体" w:hAnsi="宋体"/>
          <w:sz w:val="24"/>
          <w:szCs w:val="24"/>
          <w:lang w:eastAsia="zh-CN"/>
        </w:rPr>
        <w:t>供应商</w:t>
      </w:r>
      <w:r>
        <w:rPr>
          <w:rFonts w:hint="eastAsia" w:ascii="宋体" w:hAnsi="宋体"/>
          <w:sz w:val="24"/>
          <w:szCs w:val="24"/>
        </w:rPr>
        <w:t>公章，未提供或提供的文件过期、失效的，均为无效投标。</w:t>
      </w:r>
    </w:p>
    <w:p>
      <w:pPr>
        <w:spacing w:line="360" w:lineRule="auto"/>
        <w:rPr>
          <w:rFonts w:ascii="宋体" w:hAnsi="宋体"/>
          <w:sz w:val="24"/>
          <w:szCs w:val="24"/>
        </w:rPr>
      </w:pPr>
      <w:r>
        <w:rPr>
          <w:rFonts w:hint="eastAsia" w:ascii="宋体" w:hAnsi="宋体"/>
          <w:sz w:val="24"/>
          <w:szCs w:val="24"/>
        </w:rPr>
        <w:t>二.</w:t>
      </w:r>
      <w:r>
        <w:rPr>
          <w:rFonts w:hint="eastAsia" w:ascii="宋体" w:hAnsi="宋体"/>
          <w:b/>
          <w:sz w:val="24"/>
          <w:szCs w:val="24"/>
        </w:rPr>
        <w:t>供应商应提供的其它材料</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1. 与投标产品型号及技术参数相关的佐证材料，如产品检测报告、鉴定证书、技术白皮书、说明书、产品彩页等； </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2. 最新一期政府采购节能、环保清单截图证明；（如有） </w:t>
      </w:r>
    </w:p>
    <w:p>
      <w:pPr>
        <w:spacing w:line="360" w:lineRule="auto"/>
        <w:ind w:firstLine="480" w:firstLineChars="200"/>
        <w:rPr>
          <w:rFonts w:ascii="宋体" w:hAnsi="宋体"/>
          <w:sz w:val="24"/>
          <w:szCs w:val="24"/>
        </w:rPr>
      </w:pPr>
      <w:r>
        <w:rPr>
          <w:rFonts w:hint="eastAsia" w:ascii="宋体" w:hAnsi="宋体"/>
          <w:sz w:val="24"/>
          <w:szCs w:val="24"/>
        </w:rPr>
        <w:t xml:space="preserve">3. </w:t>
      </w:r>
      <w:r>
        <w:rPr>
          <w:rFonts w:ascii="宋体" w:hAnsi="宋体"/>
          <w:sz w:val="24"/>
          <w:szCs w:val="24"/>
        </w:rPr>
        <w:t>能够真实反映供应商业绩的有效证明材料，如</w:t>
      </w:r>
      <w:r>
        <w:rPr>
          <w:rFonts w:hint="eastAsia" w:ascii="宋体" w:hAnsi="宋体"/>
          <w:sz w:val="24"/>
          <w:szCs w:val="24"/>
        </w:rPr>
        <w:t>销售或服务</w:t>
      </w:r>
      <w:r>
        <w:rPr>
          <w:rFonts w:ascii="宋体" w:hAnsi="宋体"/>
          <w:sz w:val="24"/>
          <w:szCs w:val="24"/>
        </w:rPr>
        <w:t>合同等</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kern w:val="0"/>
          <w:sz w:val="24"/>
          <w:szCs w:val="24"/>
        </w:rPr>
        <w:t>. 产品生产（或经销）企业的质量管理体系认证证书、环境认证证书等；</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5. </w:t>
      </w:r>
      <w:r>
        <w:rPr>
          <w:rFonts w:ascii="宋体" w:hAnsi="宋体"/>
          <w:kern w:val="0"/>
          <w:sz w:val="24"/>
          <w:szCs w:val="24"/>
        </w:rPr>
        <w:t>供应商认为需要提供的证明文件及资料。</w:t>
      </w:r>
    </w:p>
    <w:p>
      <w:pPr>
        <w:spacing w:line="360" w:lineRule="auto"/>
        <w:ind w:firstLine="480" w:firstLineChars="200"/>
        <w:rPr>
          <w:rFonts w:ascii="宋体" w:hAnsi="宋体"/>
          <w:sz w:val="24"/>
          <w:szCs w:val="24"/>
        </w:rPr>
      </w:pPr>
      <w:r>
        <w:rPr>
          <w:rFonts w:ascii="宋体" w:hAnsi="宋体"/>
          <w:sz w:val="24"/>
          <w:szCs w:val="24"/>
        </w:rPr>
        <w:t>以上文件除要求提供原件以外，</w:t>
      </w:r>
      <w:r>
        <w:rPr>
          <w:rFonts w:hint="eastAsia" w:ascii="宋体" w:hAnsi="宋体"/>
          <w:sz w:val="24"/>
          <w:szCs w:val="24"/>
        </w:rPr>
        <w:t>其余</w:t>
      </w:r>
      <w:r>
        <w:rPr>
          <w:rFonts w:ascii="宋体" w:hAnsi="宋体"/>
          <w:sz w:val="24"/>
          <w:szCs w:val="24"/>
        </w:rPr>
        <w:t>均</w:t>
      </w:r>
      <w:r>
        <w:rPr>
          <w:rFonts w:hint="eastAsia" w:ascii="宋体" w:hAnsi="宋体"/>
          <w:sz w:val="24"/>
          <w:szCs w:val="24"/>
        </w:rPr>
        <w:t>在响应文件中</w:t>
      </w:r>
      <w:r>
        <w:rPr>
          <w:rFonts w:ascii="宋体" w:hAnsi="宋体"/>
          <w:sz w:val="24"/>
          <w:szCs w:val="24"/>
        </w:rPr>
        <w:t>提供复印件并加盖供应商公章</w:t>
      </w:r>
      <w:r>
        <w:rPr>
          <w:rFonts w:hint="eastAsia" w:ascii="宋体" w:hAnsi="宋体"/>
          <w:sz w:val="24"/>
          <w:szCs w:val="24"/>
        </w:rPr>
        <w:t>。</w:t>
      </w:r>
      <w:r>
        <w:rPr>
          <w:rFonts w:ascii="宋体" w:hAnsi="宋体"/>
          <w:sz w:val="24"/>
          <w:szCs w:val="24"/>
        </w:rPr>
        <w:t xml:space="preserve"> </w:t>
      </w:r>
    </w:p>
    <w:p>
      <w:pPr>
        <w:outlineLvl w:val="0"/>
        <w:rPr>
          <w:rFonts w:ascii="宋体" w:hAnsi="宋体"/>
          <w:sz w:val="24"/>
          <w:szCs w:val="24"/>
        </w:rPr>
      </w:pPr>
      <w:r>
        <w:rPr>
          <w:rFonts w:ascii="宋体" w:hAnsi="宋体"/>
          <w:sz w:val="24"/>
          <w:szCs w:val="24"/>
        </w:rPr>
        <w:br w:type="page"/>
      </w:r>
    </w:p>
    <w:p>
      <w:pPr>
        <w:spacing w:line="360" w:lineRule="auto"/>
        <w:jc w:val="center"/>
        <w:outlineLvl w:val="0"/>
        <w:rPr>
          <w:rFonts w:ascii="宋体" w:hAnsi="宋体"/>
          <w:b/>
          <w:bCs/>
          <w:color w:val="000000"/>
          <w:kern w:val="44"/>
          <w:sz w:val="24"/>
          <w:szCs w:val="24"/>
          <w:lang w:val="zh-CN"/>
        </w:rPr>
      </w:pPr>
      <w:bookmarkStart w:id="113" w:name="_Toc497408605"/>
      <w:r>
        <w:rPr>
          <w:rFonts w:hint="eastAsia" w:ascii="宋体" w:hAnsi="宋体"/>
          <w:b/>
          <w:bCs/>
          <w:color w:val="000000"/>
          <w:kern w:val="44"/>
          <w:sz w:val="24"/>
          <w:szCs w:val="24"/>
          <w:lang w:val="zh-CN"/>
        </w:rPr>
        <w:t>第六章 评标办法（综合评分）</w:t>
      </w:r>
      <w:bookmarkEnd w:id="113"/>
    </w:p>
    <w:p>
      <w:pPr>
        <w:spacing w:line="360" w:lineRule="auto"/>
        <w:ind w:firstLine="482" w:firstLineChars="200"/>
        <w:rPr>
          <w:rFonts w:ascii="宋体" w:hAnsi="宋体"/>
          <w:b/>
          <w:sz w:val="24"/>
          <w:szCs w:val="24"/>
        </w:rPr>
      </w:pPr>
      <w:r>
        <w:rPr>
          <w:rFonts w:hint="eastAsia" w:ascii="宋体" w:hAnsi="宋体"/>
          <w:b/>
          <w:sz w:val="24"/>
          <w:szCs w:val="24"/>
        </w:rPr>
        <w:t>一.评标原则</w:t>
      </w:r>
    </w:p>
    <w:p>
      <w:pPr>
        <w:spacing w:line="360" w:lineRule="auto"/>
        <w:ind w:firstLine="480" w:firstLineChars="200"/>
        <w:rPr>
          <w:rFonts w:ascii="宋体" w:hAnsi="宋体"/>
          <w:b/>
          <w:sz w:val="24"/>
          <w:szCs w:val="24"/>
        </w:rPr>
      </w:pPr>
      <w:r>
        <w:rPr>
          <w:rFonts w:hint="eastAsia" w:ascii="宋体" w:hAnsi="宋体"/>
          <w:sz w:val="24"/>
          <w:szCs w:val="24"/>
        </w:rPr>
        <w:t>评审活动遵循公开、公平、公正、择优的原则进行。评审委员会将综合分析供应商的各项指标，而不以单项指标的优劣评选出预中标人。（最低报价不是成交的唯一依据。）</w:t>
      </w:r>
    </w:p>
    <w:p>
      <w:pPr>
        <w:spacing w:after="120" w:line="360" w:lineRule="auto"/>
        <w:ind w:firstLine="448" w:firstLineChars="186"/>
        <w:rPr>
          <w:rFonts w:ascii="宋体" w:hAnsi="宋体"/>
          <w:b/>
          <w:sz w:val="24"/>
          <w:szCs w:val="24"/>
        </w:rPr>
      </w:pPr>
      <w:bookmarkStart w:id="114" w:name="_Toc355703360"/>
      <w:bookmarkStart w:id="115" w:name="_Toc355703243"/>
      <w:bookmarkStart w:id="116" w:name="_Toc257983096"/>
      <w:r>
        <w:rPr>
          <w:rFonts w:hint="eastAsia" w:ascii="宋体" w:hAnsi="宋体"/>
          <w:b/>
          <w:sz w:val="24"/>
          <w:szCs w:val="24"/>
        </w:rPr>
        <w:t>二.磋商</w:t>
      </w:r>
      <w:bookmarkEnd w:id="114"/>
      <w:bookmarkEnd w:id="115"/>
      <w:bookmarkEnd w:id="116"/>
      <w:r>
        <w:rPr>
          <w:rFonts w:hint="eastAsia" w:ascii="宋体" w:hAnsi="宋体"/>
          <w:b/>
          <w:sz w:val="24"/>
          <w:szCs w:val="24"/>
        </w:rPr>
        <w:t>程序</w:t>
      </w:r>
    </w:p>
    <w:p>
      <w:pPr>
        <w:adjustRightInd w:val="0"/>
        <w:snapToGrid w:val="0"/>
        <w:spacing w:line="360" w:lineRule="auto"/>
        <w:ind w:firstLine="482" w:firstLineChars="201"/>
        <w:rPr>
          <w:rFonts w:ascii="宋体" w:hAnsi="宋体"/>
          <w:sz w:val="24"/>
          <w:szCs w:val="24"/>
        </w:rPr>
      </w:pPr>
      <w:r>
        <w:rPr>
          <w:rFonts w:hint="eastAsia" w:ascii="宋体" w:hAnsi="宋体"/>
          <w:sz w:val="24"/>
          <w:szCs w:val="24"/>
        </w:rPr>
        <w:t>1.第一阶段：初步审查</w:t>
      </w:r>
    </w:p>
    <w:p>
      <w:pPr>
        <w:adjustRightInd w:val="0"/>
        <w:snapToGrid w:val="0"/>
        <w:spacing w:line="360" w:lineRule="auto"/>
        <w:ind w:firstLine="482" w:firstLineChars="201"/>
        <w:rPr>
          <w:rFonts w:ascii="宋体" w:hAnsi="宋体"/>
          <w:sz w:val="24"/>
          <w:szCs w:val="24"/>
        </w:rPr>
      </w:pPr>
      <w:r>
        <w:rPr>
          <w:rFonts w:ascii="宋体" w:hAnsi="宋体"/>
          <w:sz w:val="24"/>
          <w:szCs w:val="24"/>
        </w:rPr>
        <w:t>依据有关法律和</w:t>
      </w:r>
      <w:r>
        <w:rPr>
          <w:rFonts w:hint="eastAsia" w:ascii="宋体" w:hAnsi="宋体"/>
          <w:sz w:val="24"/>
          <w:szCs w:val="24"/>
        </w:rPr>
        <w:t>竞争性磋商</w:t>
      </w:r>
      <w:r>
        <w:rPr>
          <w:rFonts w:ascii="宋体" w:hAnsi="宋体"/>
          <w:sz w:val="24"/>
          <w:szCs w:val="24"/>
        </w:rPr>
        <w:t>文件的规定,对</w:t>
      </w:r>
      <w:r>
        <w:rPr>
          <w:rFonts w:hint="eastAsia" w:ascii="宋体" w:hAnsi="宋体"/>
          <w:sz w:val="24"/>
          <w:szCs w:val="24"/>
        </w:rPr>
        <w:t>响应文件</w:t>
      </w:r>
      <w:r>
        <w:rPr>
          <w:rFonts w:ascii="宋体" w:hAnsi="宋体"/>
          <w:sz w:val="24"/>
          <w:szCs w:val="24"/>
        </w:rPr>
        <w:t>的</w:t>
      </w:r>
      <w:r>
        <w:rPr>
          <w:rFonts w:hint="eastAsia" w:ascii="宋体" w:hAnsi="宋体"/>
          <w:sz w:val="24"/>
          <w:szCs w:val="24"/>
        </w:rPr>
        <w:t>资格性、符合性部分</w:t>
      </w:r>
      <w:r>
        <w:rPr>
          <w:rFonts w:ascii="宋体" w:hAnsi="宋体"/>
          <w:sz w:val="24"/>
          <w:szCs w:val="24"/>
        </w:rPr>
        <w:t>进行审查，以确定</w:t>
      </w:r>
      <w:r>
        <w:rPr>
          <w:rFonts w:hint="eastAsia" w:ascii="宋体" w:hAnsi="宋体"/>
          <w:sz w:val="24"/>
          <w:szCs w:val="24"/>
        </w:rPr>
        <w:t>供应商是否可以实质性响应磋商文件要求</w:t>
      </w:r>
      <w:r>
        <w:rPr>
          <w:rFonts w:ascii="宋体" w:hAnsi="宋体"/>
          <w:sz w:val="24"/>
          <w:szCs w:val="24"/>
        </w:rPr>
        <w:t>。</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2.第二阶段：磋商</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（1）磋商小组应当通过随机方式序确定参加磋商供应商的磋商顺序，磋商小组所有成员应当集中与单一供应商分别进行磋商，并给予所有参加磋商的供应商平等的磋商机会。</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具体磋商时，由供应商法定代表人或其授权委托人须携带本人身份证或其他有效身份证明参加。</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（2）磋商内容主要包括：针对本项目的技术条款、</w:t>
      </w:r>
      <w:r>
        <w:rPr>
          <w:rFonts w:hint="eastAsia" w:ascii="宋体" w:hAnsi="宋体"/>
          <w:sz w:val="24"/>
          <w:szCs w:val="24"/>
          <w:lang w:val="en-US" w:eastAsia="zh-CN"/>
        </w:rPr>
        <w:t>技术</w:t>
      </w:r>
      <w:r>
        <w:rPr>
          <w:rFonts w:hint="eastAsia" w:ascii="宋体" w:hAnsi="宋体"/>
          <w:sz w:val="24"/>
          <w:szCs w:val="24"/>
        </w:rPr>
        <w:t>要求、合同要求；磋商文件不能详细列明采购标的的技术、</w:t>
      </w:r>
      <w:r>
        <w:rPr>
          <w:rFonts w:hint="eastAsia" w:ascii="宋体" w:hAnsi="宋体"/>
          <w:sz w:val="24"/>
          <w:szCs w:val="24"/>
          <w:lang w:val="en-US" w:eastAsia="zh-CN"/>
        </w:rPr>
        <w:t>技术</w:t>
      </w:r>
      <w:r>
        <w:rPr>
          <w:rFonts w:hint="eastAsia" w:ascii="宋体" w:hAnsi="宋体"/>
          <w:sz w:val="24"/>
          <w:szCs w:val="24"/>
        </w:rPr>
        <w:t>要求的，需经磋商由供应商提供最终设计方案或解决方案；其它需要磋商的事项。</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（3）在磋商过程中，磋商小组可以根据磋商文件和磋商情况实质性变动采购需求中的技术、</w:t>
      </w:r>
      <w:r>
        <w:rPr>
          <w:rFonts w:hint="eastAsia" w:ascii="宋体" w:hAnsi="宋体"/>
          <w:sz w:val="24"/>
          <w:szCs w:val="24"/>
          <w:lang w:val="en-US" w:eastAsia="zh-CN"/>
        </w:rPr>
        <w:t>技术</w:t>
      </w:r>
      <w:r>
        <w:rPr>
          <w:rFonts w:hint="eastAsia" w:ascii="宋体" w:hAnsi="宋体"/>
          <w:sz w:val="24"/>
          <w:szCs w:val="24"/>
        </w:rPr>
        <w:t>要求以及合同草案条款，但不得变动磋商文件中的其他内容。实质性变动的内容，须经采购人代表确认。</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对磋商文件作出的实质性变动是磋商文件的有效组成部分，磋商小组应当在《最终报价表》中载明，同时通知所有参加磋商的供应商。</w:t>
      </w:r>
    </w:p>
    <w:p>
      <w:pPr>
        <w:widowControl/>
        <w:spacing w:line="360" w:lineRule="auto"/>
        <w:ind w:firstLine="480" w:firstLineChars="200"/>
        <w:rPr>
          <w:rFonts w:ascii="宋体" w:hAnsi="宋体"/>
          <w:sz w:val="24"/>
          <w:szCs w:val="24"/>
        </w:rPr>
      </w:pPr>
      <w:r>
        <w:rPr>
          <w:rFonts w:hint="eastAsia" w:ascii="宋体" w:hAnsi="宋体"/>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2"/>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（4）对未实质性响应磋商文件的响应文件按无效响应处理，磋商小组应当告知提交响应文件的供应商。</w:t>
      </w:r>
    </w:p>
    <w:p>
      <w:pPr>
        <w:pStyle w:val="2"/>
        <w:spacing w:line="360" w:lineRule="auto"/>
        <w:ind w:firstLine="480" w:firstLineChars="200"/>
        <w:rPr>
          <w:rFonts w:ascii="Times New Roman" w:hAnsi="Times New Roman" w:eastAsia="宋体" w:cs="Times New Roman"/>
          <w:color w:val="auto"/>
        </w:rPr>
      </w:pPr>
      <w:r>
        <w:rPr>
          <w:rFonts w:hint="eastAsia" w:ascii="宋体" w:hAnsi="宋体"/>
        </w:rPr>
        <w:t>3.第三阶段：最后报价</w:t>
      </w:r>
    </w:p>
    <w:p>
      <w:pPr>
        <w:widowControl/>
        <w:spacing w:after="156" w:afterLines="50" w:line="360" w:lineRule="auto"/>
        <w:ind w:firstLine="480" w:firstLineChars="200"/>
        <w:jc w:val="left"/>
        <w:rPr>
          <w:rFonts w:ascii="宋体" w:hAnsi="宋体"/>
          <w:sz w:val="24"/>
          <w:szCs w:val="24"/>
        </w:rPr>
      </w:pPr>
      <w:r>
        <w:rPr>
          <w:rFonts w:hint="eastAsia" w:ascii="宋体" w:hAnsi="宋体"/>
          <w:sz w:val="24"/>
          <w:szCs w:val="24"/>
        </w:rPr>
        <w:t>经磋商确定实质性响应的供应商后，磋商小组应当要求所有实质性响应的供应商在规定时间内提交最后报价。最后报价是供应商响应文件的有效组成部分。</w:t>
      </w:r>
    </w:p>
    <w:p>
      <w:pPr>
        <w:widowControl/>
        <w:spacing w:after="156" w:afterLines="50" w:line="360" w:lineRule="auto"/>
        <w:ind w:firstLine="480" w:firstLineChars="200"/>
        <w:jc w:val="left"/>
        <w:rPr>
          <w:kern w:val="0"/>
          <w:sz w:val="24"/>
          <w:szCs w:val="24"/>
        </w:rPr>
      </w:pPr>
      <w:r>
        <w:rPr>
          <w:rFonts w:hint="eastAsia"/>
          <w:kern w:val="0"/>
          <w:sz w:val="24"/>
          <w:szCs w:val="24"/>
        </w:rPr>
        <w:t>已提交响应文件的供应商，在提交最后报价之前，可以根据磋商情况退出磋商。</w:t>
      </w:r>
    </w:p>
    <w:p>
      <w:pPr>
        <w:widowControl/>
        <w:spacing w:after="156" w:afterLines="50" w:line="360" w:lineRule="auto"/>
        <w:ind w:firstLine="480" w:firstLineChars="200"/>
        <w:jc w:val="left"/>
        <w:rPr>
          <w:rFonts w:ascii="宋体" w:hAnsi="宋体"/>
          <w:sz w:val="24"/>
          <w:szCs w:val="24"/>
        </w:rPr>
      </w:pPr>
      <w:r>
        <w:rPr>
          <w:rFonts w:hint="eastAsia" w:ascii="宋体" w:hAnsi="宋体"/>
          <w:sz w:val="24"/>
          <w:szCs w:val="24"/>
        </w:rPr>
        <w:t>供应商的最后报价填写至《最后报价表》（该表在磋商过程中由工作人员统一发放），并在规定的时间内递交至磋商小组或鄂尔多斯市鄂托克前旗公共资源交易中心。待所有实质性响应竞标人最后报价完毕后，工作人员统一公布每位实质性响应供应商的最后价格。</w:t>
      </w:r>
    </w:p>
    <w:p>
      <w:pPr>
        <w:widowControl/>
        <w:tabs>
          <w:tab w:val="left" w:pos="540"/>
        </w:tabs>
        <w:spacing w:line="360" w:lineRule="auto"/>
        <w:ind w:firstLine="480" w:firstLineChars="200"/>
        <w:jc w:val="left"/>
        <w:rPr>
          <w:rFonts w:ascii="宋体" w:hAnsi="宋体"/>
          <w:sz w:val="24"/>
          <w:szCs w:val="24"/>
        </w:rPr>
      </w:pPr>
      <w:r>
        <w:rPr>
          <w:rFonts w:hint="eastAsia" w:ascii="宋体" w:hAnsi="宋体"/>
          <w:sz w:val="24"/>
          <w:szCs w:val="24"/>
        </w:rPr>
        <w:t>4.第四阶段：综合评分</w:t>
      </w:r>
    </w:p>
    <w:p>
      <w:pPr>
        <w:widowControl/>
        <w:tabs>
          <w:tab w:val="left" w:pos="540"/>
        </w:tabs>
        <w:spacing w:line="360" w:lineRule="auto"/>
        <w:ind w:firstLine="480" w:firstLineChars="200"/>
        <w:jc w:val="left"/>
        <w:rPr>
          <w:rFonts w:ascii="宋体" w:hAnsi="宋体"/>
          <w:sz w:val="24"/>
          <w:szCs w:val="24"/>
        </w:rPr>
      </w:pPr>
      <w:r>
        <w:rPr>
          <w:rFonts w:hint="eastAsia" w:ascii="宋体" w:hAnsi="宋体"/>
          <w:sz w:val="24"/>
          <w:szCs w:val="24"/>
        </w:rPr>
        <w:t>经磋商确定最终采购需求和提交最后报价的供应商后，由磋商小组采用综合评分法对提交最后报价的供应商的响应文件和最后报价进行综合评分。磋商文件中没有规定的评审标准不得作为评审依据。</w:t>
      </w:r>
    </w:p>
    <w:p>
      <w:pPr>
        <w:widowControl/>
        <w:tabs>
          <w:tab w:val="left" w:pos="540"/>
        </w:tabs>
        <w:spacing w:line="360" w:lineRule="auto"/>
        <w:ind w:firstLine="480" w:firstLineChars="200"/>
        <w:jc w:val="left"/>
        <w:rPr>
          <w:rFonts w:ascii="宋体" w:hAnsi="宋体"/>
          <w:sz w:val="24"/>
          <w:szCs w:val="24"/>
        </w:rPr>
      </w:pPr>
      <w:r>
        <w:rPr>
          <w:rFonts w:hint="eastAsia" w:ascii="宋体" w:hAnsi="宋体"/>
          <w:sz w:val="24"/>
          <w:szCs w:val="24"/>
        </w:rPr>
        <w:t>评审时，磋商小组各成员应当独立对每个有效响应的文件进行评价、打分，然后汇总每个供应商每项评分因素的得分。（其中报价部分得分计算依据满足磋商文件要求的最后报价）</w:t>
      </w:r>
    </w:p>
    <w:p>
      <w:pPr>
        <w:widowControl/>
        <w:spacing w:after="156" w:afterLines="50" w:line="360" w:lineRule="auto"/>
        <w:ind w:firstLine="480" w:firstLineChars="200"/>
        <w:jc w:val="left"/>
        <w:rPr>
          <w:rFonts w:ascii="宋体" w:hAnsi="宋体"/>
          <w:sz w:val="24"/>
          <w:szCs w:val="24"/>
        </w:rPr>
      </w:pPr>
      <w:r>
        <w:rPr>
          <w:rFonts w:hint="eastAsia" w:ascii="宋体" w:hAnsi="宋体"/>
          <w:sz w:val="24"/>
          <w:szCs w:val="24"/>
        </w:rPr>
        <w:t>三、确定成交供应商</w:t>
      </w:r>
    </w:p>
    <w:p>
      <w:pPr>
        <w:spacing w:line="360" w:lineRule="auto"/>
        <w:ind w:firstLine="570"/>
        <w:rPr>
          <w:rFonts w:ascii="宋体" w:hAnsi="宋体"/>
          <w:sz w:val="24"/>
          <w:szCs w:val="24"/>
        </w:rPr>
      </w:pPr>
      <w:r>
        <w:rPr>
          <w:rFonts w:hint="eastAsia" w:ascii="宋体" w:hAnsi="宋体"/>
          <w:sz w:val="24"/>
          <w:szCs w:val="24"/>
        </w:rPr>
        <w:t>磋商小组根据综合评分情况，按照评审得分由高到低确定成交候选供应商，并编写评审报告。评审得分相同的，按照最后报价由低到高的顺序确定，评审得分且最后报价相同的，按照技术指标（方案）优劣顺序确定成交候选供应商。</w:t>
      </w:r>
    </w:p>
    <w:p>
      <w:pPr>
        <w:widowControl/>
        <w:spacing w:line="360" w:lineRule="auto"/>
        <w:ind w:firstLine="602" w:firstLineChars="250"/>
        <w:jc w:val="left"/>
        <w:rPr>
          <w:rFonts w:ascii="宋体" w:hAnsi="宋体"/>
          <w:b/>
          <w:sz w:val="24"/>
          <w:szCs w:val="24"/>
        </w:rPr>
      </w:pPr>
      <w:r>
        <w:rPr>
          <w:rFonts w:hint="eastAsia" w:ascii="宋体" w:hAnsi="宋体"/>
          <w:b/>
          <w:sz w:val="24"/>
          <w:szCs w:val="24"/>
        </w:rPr>
        <w:t>三.政府采购政策落实：</w:t>
      </w:r>
    </w:p>
    <w:p>
      <w:pPr>
        <w:pStyle w:val="2"/>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视同为小、微企业）</w:t>
      </w:r>
    </w:p>
    <w:tbl>
      <w:tblPr>
        <w:tblStyle w:val="2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napToGrid w:val="0"/>
              <w:jc w:val="center"/>
              <w:rPr>
                <w:rFonts w:ascii="宋体" w:hAnsi="宋体"/>
                <w:sz w:val="18"/>
                <w:szCs w:val="18"/>
              </w:rPr>
            </w:pPr>
            <w:r>
              <w:rPr>
                <w:rFonts w:hint="eastAsia" w:ascii="宋体" w:hAnsi="宋体"/>
                <w:sz w:val="18"/>
                <w:szCs w:val="18"/>
              </w:rPr>
              <w:t>序号</w:t>
            </w:r>
          </w:p>
        </w:tc>
        <w:tc>
          <w:tcPr>
            <w:tcW w:w="3828" w:type="dxa"/>
            <w:vAlign w:val="center"/>
          </w:tcPr>
          <w:p>
            <w:pPr>
              <w:snapToGrid w:val="0"/>
              <w:jc w:val="center"/>
              <w:rPr>
                <w:rFonts w:ascii="宋体" w:hAnsi="宋体"/>
                <w:sz w:val="24"/>
                <w:szCs w:val="24"/>
              </w:rPr>
            </w:pPr>
            <w:r>
              <w:rPr>
                <w:rFonts w:hint="eastAsia" w:ascii="宋体" w:hAnsi="宋体"/>
                <w:sz w:val="24"/>
                <w:szCs w:val="24"/>
              </w:rPr>
              <w:t>情形</w:t>
            </w:r>
          </w:p>
        </w:tc>
        <w:tc>
          <w:tcPr>
            <w:tcW w:w="2409" w:type="dxa"/>
            <w:vAlign w:val="center"/>
          </w:tcPr>
          <w:p>
            <w:pPr>
              <w:snapToGrid w:val="0"/>
              <w:jc w:val="center"/>
              <w:rPr>
                <w:rFonts w:ascii="宋体" w:hAnsi="宋体"/>
                <w:sz w:val="24"/>
                <w:szCs w:val="24"/>
              </w:rPr>
            </w:pPr>
            <w:r>
              <w:rPr>
                <w:rFonts w:hint="eastAsia" w:ascii="宋体" w:hAnsi="宋体"/>
                <w:sz w:val="24"/>
                <w:szCs w:val="24"/>
              </w:rPr>
              <w:t>价格扣除比例</w:t>
            </w:r>
          </w:p>
        </w:tc>
        <w:tc>
          <w:tcPr>
            <w:tcW w:w="2643" w:type="dxa"/>
            <w:vAlign w:val="center"/>
          </w:tcPr>
          <w:p>
            <w:pPr>
              <w:snapToGrid w:val="0"/>
              <w:jc w:val="center"/>
              <w:rPr>
                <w:rFonts w:ascii="宋体" w:hAnsi="宋体"/>
                <w:sz w:val="24"/>
                <w:szCs w:val="24"/>
              </w:rPr>
            </w:pPr>
            <w:r>
              <w:rPr>
                <w:rFonts w:hint="eastAsia" w:ascii="宋体" w:hAnsi="宋体"/>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1</w:t>
            </w:r>
          </w:p>
        </w:tc>
        <w:tc>
          <w:tcPr>
            <w:tcW w:w="3828" w:type="dxa"/>
            <w:vAlign w:val="center"/>
          </w:tcPr>
          <w:p>
            <w:pPr>
              <w:snapToGrid w:val="0"/>
              <w:jc w:val="center"/>
              <w:rPr>
                <w:rFonts w:ascii="宋体" w:hAnsi="宋体"/>
                <w:sz w:val="24"/>
                <w:szCs w:val="24"/>
              </w:rPr>
            </w:pPr>
            <w:r>
              <w:rPr>
                <w:rFonts w:hint="eastAsia" w:ascii="宋体" w:hAnsi="宋体"/>
                <w:sz w:val="24"/>
                <w:szCs w:val="24"/>
              </w:rPr>
              <w:t>非联合体供应商（小型、微型企业）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w:t>
            </w:r>
          </w:p>
        </w:tc>
        <w:tc>
          <w:tcPr>
            <w:tcW w:w="2643" w:type="dxa"/>
            <w:vMerge w:val="restart"/>
            <w:vAlign w:val="center"/>
          </w:tcPr>
          <w:p>
            <w:pPr>
              <w:snapToGrid w:val="0"/>
              <w:jc w:val="center"/>
              <w:rPr>
                <w:rFonts w:ascii="宋体" w:hAnsi="宋体"/>
                <w:sz w:val="24"/>
                <w:szCs w:val="24"/>
              </w:rPr>
            </w:pPr>
            <w:r>
              <w:rPr>
                <w:rFonts w:hint="eastAsia" w:ascii="宋体" w:hAnsi="宋体"/>
                <w:sz w:val="24"/>
                <w:szCs w:val="24"/>
              </w:rPr>
              <w:t>评标价＝投标总报价×（1-6%）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2</w:t>
            </w:r>
          </w:p>
        </w:tc>
        <w:tc>
          <w:tcPr>
            <w:tcW w:w="3828" w:type="dxa"/>
            <w:vAlign w:val="center"/>
          </w:tcPr>
          <w:p>
            <w:pPr>
              <w:snapToGrid w:val="0"/>
              <w:jc w:val="center"/>
              <w:rPr>
                <w:rFonts w:ascii="宋体" w:hAnsi="宋体"/>
                <w:sz w:val="24"/>
                <w:szCs w:val="24"/>
              </w:rPr>
            </w:pPr>
            <w:r>
              <w:rPr>
                <w:rFonts w:hint="eastAsia" w:ascii="宋体" w:hAnsi="宋体"/>
                <w:sz w:val="24"/>
                <w:szCs w:val="24"/>
              </w:rPr>
              <w:t>联合体各方均为小型、微型企业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6%（不再享受本表序号3的价格扣除）</w:t>
            </w:r>
          </w:p>
        </w:tc>
        <w:tc>
          <w:tcPr>
            <w:tcW w:w="2643" w:type="dxa"/>
            <w:vMerge w:val="continue"/>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3</w:t>
            </w:r>
          </w:p>
        </w:tc>
        <w:tc>
          <w:tcPr>
            <w:tcW w:w="3828" w:type="dxa"/>
            <w:vAlign w:val="center"/>
          </w:tcPr>
          <w:p>
            <w:pPr>
              <w:snapToGrid w:val="0"/>
              <w:jc w:val="center"/>
              <w:rPr>
                <w:rFonts w:ascii="宋体" w:hAnsi="宋体"/>
                <w:sz w:val="24"/>
                <w:szCs w:val="24"/>
              </w:rPr>
            </w:pPr>
            <w:r>
              <w:rPr>
                <w:rFonts w:hint="eastAsia" w:ascii="宋体" w:hAnsi="宋体"/>
                <w:sz w:val="24"/>
                <w:szCs w:val="24"/>
              </w:rPr>
              <w:t>联合体一方为小型、微型企业且小型、微型企业协议合同金额占联合体协议合同总金额30%以上的</w:t>
            </w:r>
          </w:p>
        </w:tc>
        <w:tc>
          <w:tcPr>
            <w:tcW w:w="2409" w:type="dxa"/>
            <w:vAlign w:val="center"/>
          </w:tcPr>
          <w:p>
            <w:pPr>
              <w:snapToGrid w:val="0"/>
              <w:jc w:val="center"/>
              <w:rPr>
                <w:rFonts w:ascii="宋体" w:hAnsi="宋体"/>
                <w:sz w:val="24"/>
                <w:szCs w:val="24"/>
              </w:rPr>
            </w:pPr>
            <w:r>
              <w:rPr>
                <w:rFonts w:hint="eastAsia" w:ascii="宋体" w:hAnsi="宋体"/>
                <w:sz w:val="24"/>
                <w:szCs w:val="24"/>
              </w:rPr>
              <w:t>对联合体总金额扣除2%</w:t>
            </w:r>
          </w:p>
        </w:tc>
        <w:tc>
          <w:tcPr>
            <w:tcW w:w="2643" w:type="dxa"/>
            <w:vAlign w:val="center"/>
          </w:tcPr>
          <w:p>
            <w:pPr>
              <w:snapToGrid w:val="0"/>
              <w:jc w:val="center"/>
              <w:rPr>
                <w:rFonts w:ascii="宋体" w:hAnsi="宋体"/>
                <w:sz w:val="24"/>
                <w:szCs w:val="24"/>
              </w:rPr>
            </w:pPr>
            <w:r>
              <w:rPr>
                <w:rFonts w:hint="eastAsia" w:ascii="宋体" w:hAnsi="宋体"/>
                <w:sz w:val="24"/>
                <w:szCs w:val="24"/>
              </w:rPr>
              <w:t>评标价＝投标总报价×(1-2%)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82" w:type="dxa"/>
            <w:gridSpan w:val="4"/>
            <w:vAlign w:val="center"/>
          </w:tcPr>
          <w:p>
            <w:pPr>
              <w:snapToGrid w:val="0"/>
              <w:rPr>
                <w:rFonts w:ascii="宋体" w:hAnsi="宋体"/>
                <w:b/>
                <w:sz w:val="21"/>
                <w:szCs w:val="21"/>
              </w:rPr>
            </w:pPr>
            <w:r>
              <w:rPr>
                <w:rFonts w:hint="eastAsia" w:ascii="宋体" w:hAnsi="宋体"/>
                <w:sz w:val="21"/>
                <w:szCs w:val="21"/>
              </w:rPr>
              <w:t>注：</w:t>
            </w:r>
            <w:r>
              <w:rPr>
                <w:rFonts w:hint="eastAsia" w:ascii="宋体" w:hAnsi="宋体"/>
                <w:b/>
                <w:sz w:val="21"/>
                <w:szCs w:val="21"/>
              </w:rPr>
              <w:t>（1）上述评标价仅用于计算价格评分，中标金额以实际投标价为准。</w:t>
            </w:r>
          </w:p>
          <w:p>
            <w:pPr>
              <w:widowControl/>
              <w:ind w:firstLine="316" w:firstLineChars="150"/>
              <w:jc w:val="left"/>
              <w:rPr>
                <w:rFonts w:ascii="宋体" w:hAnsi="宋体"/>
                <w:b/>
                <w:sz w:val="21"/>
                <w:szCs w:val="21"/>
              </w:rPr>
            </w:pPr>
            <w:r>
              <w:rPr>
                <w:rFonts w:hint="eastAsia" w:ascii="宋体" w:hAnsi="宋体"/>
                <w:b/>
                <w:sz w:val="21"/>
                <w:szCs w:val="21"/>
              </w:rPr>
              <w:t>（2）小型、微型企业是指供应商及其所投核心设备的制造商均为小型、微型企业。（如实填写后附《政府采购政策情况表》）</w:t>
            </w:r>
          </w:p>
          <w:p>
            <w:pPr>
              <w:widowControl/>
              <w:ind w:firstLine="316" w:firstLineChars="150"/>
              <w:jc w:val="left"/>
              <w:rPr>
                <w:rFonts w:ascii="宋体" w:hAnsi="宋体"/>
                <w:sz w:val="24"/>
                <w:szCs w:val="24"/>
              </w:rPr>
            </w:pPr>
            <w:r>
              <w:rPr>
                <w:rFonts w:hint="eastAsia" w:ascii="宋体" w:hAnsi="宋体"/>
                <w:b/>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2.价格扣除相关要求。</w:t>
      </w:r>
    </w:p>
    <w:p>
      <w:pPr>
        <w:widowControl/>
        <w:spacing w:line="360" w:lineRule="auto"/>
        <w:ind w:firstLine="480" w:firstLineChars="200"/>
        <w:jc w:val="left"/>
        <w:rPr>
          <w:rFonts w:ascii="宋体" w:hAnsi="宋体"/>
          <w:sz w:val="24"/>
          <w:szCs w:val="24"/>
        </w:rPr>
      </w:pPr>
      <w:r>
        <w:rPr>
          <w:rFonts w:hint="eastAsia" w:ascii="宋体" w:hAnsi="宋体"/>
          <w:sz w:val="24"/>
          <w:szCs w:val="24"/>
        </w:rPr>
        <w:t>所称小型和微型企业应当同时符合以下条件：</w:t>
      </w:r>
    </w:p>
    <w:p>
      <w:pPr>
        <w:spacing w:line="360" w:lineRule="auto"/>
        <w:ind w:firstLine="360" w:firstLineChars="150"/>
        <w:rPr>
          <w:rFonts w:ascii="宋体" w:hAnsi="宋体"/>
          <w:sz w:val="24"/>
          <w:szCs w:val="24"/>
        </w:rPr>
      </w:pPr>
      <w:r>
        <w:rPr>
          <w:rFonts w:hint="eastAsia" w:ascii="宋体" w:hAnsi="宋体"/>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rFonts w:ascii="宋体" w:hAnsi="宋体"/>
          <w:sz w:val="24"/>
          <w:szCs w:val="24"/>
        </w:rPr>
      </w:pPr>
      <w:r>
        <w:rPr>
          <w:rFonts w:hint="eastAsia" w:ascii="宋体" w:hAnsi="宋体"/>
          <w:sz w:val="24"/>
          <w:szCs w:val="24"/>
        </w:rPr>
        <w:t>提供本企业制造的货物、承担的工程或者服务，或者提供其他中小企业制造的货物。</w:t>
      </w:r>
      <w:bookmarkStart w:id="117" w:name="OLE_LINK1"/>
      <w:bookmarkStart w:id="118" w:name="OLE_LINK9"/>
      <w:r>
        <w:rPr>
          <w:rFonts w:hint="eastAsia" w:ascii="宋体" w:hAnsi="宋体"/>
          <w:sz w:val="24"/>
          <w:szCs w:val="24"/>
        </w:rPr>
        <w:t>本项所称货物不包括使用大型企业注册商标的货物。</w:t>
      </w:r>
      <w:bookmarkEnd w:id="117"/>
      <w:bookmarkEnd w:id="118"/>
      <w:r>
        <w:rPr>
          <w:rFonts w:hint="eastAsia" w:ascii="宋体" w:hAnsi="宋体"/>
          <w:sz w:val="24"/>
          <w:szCs w:val="24"/>
        </w:rPr>
        <w:t>小型、微型企业提供中型企业制造的货物的，视同为中型企业。</w:t>
      </w:r>
    </w:p>
    <w:p>
      <w:pPr>
        <w:widowControl/>
        <w:spacing w:line="360" w:lineRule="auto"/>
        <w:ind w:firstLine="480" w:firstLineChars="200"/>
        <w:jc w:val="left"/>
        <w:rPr>
          <w:rFonts w:ascii="宋体" w:hAnsi="宋体"/>
          <w:sz w:val="24"/>
          <w:szCs w:val="24"/>
        </w:rPr>
      </w:pPr>
      <w:r>
        <w:rPr>
          <w:rFonts w:hint="eastAsia" w:ascii="宋体" w:hAnsi="宋体"/>
          <w:sz w:val="24"/>
          <w:szCs w:val="24"/>
        </w:rPr>
        <w:t>（2）小微企业以供应商填写的《中小企业声明函》为判定标准；监狱企业须供应商提供由监狱管理局、戒毒管理局（含新疆生产建设兵团）出具的属于监狱企业的证明文件为判定标准；残疾人福利性单位以供应商填写的</w:t>
      </w:r>
      <w:bookmarkStart w:id="119" w:name="OLE_LINK14"/>
      <w:bookmarkStart w:id="120" w:name="OLE_LINK13"/>
      <w:r>
        <w:rPr>
          <w:rFonts w:hint="eastAsia" w:ascii="宋体" w:hAnsi="宋体"/>
          <w:sz w:val="24"/>
          <w:szCs w:val="24"/>
        </w:rPr>
        <w:t>《残疾人福利性单位声明函》</w:t>
      </w:r>
      <w:bookmarkEnd w:id="119"/>
      <w:bookmarkEnd w:id="120"/>
      <w:r>
        <w:rPr>
          <w:rFonts w:hint="eastAsia" w:ascii="宋体" w:hAnsi="宋体"/>
          <w:sz w:val="24"/>
          <w:szCs w:val="24"/>
        </w:rPr>
        <w:t>为判定标准，否则不认定价格扣除。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（3）提供供应商的《中小企业声明函》、《残疾人福利性单位声明函》（格式后附，不可修改），未提供、未盖章的不予价格扣除。</w:t>
      </w:r>
    </w:p>
    <w:p>
      <w:pPr>
        <w:spacing w:line="360" w:lineRule="auto"/>
        <w:ind w:firstLine="480" w:firstLineChars="200"/>
        <w:rPr>
          <w:rFonts w:ascii="宋体" w:hAnsi="宋体"/>
          <w:sz w:val="24"/>
          <w:szCs w:val="24"/>
        </w:rPr>
      </w:pPr>
      <w:r>
        <w:rPr>
          <w:rFonts w:hint="eastAsia" w:ascii="宋体" w:hAnsi="宋体"/>
          <w:sz w:val="24"/>
          <w:szCs w:val="24"/>
        </w:rPr>
        <w:t>（4）提供声明函不实或在政府采购活动中有违法违规行为的，取消其中标资格，并严格按照相关法律法规处理。</w:t>
      </w:r>
    </w:p>
    <w:p>
      <w:pPr>
        <w:spacing w:line="360" w:lineRule="auto"/>
        <w:ind w:firstLine="600" w:firstLineChars="250"/>
        <w:rPr>
          <w:rFonts w:ascii="宋体" w:hAnsi="宋体"/>
          <w:sz w:val="24"/>
          <w:szCs w:val="24"/>
        </w:rPr>
      </w:pPr>
      <w:r>
        <w:rPr>
          <w:rFonts w:ascii="宋体" w:hAnsi="宋体"/>
          <w:sz w:val="24"/>
          <w:szCs w:val="24"/>
        </w:rPr>
        <w:br w:type="page"/>
      </w:r>
    </w:p>
    <w:p>
      <w:pPr>
        <w:spacing w:line="360" w:lineRule="auto"/>
        <w:rPr>
          <w:rFonts w:ascii="宋体" w:hAnsi="宋体"/>
          <w:b/>
          <w:sz w:val="24"/>
          <w:szCs w:val="24"/>
          <w:lang w:val="zh-CN"/>
        </w:rPr>
      </w:pPr>
      <w:r>
        <w:rPr>
          <w:rFonts w:hint="eastAsia" w:ascii="宋体" w:hAnsi="宋体" w:cs="宋体"/>
          <w:b/>
          <w:color w:val="000000"/>
          <w:kern w:val="0"/>
          <w:sz w:val="24"/>
          <w:szCs w:val="24"/>
        </w:rPr>
        <w:t>表一初审表：</w:t>
      </w:r>
    </w:p>
    <w:tbl>
      <w:tblPr>
        <w:tblStyle w:val="26"/>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457" w:type="dxa"/>
            <w:vMerge w:val="restart"/>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资格性检查</w:t>
            </w:r>
          </w:p>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报名及保证金缴纳情况</w:t>
            </w:r>
          </w:p>
        </w:tc>
        <w:tc>
          <w:tcPr>
            <w:tcW w:w="6843" w:type="dxa"/>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按要求进行网上报名、进行保证金缴纳。（审查汇款凭证）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具有独立承担民事责任的能力</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审查有效的营业执照或事业单位法人证书或执业许可证或自然人的身份证明。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具有良好的商业信誉和健全的财务会计制度</w:t>
            </w:r>
          </w:p>
        </w:tc>
        <w:tc>
          <w:tcPr>
            <w:tcW w:w="684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1.供应商需提供由“征信中心网”（https://ipcrs.pbccrc.org.cn/）查询的信用报告。</w:t>
            </w:r>
          </w:p>
          <w:p>
            <w:pPr>
              <w:adjustRightInd w:val="0"/>
              <w:snapToGrid w:val="0"/>
              <w:jc w:val="left"/>
              <w:rPr>
                <w:rFonts w:ascii="宋体" w:hAnsi="宋体" w:cs="宋体"/>
                <w:kern w:val="0"/>
                <w:sz w:val="24"/>
                <w:szCs w:val="24"/>
              </w:rPr>
            </w:pPr>
            <w:r>
              <w:rPr>
                <w:rFonts w:hint="eastAsia" w:ascii="宋体" w:hAnsi="宋体"/>
                <w:sz w:val="24"/>
                <w:szCs w:val="24"/>
              </w:rPr>
              <w:t>2.供应商是企业或个体经营户的需带公司法人身份证及公司营业执照和公章去项目所在地或当地中国人民银行出具信用报告。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有依法缴纳税收的良好记录</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1.201</w:t>
            </w:r>
            <w:r>
              <w:rPr>
                <w:rFonts w:hint="eastAsia" w:ascii="宋体" w:hAnsi="宋体" w:cs="宋体"/>
                <w:kern w:val="0"/>
                <w:sz w:val="24"/>
                <w:szCs w:val="24"/>
                <w:lang w:val="en-US" w:eastAsia="zh-CN"/>
              </w:rPr>
              <w:t>9</w:t>
            </w:r>
            <w:r>
              <w:rPr>
                <w:rFonts w:hint="eastAsia" w:ascii="宋体" w:hAnsi="宋体" w:cs="宋体"/>
                <w:kern w:val="0"/>
                <w:sz w:val="24"/>
                <w:szCs w:val="24"/>
              </w:rPr>
              <w:t>年</w:t>
            </w:r>
            <w:r>
              <w:rPr>
                <w:rFonts w:hint="eastAsia" w:ascii="宋体" w:hAnsi="宋体" w:cs="宋体"/>
                <w:kern w:val="0"/>
                <w:sz w:val="24"/>
                <w:szCs w:val="24"/>
                <w:lang w:val="en-US" w:eastAsia="zh-CN"/>
              </w:rPr>
              <w:t>1</w:t>
            </w:r>
            <w:r>
              <w:rPr>
                <w:rFonts w:hint="eastAsia" w:ascii="宋体" w:hAnsi="宋体" w:cs="宋体"/>
                <w:kern w:val="0"/>
                <w:sz w:val="24"/>
                <w:szCs w:val="24"/>
              </w:rPr>
              <w:t>月至开标当日的任意一个月缴纳增值税或营业税或企业所得税的凭据。</w:t>
            </w:r>
          </w:p>
          <w:p>
            <w:pPr>
              <w:adjustRightInd w:val="0"/>
              <w:snapToGrid w:val="0"/>
              <w:jc w:val="left"/>
              <w:rPr>
                <w:rFonts w:ascii="宋体" w:hAnsi="宋体" w:cs="宋体"/>
                <w:kern w:val="0"/>
                <w:sz w:val="24"/>
                <w:szCs w:val="24"/>
              </w:rPr>
            </w:pPr>
            <w:r>
              <w:rPr>
                <w:rFonts w:hint="eastAsia" w:ascii="宋体" w:hAnsi="宋体" w:cs="宋体"/>
                <w:kern w:val="0"/>
                <w:sz w:val="24"/>
                <w:szCs w:val="24"/>
              </w:rPr>
              <w:t>2.201</w:t>
            </w:r>
            <w:r>
              <w:rPr>
                <w:rFonts w:hint="eastAsia" w:ascii="宋体" w:hAnsi="宋体" w:cs="宋体"/>
                <w:kern w:val="0"/>
                <w:sz w:val="24"/>
                <w:szCs w:val="24"/>
                <w:lang w:val="en-US" w:eastAsia="zh-CN"/>
              </w:rPr>
              <w:t>9</w:t>
            </w:r>
            <w:r>
              <w:rPr>
                <w:rFonts w:hint="eastAsia" w:ascii="宋体" w:hAnsi="宋体" w:cs="宋体"/>
                <w:kern w:val="0"/>
                <w:sz w:val="24"/>
                <w:szCs w:val="24"/>
              </w:rPr>
              <w:t>年</w:t>
            </w:r>
            <w:r>
              <w:rPr>
                <w:rFonts w:hint="eastAsia" w:ascii="宋体" w:hAnsi="宋体" w:cs="宋体"/>
                <w:kern w:val="0"/>
                <w:sz w:val="24"/>
                <w:szCs w:val="24"/>
                <w:lang w:val="en-US" w:eastAsia="zh-CN"/>
              </w:rPr>
              <w:t>1</w:t>
            </w:r>
            <w:r>
              <w:rPr>
                <w:rFonts w:hint="eastAsia" w:ascii="宋体" w:hAnsi="宋体" w:cs="宋体"/>
                <w:kern w:val="0"/>
                <w:sz w:val="24"/>
                <w:szCs w:val="24"/>
              </w:rPr>
              <w:t>月至开标当日的任意一个月缴纳社会保险的凭据（专用收据或社保缴纳清单）</w:t>
            </w:r>
          </w:p>
          <w:p>
            <w:pPr>
              <w:adjustRightInd w:val="0"/>
              <w:snapToGrid w:val="0"/>
              <w:jc w:val="left"/>
              <w:rPr>
                <w:rFonts w:ascii="宋体" w:hAnsi="宋体" w:cs="宋体"/>
                <w:kern w:val="0"/>
                <w:sz w:val="24"/>
                <w:szCs w:val="24"/>
              </w:rPr>
            </w:pPr>
            <w:r>
              <w:rPr>
                <w:rFonts w:hint="eastAsia" w:ascii="宋体" w:hAnsi="宋体" w:cs="宋体"/>
                <w:kern w:val="0"/>
                <w:sz w:val="24"/>
                <w:szCs w:val="24"/>
              </w:rPr>
              <w:t>依法免税和无需缴纳社会保险的必须提供相关主管部门出具的证明。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具有履行合同所必须的设备和专业技术能力</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经营范围符合采购需求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参加采购活动前3年内，在经营活动中没有重大违法记录</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ascii="宋体" w:hAnsi="宋体" w:cs="宋体"/>
                <w:kern w:val="0"/>
                <w:sz w:val="24"/>
                <w:szCs w:val="24"/>
              </w:rPr>
              <w:t>1.审查（20</w:t>
            </w:r>
            <w:r>
              <w:rPr>
                <w:rFonts w:hint="eastAsia" w:ascii="宋体" w:hAnsi="宋体" w:cs="宋体"/>
                <w:kern w:val="0"/>
                <w:sz w:val="24"/>
                <w:szCs w:val="24"/>
              </w:rPr>
              <w:t>1</w:t>
            </w:r>
            <w:r>
              <w:rPr>
                <w:rFonts w:hint="eastAsia" w:ascii="宋体" w:hAnsi="宋体" w:cs="宋体"/>
                <w:kern w:val="0"/>
                <w:sz w:val="24"/>
                <w:szCs w:val="24"/>
                <w:lang w:val="en-US" w:eastAsia="zh-CN"/>
              </w:rPr>
              <w:t>8</w:t>
            </w:r>
            <w:r>
              <w:rPr>
                <w:rFonts w:ascii="宋体" w:hAnsi="宋体" w:cs="宋体"/>
                <w:kern w:val="0"/>
                <w:sz w:val="24"/>
                <w:szCs w:val="24"/>
              </w:rPr>
              <w:t>年至20</w:t>
            </w:r>
            <w:r>
              <w:rPr>
                <w:rFonts w:hint="eastAsia" w:ascii="宋体" w:hAnsi="宋体" w:cs="宋体"/>
                <w:kern w:val="0"/>
                <w:sz w:val="24"/>
                <w:szCs w:val="24"/>
              </w:rPr>
              <w:t>20</w:t>
            </w:r>
            <w:r>
              <w:rPr>
                <w:rFonts w:ascii="宋体" w:hAnsi="宋体" w:cs="宋体"/>
                <w:kern w:val="0"/>
                <w:sz w:val="24"/>
                <w:szCs w:val="24"/>
              </w:rPr>
              <w:t>年）供应商书面声明函；</w:t>
            </w:r>
            <w:r>
              <w:rPr>
                <w:rFonts w:ascii="宋体" w:hAnsi="宋体" w:cs="宋体"/>
                <w:kern w:val="0"/>
                <w:sz w:val="24"/>
                <w:szCs w:val="24"/>
              </w:rPr>
              <w:br w:type="textWrapping"/>
            </w:r>
            <w:r>
              <w:rPr>
                <w:rFonts w:ascii="宋体" w:hAnsi="宋体" w:cs="宋体"/>
                <w:kern w:val="0"/>
                <w:sz w:val="24"/>
                <w:szCs w:val="24"/>
              </w:rPr>
              <w:t>2.供应商须在投标文件中提供企业工商注册所在地或项目所在地信用管理中心出具的《信用信息查询结果》且在有效期范围内。</w:t>
            </w:r>
            <w:r>
              <w:rPr>
                <w:rFonts w:ascii="宋体" w:hAnsi="宋体" w:cs="宋体"/>
                <w:kern w:val="0"/>
                <w:sz w:val="24"/>
                <w:szCs w:val="24"/>
              </w:rPr>
              <w:br w:type="textWrapping"/>
            </w:r>
            <w:r>
              <w:rPr>
                <w:rFonts w:ascii="宋体" w:hAnsi="宋体" w:cs="宋体"/>
                <w:kern w:val="0"/>
                <w:sz w:val="24"/>
                <w:szCs w:val="24"/>
              </w:rPr>
              <w:t>3.“中国政府采购网”（</w:t>
            </w:r>
            <w:r>
              <w:rPr>
                <w:rFonts w:ascii="宋体" w:hAnsi="宋体" w:cs="宋体"/>
                <w:kern w:val="0"/>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cs="宋体"/>
                <w:kern w:val="0"/>
                <w:sz w:val="24"/>
                <w:szCs w:val="24"/>
              </w:rPr>
              <w:t>www.ccgp.gov.cn）未被列入有关违法违规纪录（网上查询结果截图加盖投标企业公章，须在投标文件中提供）。</w:t>
            </w:r>
            <w:r>
              <w:rPr>
                <w:rFonts w:ascii="宋体" w:hAnsi="宋体" w:cs="宋体"/>
                <w:kern w:val="0"/>
                <w:sz w:val="24"/>
                <w:szCs w:val="24"/>
              </w:rPr>
              <w:br w:type="textWrapping"/>
            </w:r>
            <w:r>
              <w:rPr>
                <w:rFonts w:ascii="宋体" w:hAnsi="宋体" w:cs="宋体"/>
                <w:kern w:val="0"/>
                <w:sz w:val="24"/>
                <w:szCs w:val="24"/>
              </w:rPr>
              <w:t>注：1.企业提供的《信用查询结果》和中国政府采购网中有失信记录的企业，如已处理失信情况则需要提供已处理证明材料，否则评标委员会有权将否决其投标资格。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457" w:type="dxa"/>
            <w:vMerge w:val="continue"/>
            <w:tcBorders>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其他要求</w:t>
            </w:r>
          </w:p>
        </w:tc>
        <w:tc>
          <w:tcPr>
            <w:tcW w:w="6843" w:type="dxa"/>
            <w:tcBorders>
              <w:top w:val="single" w:color="auto" w:sz="4" w:space="0"/>
              <w:left w:val="single" w:color="auto" w:sz="4" w:space="0"/>
              <w:bottom w:val="single" w:color="auto" w:sz="4" w:space="0"/>
              <w:right w:val="single" w:color="auto" w:sz="4" w:space="0"/>
            </w:tcBorders>
            <w:vAlign w:val="center"/>
          </w:tcPr>
          <w:p>
            <w:pPr>
              <w:pStyle w:val="23"/>
              <w:spacing w:line="240" w:lineRule="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1.供应商须同时具备水利行业丙级（含丙级）以上企业资质和农林行业专业乙级（含乙级）以上企业资质，并在人员、设备、资金等方面具有相应的能力；</w:t>
            </w:r>
          </w:p>
          <w:p>
            <w:pPr>
              <w:adjustRightInd w:val="0"/>
              <w:snapToGrid w:val="0"/>
              <w:jc w:val="left"/>
              <w:rPr>
                <w:rFonts w:ascii="宋体" w:hAnsi="宋体" w:cs="宋体"/>
                <w:kern w:val="0"/>
                <w:sz w:val="24"/>
                <w:szCs w:val="24"/>
              </w:rPr>
            </w:pPr>
            <w:r>
              <w:rPr>
                <w:rFonts w:hint="eastAsia" w:ascii="宋体" w:hAnsi="宋体"/>
                <w:color w:val="000000" w:themeColor="text1"/>
                <w:sz w:val="24"/>
                <w:szCs w:val="24"/>
                <w:lang w:val="en-US" w:eastAsia="zh-CN"/>
                <w14:textFill>
                  <w14:solidFill>
                    <w14:schemeClr w14:val="tx1"/>
                  </w14:solidFill>
                </w14:textFill>
              </w:rPr>
              <w:t>2.拟派项目负责人须具备水利或农林相关专业中级及以上技术职称；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restart"/>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符合性检查</w:t>
            </w:r>
          </w:p>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投标承诺书及法人授权委托书</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符合招标文件要求。（格式、填写要求、签署、盖章、委托人身份等）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开标一览表</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符合招标文件要求。（格式、填写要求、签署、盖章等）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投标文件规范性、符合性</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投标文件的编制、密封、装订、签署、盖章、涂改、删除、插字、公章使用等符合招标文件要求；投标文件的格式、文字、目录、页码等符合招标文件要求或对投标无实质性影响。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投标有效期</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主要商务条款</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满足招标文件关于交付使用时间、质保期、付款方式要求。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附加条件</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投标文件中不含采购人不能接受的附加条件。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联合体投标</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本项目不接受联合体投标。（如要求联合体投标，符合本招标文件对联合体投标的相关要求）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需求</w:t>
            </w:r>
          </w:p>
        </w:tc>
        <w:tc>
          <w:tcPr>
            <w:tcW w:w="2913" w:type="dxa"/>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服务需求内容</w:t>
            </w:r>
          </w:p>
        </w:tc>
        <w:tc>
          <w:tcPr>
            <w:tcW w:w="6843" w:type="dxa"/>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服务内容明确（逐一对应）并实质性满足磋商文件要求。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57" w:type="dxa"/>
            <w:vMerge w:val="restart"/>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报价</w:t>
            </w:r>
          </w:p>
        </w:tc>
        <w:tc>
          <w:tcPr>
            <w:tcW w:w="2913" w:type="dxa"/>
            <w:vMerge w:val="restart"/>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投标报价</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未超过采购预算、符合报价明细表要求。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57" w:type="dxa"/>
            <w:tcBorders>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备注</w:t>
            </w:r>
          </w:p>
        </w:tc>
        <w:tc>
          <w:tcPr>
            <w:tcW w:w="2913" w:type="dxa"/>
            <w:tcBorders>
              <w:left w:val="single" w:color="auto" w:sz="4" w:space="0"/>
              <w:bottom w:val="single" w:color="auto" w:sz="4" w:space="0"/>
              <w:right w:val="single" w:color="auto" w:sz="4" w:space="0"/>
            </w:tcBorders>
            <w:vAlign w:val="center"/>
          </w:tcPr>
          <w:p>
            <w:pPr>
              <w:jc w:val="left"/>
              <w:rPr>
                <w:rFonts w:ascii="宋体" w:hAnsi="宋体" w:cs="宋体"/>
                <w:kern w:val="0"/>
                <w:sz w:val="24"/>
                <w:szCs w:val="24"/>
              </w:rPr>
            </w:pPr>
            <w:r>
              <w:rPr>
                <w:rFonts w:hint="eastAsia" w:ascii="宋体" w:hAnsi="宋体"/>
                <w:sz w:val="24"/>
                <w:szCs w:val="24"/>
              </w:rPr>
              <w:t>特别说明</w:t>
            </w:r>
          </w:p>
        </w:tc>
        <w:tc>
          <w:tcPr>
            <w:tcW w:w="6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bCs/>
                <w:kern w:val="36"/>
                <w:sz w:val="24"/>
                <w:szCs w:val="24"/>
              </w:rPr>
              <w:t>说明：1.供应商提供的《信用查询结果》、中国政府采购网查询截图以及</w:t>
            </w:r>
            <w:r>
              <w:rPr>
                <w:rFonts w:hint="eastAsia" w:ascii="宋体" w:hAnsi="宋体"/>
                <w:sz w:val="24"/>
                <w:szCs w:val="24"/>
              </w:rPr>
              <w:t>“征信中心网”查询的信用报告</w:t>
            </w:r>
            <w:r>
              <w:rPr>
                <w:rFonts w:hint="eastAsia" w:ascii="宋体" w:hAnsi="宋体" w:cs="宋体"/>
                <w:bCs/>
                <w:kern w:val="36"/>
                <w:sz w:val="24"/>
                <w:szCs w:val="24"/>
              </w:rPr>
              <w:t>中，如有失信记录的，已处理失信情况则需要提供已处理证明材料；2.以上要求提供的资料，供应商应在响应文件中提供，采购文件中要求提供原件的应提供原件，其他的提供复印件（加盖投标单位公章，如是自然人无公章的需本人签字确认），如有不提供、弄虚作假等行为的，评标委员会有权否决其投标资格。</w:t>
            </w:r>
          </w:p>
        </w:tc>
      </w:tr>
    </w:tbl>
    <w:p>
      <w:pPr>
        <w:adjustRightInd w:val="0"/>
        <w:snapToGrid w:val="0"/>
        <w:jc w:val="left"/>
        <w:rPr>
          <w:rFonts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spacing w:line="360" w:lineRule="auto"/>
        <w:rPr>
          <w:rFonts w:hint="eastAsia" w:ascii="宋体" w:hAnsi="宋体" w:cs="宋体"/>
          <w:b/>
          <w:color w:val="000000"/>
          <w:kern w:val="0"/>
          <w:sz w:val="24"/>
          <w:szCs w:val="24"/>
        </w:rPr>
      </w:pPr>
    </w:p>
    <w:p>
      <w:pPr>
        <w:spacing w:line="360" w:lineRule="auto"/>
        <w:rPr>
          <w:rFonts w:hint="eastAsia" w:ascii="宋体" w:hAnsi="宋体"/>
          <w:sz w:val="24"/>
          <w:szCs w:val="24"/>
          <w:highlight w:val="yellow"/>
        </w:rPr>
      </w:pPr>
      <w:r>
        <w:rPr>
          <w:rFonts w:hint="eastAsia" w:ascii="宋体" w:hAnsi="宋体" w:cs="宋体"/>
          <w:b/>
          <w:color w:val="000000"/>
          <w:kern w:val="0"/>
          <w:sz w:val="24"/>
          <w:szCs w:val="24"/>
        </w:rPr>
        <w:t>表二详细评审表：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239"/>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sz w:val="24"/>
                <w:szCs w:val="24"/>
              </w:rPr>
            </w:pPr>
            <w:r>
              <w:rPr>
                <w:rFonts w:hint="eastAsia" w:ascii="宋体" w:hAnsi="宋体"/>
                <w:color w:val="000000"/>
                <w:sz w:val="24"/>
                <w:szCs w:val="24"/>
              </w:rPr>
              <w:t>评审因素</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sz w:val="24"/>
                <w:szCs w:val="24"/>
              </w:rPr>
            </w:pPr>
            <w:r>
              <w:rPr>
                <w:rFonts w:hint="eastAsia" w:ascii="宋体" w:hAnsi="宋体"/>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3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sz w:val="24"/>
                <w:szCs w:val="24"/>
              </w:rPr>
            </w:pPr>
            <w:r>
              <w:rPr>
                <w:rFonts w:hint="eastAsia" w:ascii="宋体" w:hAnsi="宋体"/>
                <w:color w:val="000000"/>
                <w:sz w:val="24"/>
                <w:szCs w:val="24"/>
              </w:rPr>
              <w:t>分值构成</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sz w:val="24"/>
                <w:szCs w:val="24"/>
              </w:rPr>
            </w:pPr>
            <w:r>
              <w:rPr>
                <w:rFonts w:hint="eastAsia" w:ascii="宋体" w:hAnsi="宋体"/>
                <w:color w:val="000000"/>
                <w:sz w:val="24"/>
                <w:szCs w:val="24"/>
              </w:rPr>
              <w:t xml:space="preserve">1、报价得分 </w:t>
            </w:r>
            <w:r>
              <w:rPr>
                <w:rFonts w:hint="eastAsia" w:ascii="宋体" w:hAnsi="宋体"/>
                <w:color w:val="000000"/>
                <w:sz w:val="24"/>
                <w:szCs w:val="24"/>
                <w:lang w:val="en-US" w:eastAsia="zh-CN"/>
              </w:rPr>
              <w:t>20</w:t>
            </w:r>
            <w:r>
              <w:rPr>
                <w:rFonts w:hint="eastAsia" w:ascii="宋体" w:hAnsi="宋体"/>
                <w:color w:val="000000"/>
                <w:sz w:val="24"/>
                <w:szCs w:val="24"/>
              </w:rPr>
              <w:t xml:space="preserve">分 </w:t>
            </w:r>
          </w:p>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sz w:val="24"/>
                <w:szCs w:val="24"/>
              </w:rPr>
            </w:pPr>
            <w:r>
              <w:rPr>
                <w:rFonts w:hint="eastAsia" w:ascii="宋体" w:hAnsi="宋体"/>
                <w:color w:val="000000"/>
                <w:sz w:val="24"/>
                <w:szCs w:val="24"/>
              </w:rPr>
              <w:t xml:space="preserve">2、商务部分 </w:t>
            </w:r>
            <w:r>
              <w:rPr>
                <w:rFonts w:hint="eastAsia" w:ascii="宋体" w:hAnsi="宋体"/>
                <w:color w:val="000000"/>
                <w:sz w:val="24"/>
                <w:szCs w:val="24"/>
                <w:lang w:val="en-US" w:eastAsia="zh-CN"/>
              </w:rPr>
              <w:t>20</w:t>
            </w:r>
            <w:r>
              <w:rPr>
                <w:rFonts w:hint="eastAsia" w:ascii="宋体" w:hAnsi="宋体"/>
                <w:color w:val="000000"/>
                <w:sz w:val="24"/>
                <w:szCs w:val="24"/>
              </w:rPr>
              <w:t>分</w:t>
            </w:r>
          </w:p>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sz w:val="24"/>
                <w:szCs w:val="24"/>
              </w:rPr>
            </w:pPr>
            <w:r>
              <w:rPr>
                <w:rFonts w:hint="eastAsia" w:ascii="宋体" w:hAnsi="宋体"/>
                <w:color w:val="000000"/>
                <w:sz w:val="24"/>
                <w:szCs w:val="24"/>
              </w:rPr>
              <w:t>3、技术部分</w:t>
            </w:r>
            <w:r>
              <w:rPr>
                <w:rFonts w:hint="eastAsia" w:ascii="宋体" w:hAnsi="宋体"/>
                <w:color w:val="000000"/>
                <w:sz w:val="24"/>
                <w:szCs w:val="24"/>
                <w:lang w:val="en-US" w:eastAsia="zh-CN"/>
              </w:rPr>
              <w:t xml:space="preserve"> 60</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13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olor w:val="000000"/>
                <w:sz w:val="24"/>
                <w:szCs w:val="24"/>
                <w:lang w:eastAsia="zh-CN"/>
              </w:rPr>
            </w:pPr>
            <w:r>
              <w:rPr>
                <w:rFonts w:hint="eastAsia" w:ascii="宋体" w:hAnsi="宋体"/>
                <w:color w:val="000000"/>
                <w:sz w:val="24"/>
                <w:szCs w:val="24"/>
              </w:rPr>
              <w:t>投标报价</w:t>
            </w:r>
            <w:r>
              <w:rPr>
                <w:rFonts w:hint="eastAsia" w:ascii="宋体" w:hAnsi="宋体"/>
                <w:color w:val="000000"/>
                <w:sz w:val="24"/>
                <w:szCs w:val="24"/>
                <w:lang w:eastAsia="zh-CN"/>
              </w:rPr>
              <w:t>（</w:t>
            </w:r>
            <w:r>
              <w:rPr>
                <w:rFonts w:hint="eastAsia" w:ascii="宋体" w:hAnsi="宋体"/>
                <w:color w:val="000000"/>
                <w:sz w:val="24"/>
                <w:szCs w:val="24"/>
                <w:lang w:val="en-US" w:eastAsia="zh-CN"/>
              </w:rPr>
              <w:t>20分</w:t>
            </w:r>
            <w:r>
              <w:rPr>
                <w:rFonts w:hint="eastAsia" w:ascii="宋体" w:hAnsi="宋体"/>
                <w:color w:val="000000"/>
                <w:sz w:val="24"/>
                <w:szCs w:val="24"/>
                <w:lang w:eastAsia="zh-CN"/>
              </w:rPr>
              <w:t>）</w:t>
            </w:r>
          </w:p>
        </w:tc>
        <w:tc>
          <w:tcPr>
            <w:tcW w:w="2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sz w:val="24"/>
                <w:szCs w:val="24"/>
              </w:rPr>
            </w:pPr>
            <w:r>
              <w:rPr>
                <w:rFonts w:hint="eastAsia" w:ascii="宋体" w:hAnsi="宋体"/>
                <w:color w:val="000000"/>
                <w:sz w:val="24"/>
                <w:szCs w:val="24"/>
              </w:rPr>
              <w:t>评标基准价确定方法</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sz w:val="24"/>
                <w:szCs w:val="24"/>
              </w:rPr>
            </w:pPr>
            <w:r>
              <w:rPr>
                <w:rFonts w:hint="eastAsia" w:ascii="宋体" w:hAnsi="宋体"/>
                <w:color w:val="0C0C0C"/>
                <w:sz w:val="24"/>
                <w:szCs w:val="24"/>
              </w:rPr>
              <w:t>满足招标文件要求通过初步评审的且投标报价最低的为评标基准价。符合小型、微型企业等规定进行价格调整的，以调整后的价格计算评标基准价和投标报价。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color w:val="000000"/>
                <w:sz w:val="24"/>
                <w:szCs w:val="24"/>
              </w:rPr>
            </w:pPr>
          </w:p>
        </w:tc>
        <w:tc>
          <w:tcPr>
            <w:tcW w:w="2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sz w:val="24"/>
                <w:szCs w:val="24"/>
              </w:rPr>
            </w:pPr>
            <w:r>
              <w:rPr>
                <w:rFonts w:hint="eastAsia" w:ascii="宋体" w:hAnsi="宋体"/>
                <w:color w:val="000000"/>
                <w:sz w:val="24"/>
                <w:szCs w:val="24"/>
              </w:rPr>
              <w:t>投标报价得分（</w:t>
            </w:r>
            <w:r>
              <w:rPr>
                <w:rFonts w:hint="eastAsia" w:ascii="宋体" w:hAnsi="宋体"/>
                <w:color w:val="000000"/>
                <w:sz w:val="24"/>
                <w:szCs w:val="24"/>
                <w:lang w:val="en-US" w:eastAsia="zh-CN"/>
              </w:rPr>
              <w:t>20</w:t>
            </w:r>
            <w:r>
              <w:rPr>
                <w:rFonts w:hint="eastAsia" w:ascii="宋体" w:hAnsi="宋体"/>
                <w:color w:val="000000"/>
                <w:sz w:val="24"/>
                <w:szCs w:val="24"/>
              </w:rPr>
              <w:t>分）</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宋体" w:hAnsi="宋体" w:eastAsia="宋体"/>
                <w:color w:val="000000"/>
                <w:sz w:val="24"/>
                <w:szCs w:val="24"/>
                <w:lang w:val="en-US" w:eastAsia="zh-CN"/>
              </w:rPr>
            </w:pPr>
            <w:r>
              <w:rPr>
                <w:rFonts w:hint="eastAsia" w:ascii="宋体" w:hAnsi="宋体"/>
                <w:color w:val="000000"/>
                <w:sz w:val="24"/>
                <w:szCs w:val="24"/>
              </w:rPr>
              <w:t>投标报价得分＝（评标基准价/投标报价）×</w:t>
            </w:r>
            <w:r>
              <w:rPr>
                <w:rFonts w:hint="eastAsia" w:ascii="宋体" w:hAnsi="宋体"/>
                <w:color w:val="000000"/>
                <w:sz w:val="24"/>
                <w:szCs w:val="24"/>
                <w:lang w:val="en-US" w:eastAsia="zh-CN"/>
              </w:rPr>
              <w:t>20%</w:t>
            </w:r>
            <w:r>
              <w:rPr>
                <w:rFonts w:hint="eastAsia" w:ascii="宋体" w:hAnsi="宋体"/>
                <w:color w:val="000000"/>
                <w:sz w:val="24"/>
                <w:szCs w:val="24"/>
              </w:rPr>
              <w:t>×</w:t>
            </w:r>
            <w:r>
              <w:rPr>
                <w:rFonts w:hint="eastAsia" w:ascii="宋体" w:hAnsi="宋体"/>
                <w:color w:val="00000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olor w:val="000000"/>
                <w:sz w:val="24"/>
                <w:szCs w:val="24"/>
              </w:rPr>
            </w:pPr>
            <w:r>
              <w:rPr>
                <w:rFonts w:hint="eastAsia" w:ascii="宋体" w:hAnsi="宋体"/>
                <w:color w:val="000000"/>
                <w:sz w:val="24"/>
                <w:szCs w:val="24"/>
              </w:rPr>
              <w:t>商</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000000"/>
                <w:sz w:val="24"/>
                <w:szCs w:val="24"/>
              </w:rPr>
            </w:pPr>
            <w:r>
              <w:rPr>
                <w:rFonts w:hint="eastAsia" w:ascii="宋体" w:hAnsi="宋体"/>
                <w:color w:val="000000"/>
                <w:sz w:val="24"/>
                <w:szCs w:val="24"/>
              </w:rPr>
              <w:t>务部分</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olor w:val="000000"/>
                <w:sz w:val="24"/>
                <w:szCs w:val="24"/>
                <w:lang w:eastAsia="zh-CN"/>
              </w:rPr>
            </w:pPr>
            <w:r>
              <w:rPr>
                <w:rFonts w:hint="eastAsia" w:ascii="宋体" w:hAnsi="宋体"/>
                <w:color w:val="000000"/>
                <w:sz w:val="24"/>
                <w:szCs w:val="24"/>
                <w:lang w:eastAsia="zh-CN"/>
              </w:rPr>
              <w:t>（</w:t>
            </w:r>
            <w:r>
              <w:rPr>
                <w:rFonts w:hint="eastAsia" w:ascii="宋体" w:hAnsi="宋体"/>
                <w:color w:val="000000"/>
                <w:sz w:val="24"/>
                <w:szCs w:val="24"/>
                <w:lang w:val="en-US" w:eastAsia="zh-CN"/>
              </w:rPr>
              <w:t>20分</w:t>
            </w:r>
            <w:r>
              <w:rPr>
                <w:rFonts w:hint="eastAsia" w:ascii="宋体" w:hAnsi="宋体"/>
                <w:color w:val="000000"/>
                <w:sz w:val="24"/>
                <w:szCs w:val="24"/>
                <w:lang w:eastAsia="zh-CN"/>
              </w:rPr>
              <w:t>）</w:t>
            </w:r>
          </w:p>
        </w:tc>
        <w:tc>
          <w:tcPr>
            <w:tcW w:w="223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olor w:val="000000"/>
                <w:sz w:val="24"/>
                <w:szCs w:val="24"/>
                <w:lang w:eastAsia="zh-CN"/>
              </w:rPr>
            </w:pPr>
            <w:r>
              <w:rPr>
                <w:rFonts w:hint="eastAsia" w:ascii="宋体" w:hAnsi="宋体" w:cs="宋体"/>
                <w:b w:val="0"/>
                <w:bCs w:val="0"/>
                <w:color w:val="auto"/>
                <w:sz w:val="24"/>
                <w:szCs w:val="24"/>
                <w:highlight w:val="none"/>
              </w:rPr>
              <w:t>项目</w:t>
            </w:r>
            <w:r>
              <w:rPr>
                <w:rFonts w:hint="eastAsia" w:ascii="宋体" w:hAnsi="宋体" w:cs="宋体"/>
                <w:b w:val="0"/>
                <w:bCs w:val="0"/>
                <w:color w:val="auto"/>
                <w:sz w:val="24"/>
                <w:szCs w:val="24"/>
                <w:highlight w:val="none"/>
                <w:lang w:val="en-US" w:eastAsia="zh-CN"/>
              </w:rPr>
              <w:t>负责人</w:t>
            </w:r>
            <w:r>
              <w:rPr>
                <w:rFonts w:hint="eastAsia" w:ascii="宋体" w:hAnsi="宋体"/>
                <w:color w:val="000000"/>
                <w:sz w:val="24"/>
                <w:szCs w:val="24"/>
                <w:lang w:eastAsia="zh-CN"/>
              </w:rPr>
              <w:t>（</w:t>
            </w:r>
            <w:r>
              <w:rPr>
                <w:rFonts w:hint="eastAsia" w:ascii="宋体" w:hAnsi="宋体"/>
                <w:color w:val="000000"/>
                <w:sz w:val="24"/>
                <w:szCs w:val="24"/>
                <w:lang w:val="en-US" w:eastAsia="zh-CN"/>
              </w:rPr>
              <w:t>3分</w:t>
            </w:r>
            <w:r>
              <w:rPr>
                <w:rFonts w:hint="eastAsia" w:ascii="宋体" w:hAnsi="宋体"/>
                <w:color w:val="000000"/>
                <w:sz w:val="24"/>
                <w:szCs w:val="24"/>
                <w:lang w:eastAsia="zh-CN"/>
              </w:rPr>
              <w:t>）</w:t>
            </w:r>
          </w:p>
        </w:tc>
        <w:tc>
          <w:tcPr>
            <w:tcW w:w="625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具备</w:t>
            </w:r>
            <w:r>
              <w:rPr>
                <w:rFonts w:hint="eastAsia" w:ascii="宋体" w:hAnsi="宋体"/>
                <w:color w:val="000000" w:themeColor="text1"/>
                <w:sz w:val="24"/>
                <w:szCs w:val="24"/>
                <w:lang w:val="en-US" w:eastAsia="zh-CN"/>
                <w14:textFill>
                  <w14:solidFill>
                    <w14:schemeClr w14:val="tx1"/>
                  </w14:solidFill>
                </w14:textFill>
              </w:rPr>
              <w:t>水利或农林相关专业高级（含副高）职称</w:t>
            </w:r>
            <w:r>
              <w:rPr>
                <w:rFonts w:hint="eastAsia" w:ascii="宋体" w:hAnsi="宋体" w:eastAsia="宋体"/>
                <w:color w:val="000000" w:themeColor="text1"/>
                <w:sz w:val="24"/>
                <w:szCs w:val="24"/>
                <w:lang w:val="en-US" w:eastAsia="zh-CN"/>
                <w14:textFill>
                  <w14:solidFill>
                    <w14:schemeClr w14:val="tx1"/>
                  </w14:solidFill>
                </w14:textFill>
              </w:rPr>
              <w:t>证书的得3分；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13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000000"/>
                <w:sz w:val="24"/>
                <w:szCs w:val="24"/>
                <w:lang w:eastAsia="zh-CN"/>
              </w:rPr>
            </w:pPr>
          </w:p>
        </w:tc>
        <w:tc>
          <w:tcPr>
            <w:tcW w:w="2239" w:type="dxa"/>
            <w:tcBorders>
              <w:top w:val="single" w:color="auto" w:sz="4" w:space="0"/>
              <w:left w:val="single" w:color="auto" w:sz="4" w:space="0"/>
              <w:right w:val="single" w:color="auto" w:sz="4" w:space="0"/>
            </w:tcBorders>
            <w:noWrap w:val="0"/>
            <w:vAlign w:val="center"/>
          </w:tcPr>
          <w:p>
            <w:pPr>
              <w:pStyle w:val="23"/>
              <w:spacing w:line="240" w:lineRule="auto"/>
              <w:jc w:val="center"/>
              <w:rPr>
                <w:rFonts w:hint="default"/>
                <w:lang w:val="en-US" w:eastAsia="zh-CN"/>
              </w:rPr>
            </w:pPr>
            <w:r>
              <w:rPr>
                <w:rFonts w:hint="eastAsia" w:ascii="宋体" w:hAnsi="宋体" w:eastAsia="宋体"/>
                <w:color w:val="000000"/>
                <w:sz w:val="24"/>
                <w:szCs w:val="24"/>
                <w:lang w:val="en-US" w:eastAsia="zh-CN"/>
              </w:rPr>
              <w:t>其他项目管理机构人员</w:t>
            </w:r>
            <w:r>
              <w:rPr>
                <w:rFonts w:hint="eastAsia" w:ascii="宋体" w:hAnsi="宋体"/>
                <w:color w:val="000000"/>
                <w:sz w:val="24"/>
                <w:szCs w:val="24"/>
                <w:lang w:val="en-US" w:eastAsia="zh-CN"/>
              </w:rPr>
              <w:t>（6）</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olor w:val="000000"/>
                <w:sz w:val="24"/>
                <w:szCs w:val="24"/>
              </w:rPr>
            </w:pPr>
          </w:p>
        </w:tc>
        <w:tc>
          <w:tcPr>
            <w:tcW w:w="625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每有1人且</w:t>
            </w:r>
            <w:r>
              <w:rPr>
                <w:rFonts w:hint="eastAsia" w:ascii="宋体" w:hAnsi="宋体" w:eastAsia="宋体"/>
                <w:color w:val="000000" w:themeColor="text1"/>
                <w:sz w:val="24"/>
                <w:szCs w:val="24"/>
                <w:lang w:val="en-US" w:eastAsia="zh-CN"/>
                <w14:textFill>
                  <w14:solidFill>
                    <w14:schemeClr w14:val="tx1"/>
                  </w14:solidFill>
                </w14:textFill>
              </w:rPr>
              <w:t>具备</w:t>
            </w:r>
            <w:r>
              <w:rPr>
                <w:rFonts w:hint="eastAsia" w:ascii="宋体" w:hAnsi="宋体"/>
                <w:color w:val="000000" w:themeColor="text1"/>
                <w:sz w:val="24"/>
                <w:szCs w:val="24"/>
                <w:lang w:val="en-US" w:eastAsia="zh-CN"/>
                <w14:textFill>
                  <w14:solidFill>
                    <w14:schemeClr w14:val="tx1"/>
                  </w14:solidFill>
                </w14:textFill>
              </w:rPr>
              <w:t>水利或农林相关专业中级职称</w:t>
            </w:r>
            <w:r>
              <w:rPr>
                <w:rFonts w:hint="eastAsia" w:ascii="宋体" w:hAnsi="宋体" w:eastAsia="宋体"/>
                <w:color w:val="000000" w:themeColor="text1"/>
                <w:sz w:val="24"/>
                <w:szCs w:val="24"/>
                <w:lang w:val="en-US" w:eastAsia="zh-CN"/>
                <w14:textFill>
                  <w14:solidFill>
                    <w14:schemeClr w14:val="tx1"/>
                  </w14:solidFill>
                </w14:textFill>
              </w:rPr>
              <w:t>证书的得</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eastAsia="宋体"/>
                <w:color w:val="000000" w:themeColor="text1"/>
                <w:sz w:val="24"/>
                <w:szCs w:val="24"/>
                <w:lang w:val="en-US" w:eastAsia="zh-CN"/>
                <w14:textFill>
                  <w14:solidFill>
                    <w14:schemeClr w14:val="tx1"/>
                  </w14:solidFill>
                </w14:textFill>
              </w:rPr>
              <w:t>分</w:t>
            </w:r>
            <w:r>
              <w:rPr>
                <w:rFonts w:hint="eastAsia" w:ascii="宋体" w:hAnsi="宋体"/>
                <w:color w:val="000000" w:themeColor="text1"/>
                <w:sz w:val="24"/>
                <w:szCs w:val="24"/>
                <w:lang w:val="en-US" w:eastAsia="zh-CN"/>
                <w14:textFill>
                  <w14:solidFill>
                    <w14:schemeClr w14:val="tx1"/>
                  </w14:solidFill>
                </w14:textFill>
              </w:rPr>
              <w:t>，最高得3分；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每有1人且</w:t>
            </w:r>
            <w:r>
              <w:rPr>
                <w:rFonts w:hint="eastAsia" w:ascii="宋体" w:hAnsi="宋体" w:eastAsia="宋体"/>
                <w:color w:val="000000" w:themeColor="text1"/>
                <w:sz w:val="24"/>
                <w:szCs w:val="24"/>
                <w:lang w:val="en-US" w:eastAsia="zh-CN"/>
                <w14:textFill>
                  <w14:solidFill>
                    <w14:schemeClr w14:val="tx1"/>
                  </w14:solidFill>
                </w14:textFill>
              </w:rPr>
              <w:t>具备</w:t>
            </w:r>
            <w:r>
              <w:rPr>
                <w:rFonts w:hint="eastAsia" w:ascii="宋体" w:hAnsi="宋体"/>
                <w:color w:val="000000" w:themeColor="text1"/>
                <w:sz w:val="24"/>
                <w:szCs w:val="24"/>
                <w:lang w:val="en-US" w:eastAsia="zh-CN"/>
                <w14:textFill>
                  <w14:solidFill>
                    <w14:schemeClr w14:val="tx1"/>
                  </w14:solidFill>
                </w14:textFill>
              </w:rPr>
              <w:t>水利或农林相关专业高级（含副高）职称</w:t>
            </w:r>
            <w:r>
              <w:rPr>
                <w:rFonts w:hint="eastAsia" w:ascii="宋体" w:hAnsi="宋体" w:eastAsia="宋体"/>
                <w:color w:val="000000" w:themeColor="text1"/>
                <w:sz w:val="24"/>
                <w:szCs w:val="24"/>
                <w:lang w:val="en-US" w:eastAsia="zh-CN"/>
                <w14:textFill>
                  <w14:solidFill>
                    <w14:schemeClr w14:val="tx1"/>
                  </w14:solidFill>
                </w14:textFill>
              </w:rPr>
              <w:t>证书的得</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eastAsia="宋体"/>
                <w:color w:val="000000" w:themeColor="text1"/>
                <w:sz w:val="24"/>
                <w:szCs w:val="24"/>
                <w:lang w:val="en-US" w:eastAsia="zh-CN"/>
                <w14:textFill>
                  <w14:solidFill>
                    <w14:schemeClr w14:val="tx1"/>
                  </w14:solidFill>
                </w14:textFill>
              </w:rPr>
              <w:t>分</w:t>
            </w:r>
            <w:r>
              <w:rPr>
                <w:rFonts w:hint="eastAsia" w:ascii="宋体" w:hAnsi="宋体"/>
                <w:color w:val="000000" w:themeColor="text1"/>
                <w:sz w:val="24"/>
                <w:szCs w:val="24"/>
                <w:lang w:val="en-US" w:eastAsia="zh-CN"/>
                <w14:textFill>
                  <w14:solidFill>
                    <w14:schemeClr w14:val="tx1"/>
                  </w14:solidFill>
                </w14:textFill>
              </w:rPr>
              <w:t>，最高得3分；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13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olor w:val="000000"/>
                <w:sz w:val="24"/>
                <w:szCs w:val="24"/>
                <w:lang w:eastAsia="zh-CN"/>
              </w:rPr>
            </w:pPr>
          </w:p>
        </w:tc>
        <w:tc>
          <w:tcPr>
            <w:tcW w:w="223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olor w:val="000000"/>
                <w:sz w:val="24"/>
                <w:szCs w:val="24"/>
              </w:rPr>
            </w:pPr>
            <w:r>
              <w:rPr>
                <w:rFonts w:hint="eastAsia" w:ascii="宋体" w:hAnsi="宋体"/>
                <w:color w:val="000000"/>
                <w:sz w:val="24"/>
                <w:szCs w:val="24"/>
              </w:rPr>
              <w:t>业绩（</w:t>
            </w:r>
            <w:r>
              <w:rPr>
                <w:rFonts w:hint="eastAsia" w:ascii="宋体" w:hAnsi="宋体"/>
                <w:color w:val="000000"/>
                <w:sz w:val="24"/>
                <w:szCs w:val="24"/>
                <w:lang w:val="en-US" w:eastAsia="zh-CN"/>
              </w:rPr>
              <w:t>7</w:t>
            </w:r>
            <w:r>
              <w:rPr>
                <w:rFonts w:hint="eastAsia" w:ascii="宋体" w:hAnsi="宋体"/>
                <w:color w:val="000000"/>
                <w:sz w:val="24"/>
                <w:szCs w:val="24"/>
              </w:rPr>
              <w:t>分）</w:t>
            </w:r>
          </w:p>
        </w:tc>
        <w:tc>
          <w:tcPr>
            <w:tcW w:w="625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2017年至</w:t>
            </w:r>
            <w:r>
              <w:rPr>
                <w:rFonts w:hint="eastAsia" w:ascii="宋体" w:hAnsi="宋体"/>
                <w:color w:val="000000"/>
                <w:sz w:val="24"/>
                <w:szCs w:val="24"/>
                <w:lang w:val="en-US" w:eastAsia="zh-CN"/>
              </w:rPr>
              <w:t>开标当日</w:t>
            </w:r>
            <w:r>
              <w:rPr>
                <w:rFonts w:hint="eastAsia" w:ascii="宋体" w:hAnsi="宋体" w:eastAsia="宋体"/>
                <w:color w:val="000000"/>
                <w:sz w:val="24"/>
                <w:szCs w:val="24"/>
                <w:lang w:val="en-US" w:eastAsia="zh-CN"/>
              </w:rPr>
              <w:t>每有</w:t>
            </w:r>
            <w:r>
              <w:rPr>
                <w:rFonts w:hint="eastAsia" w:ascii="宋体" w:hAnsi="宋体" w:cs="Arial"/>
                <w:color w:val="auto"/>
                <w:kern w:val="2"/>
                <w:sz w:val="24"/>
                <w:szCs w:val="24"/>
                <w:highlight w:val="none"/>
                <w:lang w:val="en-US" w:eastAsia="zh-CN" w:bidi="ar-SA"/>
              </w:rPr>
              <w:t>一项高标准农田上图入库项目或与高标准农田建设相关服务业绩</w:t>
            </w:r>
            <w:r>
              <w:rPr>
                <w:rFonts w:hint="eastAsia" w:ascii="宋体" w:hAnsi="宋体" w:eastAsia="宋体"/>
                <w:color w:val="000000"/>
                <w:sz w:val="24"/>
                <w:szCs w:val="24"/>
                <w:lang w:val="en-US" w:eastAsia="zh-CN"/>
              </w:rPr>
              <w:t>得1分，最高得7分。（以中标通知书或合同复印件为准）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13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000000"/>
                <w:sz w:val="24"/>
                <w:szCs w:val="24"/>
              </w:rPr>
            </w:pPr>
          </w:p>
        </w:tc>
        <w:tc>
          <w:tcPr>
            <w:tcW w:w="223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相关认证(4分)</w:t>
            </w:r>
          </w:p>
        </w:tc>
        <w:tc>
          <w:tcPr>
            <w:tcW w:w="625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u w:val="none" w:color="auto"/>
                <w:lang w:val="en-US" w:eastAsia="zh-CN"/>
              </w:rPr>
            </w:pPr>
            <w:r>
              <w:rPr>
                <w:rFonts w:hint="eastAsia" w:ascii="宋体" w:hAnsi="宋体" w:eastAsia="宋体" w:cs="宋体"/>
                <w:color w:val="000000"/>
                <w:sz w:val="24"/>
                <w:szCs w:val="24"/>
                <w:u w:val="none" w:color="auto"/>
                <w:lang w:val="en-US" w:eastAsia="zh-CN"/>
              </w:rPr>
              <w:t>供应商</w:t>
            </w:r>
            <w:r>
              <w:rPr>
                <w:rFonts w:hint="eastAsia" w:ascii="宋体" w:hAnsi="宋体" w:cs="宋体"/>
                <w:color w:val="000000"/>
                <w:sz w:val="24"/>
                <w:szCs w:val="24"/>
                <w:u w:val="none" w:color="auto"/>
                <w:lang w:val="en-US" w:eastAsia="zh-CN"/>
              </w:rPr>
              <w:t>提供</w:t>
            </w:r>
            <w:r>
              <w:rPr>
                <w:rFonts w:hint="eastAsia" w:ascii="宋体" w:hAnsi="宋体" w:eastAsia="宋体" w:cs="宋体"/>
                <w:color w:val="000000"/>
                <w:sz w:val="24"/>
                <w:szCs w:val="24"/>
                <w:u w:val="none" w:color="auto"/>
                <w:lang w:val="en-US" w:eastAsia="zh-CN"/>
              </w:rPr>
              <w:t>有效的</w:t>
            </w:r>
            <w:r>
              <w:rPr>
                <w:rFonts w:hint="eastAsia" w:ascii="宋体" w:hAnsi="宋体" w:cs="宋体"/>
                <w:color w:val="000000"/>
                <w:sz w:val="24"/>
                <w:szCs w:val="24"/>
                <w:u w:val="none" w:color="auto"/>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u w:val="none" w:color="auto"/>
                <w:lang w:val="en-US" w:eastAsia="zh-CN"/>
              </w:rPr>
            </w:pPr>
            <w:r>
              <w:rPr>
                <w:rFonts w:hint="eastAsia" w:ascii="宋体" w:hAnsi="宋体" w:cs="宋体"/>
                <w:color w:val="000000"/>
                <w:sz w:val="24"/>
                <w:szCs w:val="24"/>
                <w:u w:val="none" w:color="auto"/>
                <w:lang w:val="en-US" w:eastAsia="zh-CN"/>
              </w:rPr>
              <w:t>ISO9001</w:t>
            </w:r>
            <w:r>
              <w:rPr>
                <w:rFonts w:hint="eastAsia" w:ascii="宋体" w:hAnsi="宋体" w:eastAsia="宋体" w:cs="宋体"/>
                <w:color w:val="000000"/>
                <w:sz w:val="24"/>
                <w:szCs w:val="24"/>
                <w:u w:val="none" w:color="auto"/>
                <w:lang w:val="en-US" w:eastAsia="zh-CN"/>
              </w:rPr>
              <w:t>质量管理体系认证得1分；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u w:val="none" w:color="auto"/>
                <w:lang w:val="en-US" w:eastAsia="zh-CN"/>
              </w:rPr>
            </w:pPr>
            <w:r>
              <w:rPr>
                <w:rFonts w:hint="eastAsia" w:ascii="宋体" w:hAnsi="宋体" w:cs="宋体"/>
                <w:color w:val="000000"/>
                <w:sz w:val="24"/>
                <w:szCs w:val="24"/>
                <w:u w:val="none" w:color="auto"/>
                <w:lang w:val="en-US" w:eastAsia="zh-CN"/>
              </w:rPr>
              <w:t>ISO14001</w:t>
            </w:r>
            <w:r>
              <w:rPr>
                <w:rFonts w:hint="eastAsia" w:ascii="宋体" w:hAnsi="宋体" w:eastAsia="宋体" w:cs="宋体"/>
                <w:color w:val="000000"/>
                <w:sz w:val="24"/>
                <w:szCs w:val="24"/>
                <w:u w:val="none" w:color="auto"/>
                <w:lang w:val="en-US" w:eastAsia="zh-CN"/>
              </w:rPr>
              <w:t>环境管理体系认证得1分；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u w:val="none" w:color="auto"/>
                <w:lang w:val="en-US" w:eastAsia="zh-CN"/>
              </w:rPr>
            </w:pPr>
            <w:r>
              <w:rPr>
                <w:rFonts w:hint="eastAsia" w:ascii="宋体" w:hAnsi="宋体" w:cs="宋体"/>
                <w:color w:val="000000"/>
                <w:sz w:val="24"/>
                <w:szCs w:val="24"/>
                <w:u w:val="none" w:color="auto"/>
                <w:lang w:val="en-US" w:eastAsia="zh-CN"/>
              </w:rPr>
              <w:t>ISO45001</w:t>
            </w:r>
            <w:r>
              <w:rPr>
                <w:rFonts w:hint="eastAsia" w:ascii="宋体" w:hAnsi="宋体" w:eastAsia="宋体" w:cs="宋体"/>
                <w:color w:val="000000"/>
                <w:sz w:val="24"/>
                <w:szCs w:val="24"/>
                <w:u w:val="none" w:color="auto"/>
                <w:lang w:val="en-US" w:eastAsia="zh-CN"/>
              </w:rPr>
              <w:t>职业健康安全管理体系认证得1分；</w:t>
            </w:r>
          </w:p>
          <w:p>
            <w:pPr>
              <w:pStyle w:val="23"/>
              <w:spacing w:line="240" w:lineRule="auto"/>
              <w:rPr>
                <w:rFonts w:hint="eastAsia" w:ascii="宋体" w:hAnsi="宋体" w:eastAsia="宋体" w:cs="宋体"/>
                <w:color w:val="000000"/>
                <w:sz w:val="24"/>
                <w:szCs w:val="24"/>
                <w:u w:val="none" w:color="auto"/>
                <w:lang w:val="en-US" w:eastAsia="zh-CN"/>
              </w:rPr>
            </w:pPr>
            <w:r>
              <w:rPr>
                <w:rFonts w:hint="eastAsia"/>
                <w:color w:val="auto"/>
                <w:sz w:val="24"/>
                <w:szCs w:val="18"/>
                <w:highlight w:val="none"/>
                <w:lang w:val="en-US" w:eastAsia="zh-CN"/>
              </w:rPr>
              <w:t>重合同守信用企业证书得1分；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3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u w:val="none" w:color="auto"/>
                <w:lang w:val="en-US" w:eastAsia="zh-CN"/>
              </w:rPr>
            </w:pPr>
            <w:r>
              <w:rPr>
                <w:rFonts w:hint="eastAsia" w:ascii="宋体" w:hAnsi="宋体" w:eastAsia="宋体" w:cs="宋体"/>
                <w:color w:val="000000"/>
                <w:sz w:val="24"/>
                <w:szCs w:val="24"/>
                <w:u w:val="none" w:color="auto"/>
                <w:lang w:val="en-US" w:eastAsia="zh-CN"/>
              </w:rPr>
              <w:t>技术部分（</w:t>
            </w:r>
            <w:r>
              <w:rPr>
                <w:rFonts w:hint="eastAsia" w:ascii="宋体" w:hAnsi="宋体" w:cs="宋体"/>
                <w:color w:val="000000"/>
                <w:sz w:val="24"/>
                <w:szCs w:val="24"/>
                <w:u w:val="none" w:color="auto"/>
                <w:lang w:val="en-US" w:eastAsia="zh-CN"/>
              </w:rPr>
              <w:t>6</w:t>
            </w:r>
            <w:r>
              <w:rPr>
                <w:rFonts w:hint="eastAsia" w:ascii="宋体" w:hAnsi="宋体" w:eastAsia="宋体" w:cs="宋体"/>
                <w:color w:val="000000"/>
                <w:sz w:val="24"/>
                <w:szCs w:val="24"/>
                <w:u w:val="none" w:color="auto"/>
                <w:lang w:val="en-US" w:eastAsia="zh-CN"/>
              </w:rPr>
              <w:t>0分）</w:t>
            </w:r>
          </w:p>
        </w:tc>
        <w:tc>
          <w:tcPr>
            <w:tcW w:w="223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u w:val="none" w:color="auto"/>
                <w:lang w:val="en-US" w:eastAsia="zh-CN"/>
              </w:rPr>
            </w:pPr>
            <w:r>
              <w:rPr>
                <w:rFonts w:hint="eastAsia" w:ascii="宋体" w:hAnsi="宋体" w:eastAsia="宋体" w:cs="宋体"/>
                <w:color w:val="000000"/>
                <w:sz w:val="24"/>
                <w:szCs w:val="24"/>
                <w:u w:val="none" w:color="auto"/>
                <w:lang w:val="en-US" w:eastAsia="zh-CN"/>
              </w:rPr>
              <w:t>工作</w:t>
            </w:r>
            <w:r>
              <w:rPr>
                <w:rFonts w:hint="eastAsia" w:ascii="宋体" w:hAnsi="宋体" w:cs="宋体"/>
                <w:color w:val="000000"/>
                <w:sz w:val="24"/>
                <w:szCs w:val="24"/>
                <w:u w:val="none" w:color="auto"/>
                <w:lang w:val="en-US" w:eastAsia="zh-CN"/>
              </w:rPr>
              <w:t>内容</w:t>
            </w:r>
            <w:r>
              <w:rPr>
                <w:rFonts w:hint="eastAsia" w:ascii="宋体" w:hAnsi="宋体"/>
                <w:color w:val="000000"/>
                <w:sz w:val="24"/>
                <w:szCs w:val="24"/>
                <w:lang w:val="en-US" w:eastAsia="zh-CN"/>
              </w:rPr>
              <w:t>(10分)</w:t>
            </w:r>
          </w:p>
        </w:tc>
        <w:tc>
          <w:tcPr>
            <w:tcW w:w="625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u w:val="none" w:color="auto"/>
                <w:lang w:val="en-US" w:eastAsia="zh-CN"/>
              </w:rPr>
            </w:pPr>
            <w:r>
              <w:rPr>
                <w:rFonts w:hint="eastAsia" w:ascii="宋体" w:hAnsi="宋体" w:eastAsia="宋体" w:cs="宋体"/>
                <w:color w:val="000000"/>
                <w:sz w:val="24"/>
                <w:szCs w:val="24"/>
                <w:u w:val="none" w:color="auto"/>
                <w:lang w:val="en-US" w:eastAsia="zh-CN"/>
              </w:rPr>
              <w:t>根据项目要求</w:t>
            </w:r>
            <w:r>
              <w:rPr>
                <w:rFonts w:hint="eastAsia" w:ascii="宋体" w:hAnsi="宋体" w:cs="宋体"/>
                <w:color w:val="000000"/>
                <w:sz w:val="24"/>
                <w:szCs w:val="24"/>
                <w:u w:val="none" w:color="auto"/>
                <w:lang w:val="en-US" w:eastAsia="zh-CN"/>
              </w:rPr>
              <w:t>：1.明确</w:t>
            </w:r>
            <w:r>
              <w:rPr>
                <w:rFonts w:hint="eastAsia" w:ascii="宋体" w:hAnsi="宋体" w:eastAsia="宋体" w:cs="宋体"/>
                <w:color w:val="000000"/>
                <w:sz w:val="24"/>
                <w:szCs w:val="24"/>
                <w:u w:val="none" w:color="auto"/>
                <w:lang w:val="en-US" w:eastAsia="zh-CN"/>
              </w:rPr>
              <w:t>工作目标</w:t>
            </w:r>
            <w:r>
              <w:rPr>
                <w:rFonts w:hint="eastAsia" w:ascii="宋体" w:hAnsi="宋体" w:cs="宋体"/>
                <w:color w:val="000000"/>
                <w:sz w:val="24"/>
                <w:szCs w:val="24"/>
                <w:u w:val="none" w:color="auto"/>
                <w:lang w:val="en-US" w:eastAsia="zh-CN"/>
              </w:rPr>
              <w:t>；2.明确</w:t>
            </w:r>
            <w:r>
              <w:rPr>
                <w:rFonts w:hint="eastAsia" w:ascii="宋体" w:hAnsi="宋体" w:eastAsia="宋体" w:cs="宋体"/>
                <w:color w:val="000000"/>
                <w:sz w:val="24"/>
                <w:szCs w:val="24"/>
                <w:u w:val="none" w:color="auto"/>
                <w:lang w:val="en-US" w:eastAsia="zh-CN"/>
              </w:rPr>
              <w:t>工作任务</w:t>
            </w:r>
            <w:r>
              <w:rPr>
                <w:rFonts w:hint="eastAsia" w:ascii="宋体" w:hAnsi="宋体" w:cs="宋体"/>
                <w:color w:val="000000"/>
                <w:sz w:val="24"/>
                <w:szCs w:val="24"/>
                <w:u w:val="none" w:color="auto"/>
                <w:lang w:val="en-US" w:eastAsia="zh-CN"/>
              </w:rPr>
              <w:t>；3.明确工作要求；4.工作</w:t>
            </w:r>
            <w:r>
              <w:rPr>
                <w:rFonts w:hint="eastAsia" w:ascii="宋体" w:hAnsi="宋体" w:eastAsia="宋体" w:cs="宋体"/>
                <w:color w:val="000000"/>
                <w:sz w:val="24"/>
                <w:szCs w:val="24"/>
                <w:u w:val="none" w:color="auto"/>
                <w:lang w:val="en-US" w:eastAsia="zh-CN"/>
              </w:rPr>
              <w:t>内容</w:t>
            </w:r>
            <w:r>
              <w:rPr>
                <w:rFonts w:hint="eastAsia" w:ascii="宋体" w:hAnsi="宋体" w:cs="宋体"/>
                <w:color w:val="000000"/>
                <w:sz w:val="24"/>
                <w:szCs w:val="24"/>
                <w:u w:val="none" w:color="auto"/>
                <w:lang w:val="en-US" w:eastAsia="zh-CN"/>
              </w:rPr>
              <w:t>详细</w:t>
            </w:r>
            <w:r>
              <w:rPr>
                <w:rFonts w:hint="eastAsia" w:ascii="宋体" w:hAnsi="宋体" w:eastAsia="宋体" w:cs="宋体"/>
                <w:color w:val="000000"/>
                <w:sz w:val="24"/>
                <w:szCs w:val="24"/>
                <w:u w:val="none" w:color="auto"/>
                <w:lang w:val="en-US" w:eastAsia="zh-CN"/>
              </w:rPr>
              <w:t>全面</w:t>
            </w:r>
            <w:r>
              <w:rPr>
                <w:rFonts w:hint="eastAsia" w:ascii="宋体" w:hAnsi="宋体" w:cs="宋体"/>
                <w:color w:val="000000"/>
                <w:sz w:val="24"/>
                <w:szCs w:val="24"/>
                <w:u w:val="none" w:color="auto"/>
                <w:lang w:val="en-US" w:eastAsia="zh-CN"/>
              </w:rPr>
              <w:t>；5.工作内容科学合理；每缺少一项扣2分</w:t>
            </w:r>
            <w:r>
              <w:rPr>
                <w:rFonts w:hint="eastAsia" w:ascii="宋体" w:hAnsi="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3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u w:val="none" w:color="auto"/>
                <w:lang w:val="en-US" w:eastAsia="zh-CN"/>
              </w:rPr>
            </w:pPr>
          </w:p>
        </w:tc>
        <w:tc>
          <w:tcPr>
            <w:tcW w:w="223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u w:val="none" w:color="auto"/>
                <w:lang w:val="en-US" w:eastAsia="zh-CN"/>
              </w:rPr>
            </w:pPr>
            <w:r>
              <w:rPr>
                <w:rFonts w:hint="eastAsia" w:cs="仿宋_GB2312" w:asciiTheme="minorEastAsia" w:hAnsiTheme="minorEastAsia"/>
                <w:sz w:val="24"/>
                <w:szCs w:val="24"/>
              </w:rPr>
              <w:t>进度安排</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lang w:val="en-US" w:eastAsia="zh-CN"/>
              </w:rPr>
              <w:t>6分</w:t>
            </w:r>
            <w:r>
              <w:rPr>
                <w:rFonts w:hint="eastAsia" w:cs="仿宋_GB2312" w:asciiTheme="minorEastAsia" w:hAnsiTheme="minorEastAsia"/>
                <w:sz w:val="24"/>
                <w:szCs w:val="24"/>
                <w:lang w:eastAsia="zh-CN"/>
              </w:rPr>
              <w:t>）</w:t>
            </w:r>
          </w:p>
        </w:tc>
        <w:tc>
          <w:tcPr>
            <w:tcW w:w="625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宋体" w:hAnsi="宋体" w:eastAsia="宋体" w:cs="宋体"/>
                <w:color w:val="000000"/>
                <w:sz w:val="24"/>
                <w:szCs w:val="24"/>
                <w:u w:val="none" w:color="auto"/>
                <w:lang w:val="en-US" w:eastAsia="zh-CN"/>
              </w:rPr>
            </w:pPr>
            <w:r>
              <w:rPr>
                <w:rFonts w:hint="eastAsia" w:cs="仿宋_GB2312" w:asciiTheme="minorEastAsia" w:hAnsiTheme="minorEastAsia"/>
                <w:sz w:val="24"/>
                <w:szCs w:val="24"/>
                <w:lang w:val="en-US" w:eastAsia="zh-CN"/>
              </w:rPr>
              <w:t>根据项目的服务期：1.</w:t>
            </w:r>
            <w:r>
              <w:rPr>
                <w:rFonts w:hint="eastAsia" w:cs="仿宋_GB2312" w:asciiTheme="minorEastAsia" w:hAnsiTheme="minorEastAsia"/>
                <w:sz w:val="24"/>
                <w:szCs w:val="24"/>
              </w:rPr>
              <w:t>进度安排详细具体</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lang w:val="en-US" w:eastAsia="zh-CN"/>
              </w:rPr>
              <w:t>2.进度计划科学</w:t>
            </w:r>
            <w:r>
              <w:rPr>
                <w:rFonts w:hint="eastAsia" w:cs="仿宋_GB2312" w:asciiTheme="minorEastAsia" w:hAnsiTheme="minorEastAsia"/>
                <w:sz w:val="24"/>
                <w:szCs w:val="24"/>
              </w:rPr>
              <w:t>合理</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lang w:val="en-US" w:eastAsia="zh-CN"/>
              </w:rPr>
              <w:t>每有一项加3分</w:t>
            </w:r>
            <w:r>
              <w:rPr>
                <w:rFonts w:hint="eastAsia" w:cs="仿宋_GB2312"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13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u w:val="none" w:color="auto"/>
                <w:lang w:val="en-US" w:eastAsia="zh-CN"/>
              </w:rPr>
            </w:pPr>
          </w:p>
        </w:tc>
        <w:tc>
          <w:tcPr>
            <w:tcW w:w="223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u w:val="none" w:color="auto"/>
                <w:lang w:val="en-US" w:eastAsia="zh-CN"/>
              </w:rPr>
            </w:pPr>
            <w:r>
              <w:rPr>
                <w:rFonts w:hint="eastAsia" w:ascii="宋体" w:hAnsi="宋体" w:eastAsia="宋体" w:cs="宋体"/>
                <w:sz w:val="24"/>
              </w:rPr>
              <w:t>质量保证措施</w:t>
            </w: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lang w:eastAsia="zh-CN"/>
              </w:rPr>
              <w:t>）</w:t>
            </w:r>
          </w:p>
        </w:tc>
        <w:tc>
          <w:tcPr>
            <w:tcW w:w="625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宋体" w:hAnsi="宋体" w:eastAsia="宋体" w:cs="宋体"/>
                <w:color w:val="000000"/>
                <w:sz w:val="24"/>
                <w:szCs w:val="24"/>
                <w:u w:val="none" w:color="auto"/>
                <w:lang w:val="en-US" w:eastAsia="zh-CN"/>
              </w:rPr>
            </w:pPr>
            <w:r>
              <w:rPr>
                <w:rFonts w:hint="eastAsia" w:ascii="宋体" w:hAnsi="宋体" w:cs="宋体"/>
                <w:color w:val="000000"/>
                <w:sz w:val="24"/>
                <w:szCs w:val="24"/>
                <w:u w:val="none" w:color="auto"/>
                <w:lang w:val="en-US" w:eastAsia="zh-CN"/>
              </w:rPr>
              <w:t>根据项目质量要求：1.</w:t>
            </w:r>
            <w:r>
              <w:rPr>
                <w:rFonts w:hint="eastAsia" w:ascii="宋体" w:hAnsi="宋体" w:eastAsia="宋体" w:cs="宋体"/>
                <w:color w:val="000000"/>
                <w:sz w:val="24"/>
                <w:szCs w:val="24"/>
                <w:u w:val="none" w:color="auto"/>
                <w:lang w:val="en-US" w:eastAsia="zh-CN"/>
              </w:rPr>
              <w:t>提供</w:t>
            </w:r>
            <w:r>
              <w:rPr>
                <w:rFonts w:hint="eastAsia" w:ascii="宋体" w:hAnsi="宋体" w:cs="宋体"/>
                <w:color w:val="000000"/>
                <w:sz w:val="24"/>
                <w:szCs w:val="24"/>
                <w:u w:val="none" w:color="auto"/>
                <w:lang w:val="en-US" w:eastAsia="zh-CN"/>
              </w:rPr>
              <w:t>科学合理的</w:t>
            </w:r>
            <w:r>
              <w:rPr>
                <w:rFonts w:hint="eastAsia" w:ascii="宋体" w:hAnsi="宋体" w:eastAsia="宋体" w:cs="宋体"/>
                <w:color w:val="000000"/>
                <w:sz w:val="24"/>
                <w:szCs w:val="24"/>
                <w:u w:val="none" w:color="auto"/>
                <w:lang w:val="en-US" w:eastAsia="zh-CN"/>
              </w:rPr>
              <w:t>工作流程、工作环节</w:t>
            </w:r>
            <w:r>
              <w:rPr>
                <w:rFonts w:hint="eastAsia" w:ascii="宋体" w:hAnsi="宋体" w:cs="宋体"/>
                <w:color w:val="000000"/>
                <w:sz w:val="24"/>
                <w:szCs w:val="24"/>
                <w:u w:val="none" w:color="auto"/>
                <w:lang w:val="en-US" w:eastAsia="zh-CN"/>
              </w:rPr>
              <w:t>；2.具备完善的质量保证措施；</w:t>
            </w:r>
            <w:r>
              <w:rPr>
                <w:rFonts w:hint="eastAsia" w:cs="仿宋_GB2312" w:asciiTheme="minorEastAsia" w:hAnsiTheme="minorEastAsia"/>
                <w:sz w:val="24"/>
                <w:szCs w:val="24"/>
                <w:lang w:val="en-US" w:eastAsia="zh-CN"/>
              </w:rPr>
              <w:t>每有一项加3分</w:t>
            </w:r>
            <w:r>
              <w:rPr>
                <w:rFonts w:hint="eastAsia" w:ascii="宋体" w:hAnsi="宋体" w:cs="宋体"/>
                <w:color w:val="000000"/>
                <w:sz w:val="24"/>
                <w:szCs w:val="24"/>
                <w:u w:val="none" w:color="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13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u w:val="none" w:color="auto"/>
                <w:lang w:val="en-US" w:eastAsia="zh-CN"/>
              </w:rPr>
            </w:pPr>
          </w:p>
        </w:tc>
        <w:tc>
          <w:tcPr>
            <w:tcW w:w="2239" w:type="dxa"/>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u w:val="none" w:color="auto"/>
                <w:lang w:val="en-US" w:eastAsia="zh-CN"/>
              </w:rPr>
            </w:pPr>
            <w:r>
              <w:rPr>
                <w:rFonts w:hint="eastAsia" w:ascii="宋体" w:hAnsi="宋体" w:eastAsia="宋体" w:cs="宋体"/>
                <w:sz w:val="24"/>
              </w:rPr>
              <w:t>项目</w:t>
            </w:r>
            <w:r>
              <w:rPr>
                <w:rFonts w:hint="eastAsia" w:ascii="宋体" w:hAnsi="宋体" w:cs="宋体"/>
                <w:sz w:val="24"/>
                <w:lang w:val="en-US" w:eastAsia="zh-CN"/>
              </w:rPr>
              <w:t>服务</w:t>
            </w:r>
            <w:r>
              <w:rPr>
                <w:rFonts w:hint="eastAsia" w:ascii="宋体" w:hAnsi="宋体" w:eastAsia="宋体" w:cs="宋体"/>
                <w:sz w:val="24"/>
              </w:rPr>
              <w:t>机构及分工（</w:t>
            </w:r>
            <w:r>
              <w:rPr>
                <w:rFonts w:hint="eastAsia" w:ascii="宋体" w:hAnsi="宋体" w:cs="宋体"/>
                <w:sz w:val="24"/>
                <w:lang w:val="en-US" w:eastAsia="zh-CN"/>
              </w:rPr>
              <w:t>9</w:t>
            </w:r>
            <w:r>
              <w:rPr>
                <w:rFonts w:hint="eastAsia" w:ascii="宋体" w:hAnsi="宋体" w:eastAsia="宋体" w:cs="宋体"/>
                <w:sz w:val="24"/>
              </w:rPr>
              <w:t>分）</w:t>
            </w:r>
          </w:p>
        </w:tc>
        <w:tc>
          <w:tcPr>
            <w:tcW w:w="6258" w:type="dxa"/>
            <w:tcBorders>
              <w:top w:val="single" w:color="auto" w:sz="4" w:space="0"/>
              <w:left w:val="single" w:color="auto" w:sz="4" w:space="0"/>
              <w:right w:val="single" w:color="auto" w:sz="4" w:space="0"/>
            </w:tcBorders>
            <w:noWrap w:val="0"/>
            <w:vAlign w:val="center"/>
          </w:tcPr>
          <w:p>
            <w:pPr>
              <w:rPr>
                <w:rFonts w:hint="default" w:ascii="宋体" w:hAnsi="宋体" w:eastAsia="宋体" w:cs="宋体"/>
                <w:color w:val="000000"/>
                <w:sz w:val="24"/>
                <w:szCs w:val="24"/>
                <w:u w:val="none" w:color="auto"/>
                <w:lang w:val="en-US" w:eastAsia="zh-CN"/>
              </w:rPr>
            </w:pPr>
            <w:r>
              <w:rPr>
                <w:rFonts w:hint="eastAsia" w:ascii="宋体" w:hAnsi="宋体" w:eastAsia="宋体" w:cs="宋体"/>
                <w:sz w:val="24"/>
              </w:rPr>
              <w:t>根据项目情况</w:t>
            </w:r>
            <w:r>
              <w:rPr>
                <w:rFonts w:hint="eastAsia" w:ascii="宋体" w:hAnsi="宋体" w:cs="宋体"/>
                <w:sz w:val="24"/>
                <w:lang w:eastAsia="zh-CN"/>
              </w:rPr>
              <w:t>：</w:t>
            </w:r>
            <w:r>
              <w:rPr>
                <w:rFonts w:hint="eastAsia" w:ascii="宋体" w:hAnsi="宋体" w:cs="宋体"/>
                <w:sz w:val="24"/>
                <w:lang w:val="en-US" w:eastAsia="zh-CN"/>
              </w:rPr>
              <w:t>1.具有合理的</w:t>
            </w:r>
            <w:r>
              <w:rPr>
                <w:rFonts w:hint="eastAsia" w:ascii="宋体" w:hAnsi="宋体" w:eastAsia="宋体" w:cs="宋体"/>
                <w:sz w:val="24"/>
              </w:rPr>
              <w:t>人员配备</w:t>
            </w:r>
            <w:r>
              <w:rPr>
                <w:rFonts w:hint="eastAsia" w:ascii="宋体" w:hAnsi="宋体" w:cs="宋体"/>
                <w:sz w:val="24"/>
                <w:lang w:eastAsia="zh-CN"/>
              </w:rPr>
              <w:t>；</w:t>
            </w:r>
            <w:r>
              <w:rPr>
                <w:rFonts w:hint="eastAsia" w:ascii="宋体" w:hAnsi="宋体" w:cs="宋体"/>
                <w:sz w:val="24"/>
                <w:lang w:val="en-US" w:eastAsia="zh-CN"/>
              </w:rPr>
              <w:t>2.合理、明确的分工；3.具有较强的可实施性和针对性；每有一项加3分。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3" w:hRule="atLeast"/>
          <w:jc w:val="center"/>
        </w:trPr>
        <w:tc>
          <w:tcPr>
            <w:tcW w:w="113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u w:val="none" w:color="auto"/>
                <w:lang w:val="en-US" w:eastAsia="zh-CN"/>
              </w:rPr>
            </w:pPr>
          </w:p>
        </w:tc>
        <w:tc>
          <w:tcPr>
            <w:tcW w:w="223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宋体" w:hAnsi="宋体" w:eastAsia="宋体" w:cs="宋体"/>
                <w:color w:val="000000"/>
                <w:sz w:val="24"/>
                <w:szCs w:val="24"/>
                <w:u w:val="none" w:color="auto"/>
                <w:lang w:val="en-US" w:eastAsia="zh-CN"/>
              </w:rPr>
            </w:pPr>
            <w:r>
              <w:rPr>
                <w:rFonts w:hint="eastAsia" w:ascii="宋体" w:hAnsi="宋体" w:cs="宋体"/>
                <w:color w:val="000000"/>
                <w:sz w:val="24"/>
                <w:szCs w:val="24"/>
                <w:u w:val="none" w:color="auto"/>
                <w:lang w:val="en-US" w:eastAsia="zh-CN"/>
              </w:rPr>
              <w:t>服务</w:t>
            </w:r>
            <w:r>
              <w:rPr>
                <w:rFonts w:hint="eastAsia" w:ascii="宋体" w:hAnsi="宋体" w:eastAsia="宋体" w:cs="宋体"/>
                <w:color w:val="000000"/>
                <w:sz w:val="24"/>
                <w:szCs w:val="24"/>
                <w:u w:val="none" w:color="auto"/>
                <w:lang w:val="en-US" w:eastAsia="zh-CN"/>
              </w:rPr>
              <w:t>技术标准</w:t>
            </w:r>
            <w:r>
              <w:rPr>
                <w:rFonts w:hint="eastAsia" w:ascii="宋体" w:hAnsi="宋体" w:cs="宋体"/>
                <w:color w:val="000000"/>
                <w:sz w:val="24"/>
                <w:szCs w:val="24"/>
                <w:u w:val="none" w:color="auto"/>
                <w:lang w:val="en-US" w:eastAsia="zh-CN"/>
              </w:rPr>
              <w:t>和</w:t>
            </w:r>
            <w:r>
              <w:rPr>
                <w:rFonts w:hint="eastAsia" w:ascii="宋体" w:hAnsi="宋体" w:eastAsia="宋体" w:cs="宋体"/>
                <w:color w:val="000000"/>
                <w:sz w:val="24"/>
                <w:szCs w:val="24"/>
                <w:u w:val="none" w:color="auto"/>
                <w:lang w:val="en-US" w:eastAsia="zh-CN"/>
              </w:rPr>
              <w:t>法律法规</w:t>
            </w:r>
            <w:r>
              <w:rPr>
                <w:rFonts w:hint="eastAsia" w:ascii="宋体" w:hAnsi="宋体" w:cs="宋体"/>
                <w:color w:val="000000"/>
                <w:sz w:val="24"/>
                <w:szCs w:val="24"/>
                <w:u w:val="none" w:color="auto"/>
                <w:lang w:val="en-US" w:eastAsia="zh-CN"/>
              </w:rPr>
              <w:t>依据（9分）</w:t>
            </w:r>
          </w:p>
        </w:tc>
        <w:tc>
          <w:tcPr>
            <w:tcW w:w="625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sz w:val="24"/>
                <w:szCs w:val="18"/>
                <w:lang w:val="en-US" w:eastAsia="zh-CN"/>
              </w:rPr>
            </w:pPr>
            <w:r>
              <w:rPr>
                <w:rFonts w:hint="eastAsia"/>
                <w:sz w:val="24"/>
                <w:szCs w:val="18"/>
                <w:lang w:val="en-US" w:eastAsia="zh-CN"/>
              </w:rPr>
              <w:t>供应商采用的技术方法以农田上图入库等相关技术标准、法律法规和文件为依据，与本次工作相关要求相符合、方法科学明确、具体、全面，得9分；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sz w:val="24"/>
                <w:szCs w:val="18"/>
                <w:lang w:val="en-US" w:eastAsia="zh-CN"/>
              </w:rPr>
            </w:pPr>
            <w:r>
              <w:rPr>
                <w:rFonts w:hint="eastAsia"/>
                <w:sz w:val="24"/>
                <w:szCs w:val="18"/>
                <w:lang w:val="en-US" w:eastAsia="zh-CN"/>
              </w:rPr>
              <w:t>技术标准与法规依据不全面、与本项目的相关要求有出入，得6分；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sz w:val="24"/>
                <w:szCs w:val="18"/>
                <w:lang w:val="en-US" w:eastAsia="zh-CN"/>
              </w:rPr>
              <w:t>技术标准与法规依据简单、与本项目不相适应，得3分；未提供技术标准与法规依据得0分。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113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u w:val="none" w:color="auto"/>
                <w:lang w:val="en-US" w:eastAsia="zh-CN"/>
              </w:rPr>
            </w:pPr>
          </w:p>
        </w:tc>
        <w:tc>
          <w:tcPr>
            <w:tcW w:w="223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u w:val="none" w:color="auto"/>
                <w:lang w:val="en-US" w:eastAsia="zh-CN"/>
              </w:rPr>
            </w:pPr>
            <w:r>
              <w:rPr>
                <w:rFonts w:hint="eastAsia" w:ascii="宋体" w:hAnsi="宋体" w:eastAsia="宋体" w:cs="宋体"/>
                <w:color w:val="000000"/>
                <w:sz w:val="24"/>
                <w:szCs w:val="24"/>
                <w:u w:val="none" w:color="auto"/>
                <w:lang w:val="en-US" w:eastAsia="zh-CN"/>
              </w:rPr>
              <w:t>技术保障</w:t>
            </w:r>
            <w:r>
              <w:rPr>
                <w:rFonts w:hint="eastAsia" w:ascii="宋体" w:hAnsi="宋体" w:cs="宋体"/>
                <w:color w:val="000000"/>
                <w:sz w:val="24"/>
                <w:szCs w:val="24"/>
                <w:u w:val="none" w:color="auto"/>
                <w:lang w:val="en-US" w:eastAsia="zh-CN"/>
              </w:rPr>
              <w:t>与支持（12分）</w:t>
            </w:r>
          </w:p>
        </w:tc>
        <w:tc>
          <w:tcPr>
            <w:tcW w:w="625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宋体" w:hAnsi="宋体" w:eastAsia="宋体" w:cs="宋体"/>
                <w:color w:val="000000"/>
                <w:sz w:val="24"/>
                <w:szCs w:val="24"/>
                <w:u w:val="none" w:color="auto"/>
                <w:lang w:val="en-US" w:eastAsia="zh-CN"/>
              </w:rPr>
            </w:pPr>
            <w:r>
              <w:rPr>
                <w:rFonts w:hint="eastAsia" w:ascii="宋体" w:hAnsi="宋体" w:eastAsia="宋体" w:cs="宋体"/>
                <w:color w:val="000000"/>
                <w:sz w:val="24"/>
                <w:szCs w:val="24"/>
                <w:u w:val="none" w:color="auto"/>
                <w:lang w:val="en-US" w:eastAsia="zh-CN"/>
              </w:rPr>
              <w:t>具体包括</w:t>
            </w:r>
            <w:r>
              <w:rPr>
                <w:rFonts w:hint="eastAsia" w:ascii="宋体" w:hAnsi="宋体" w:cs="宋体"/>
                <w:color w:val="000000"/>
                <w:sz w:val="24"/>
                <w:szCs w:val="24"/>
                <w:u w:val="none" w:color="auto"/>
                <w:lang w:val="en-US" w:eastAsia="zh-CN"/>
              </w:rPr>
              <w:t>：1.</w:t>
            </w:r>
            <w:r>
              <w:rPr>
                <w:rFonts w:hint="eastAsia" w:ascii="宋体" w:hAnsi="宋体" w:eastAsia="宋体" w:cs="宋体"/>
                <w:color w:val="000000"/>
                <w:sz w:val="24"/>
                <w:szCs w:val="24"/>
                <w:u w:val="none" w:color="auto"/>
                <w:lang w:val="en-US" w:eastAsia="zh-CN"/>
              </w:rPr>
              <w:t>各个工作环节</w:t>
            </w:r>
            <w:r>
              <w:rPr>
                <w:rFonts w:hint="eastAsia" w:ascii="宋体" w:hAnsi="宋体" w:cs="宋体"/>
                <w:color w:val="000000"/>
                <w:sz w:val="24"/>
                <w:szCs w:val="24"/>
                <w:u w:val="none" w:color="auto"/>
                <w:lang w:val="en-US" w:eastAsia="zh-CN"/>
              </w:rPr>
              <w:t>；2.</w:t>
            </w:r>
            <w:r>
              <w:rPr>
                <w:rFonts w:hint="eastAsia" w:ascii="宋体" w:hAnsi="宋体" w:eastAsia="宋体" w:cs="宋体"/>
                <w:color w:val="000000"/>
                <w:sz w:val="24"/>
                <w:szCs w:val="24"/>
                <w:u w:val="none" w:color="auto"/>
                <w:lang w:val="en-US" w:eastAsia="zh-CN"/>
              </w:rPr>
              <w:t>工作方案制定</w:t>
            </w:r>
            <w:r>
              <w:rPr>
                <w:rFonts w:hint="eastAsia" w:ascii="宋体" w:hAnsi="宋体" w:cs="宋体"/>
                <w:color w:val="000000"/>
                <w:sz w:val="24"/>
                <w:szCs w:val="24"/>
                <w:u w:val="none" w:color="auto"/>
                <w:lang w:val="en-US" w:eastAsia="zh-CN"/>
              </w:rPr>
              <w:t>；3.</w:t>
            </w:r>
            <w:r>
              <w:rPr>
                <w:rFonts w:hint="eastAsia" w:ascii="宋体" w:hAnsi="宋体" w:eastAsia="宋体" w:cs="宋体"/>
                <w:color w:val="000000"/>
                <w:sz w:val="24"/>
                <w:szCs w:val="24"/>
                <w:u w:val="none" w:color="auto"/>
                <w:lang w:val="en-US" w:eastAsia="zh-CN"/>
              </w:rPr>
              <w:t>统一底图</w:t>
            </w:r>
            <w:r>
              <w:rPr>
                <w:rFonts w:hint="eastAsia" w:ascii="宋体" w:hAnsi="宋体" w:cs="宋体"/>
                <w:color w:val="000000"/>
                <w:sz w:val="24"/>
                <w:szCs w:val="24"/>
                <w:u w:val="none" w:color="auto"/>
                <w:lang w:val="en-US" w:eastAsia="zh-CN"/>
              </w:rPr>
              <w:t>；4.</w:t>
            </w:r>
            <w:r>
              <w:rPr>
                <w:rFonts w:hint="eastAsia" w:ascii="宋体" w:hAnsi="宋体" w:eastAsia="宋体" w:cs="宋体"/>
                <w:color w:val="000000"/>
                <w:sz w:val="24"/>
                <w:szCs w:val="24"/>
                <w:u w:val="none" w:color="auto"/>
                <w:lang w:val="en-US" w:eastAsia="zh-CN"/>
              </w:rPr>
              <w:t>资料核查整理</w:t>
            </w:r>
            <w:r>
              <w:rPr>
                <w:rFonts w:hint="eastAsia" w:ascii="宋体" w:hAnsi="宋体" w:cs="宋体"/>
                <w:color w:val="000000"/>
                <w:sz w:val="24"/>
                <w:szCs w:val="24"/>
                <w:u w:val="none" w:color="auto"/>
                <w:lang w:val="en-US" w:eastAsia="zh-CN"/>
              </w:rPr>
              <w:t>；5.</w:t>
            </w:r>
            <w:r>
              <w:rPr>
                <w:rFonts w:hint="eastAsia" w:ascii="宋体" w:hAnsi="宋体" w:eastAsia="宋体" w:cs="宋体"/>
                <w:color w:val="000000"/>
                <w:sz w:val="24"/>
                <w:szCs w:val="24"/>
                <w:u w:val="none" w:color="auto"/>
                <w:lang w:val="en-US" w:eastAsia="zh-CN"/>
              </w:rPr>
              <w:t>数据处理</w:t>
            </w:r>
            <w:r>
              <w:rPr>
                <w:rFonts w:hint="eastAsia" w:ascii="宋体" w:hAnsi="宋体" w:cs="宋体"/>
                <w:color w:val="000000"/>
                <w:sz w:val="24"/>
                <w:szCs w:val="24"/>
                <w:u w:val="none" w:color="auto"/>
                <w:lang w:val="en-US" w:eastAsia="zh-CN"/>
              </w:rPr>
              <w:t>；6.</w:t>
            </w:r>
            <w:r>
              <w:rPr>
                <w:rFonts w:hint="eastAsia" w:ascii="宋体" w:hAnsi="宋体" w:eastAsia="宋体" w:cs="宋体"/>
                <w:color w:val="000000"/>
                <w:sz w:val="24"/>
                <w:szCs w:val="24"/>
                <w:u w:val="none" w:color="auto"/>
                <w:lang w:val="en-US" w:eastAsia="zh-CN"/>
              </w:rPr>
              <w:t>成果提交</w:t>
            </w:r>
            <w:r>
              <w:rPr>
                <w:rFonts w:hint="eastAsia" w:ascii="宋体" w:hAnsi="宋体" w:cs="宋体"/>
                <w:color w:val="000000"/>
                <w:sz w:val="24"/>
                <w:szCs w:val="24"/>
                <w:u w:val="none" w:color="auto"/>
                <w:lang w:val="en-US" w:eastAsia="zh-CN"/>
              </w:rPr>
              <w:t>。每有一项且</w:t>
            </w:r>
            <w:r>
              <w:rPr>
                <w:rFonts w:hint="eastAsia" w:ascii="宋体" w:hAnsi="宋体" w:eastAsia="宋体" w:cs="宋体"/>
                <w:color w:val="000000"/>
                <w:sz w:val="24"/>
                <w:szCs w:val="24"/>
                <w:u w:val="none" w:color="auto"/>
                <w:lang w:val="en-US" w:eastAsia="zh-CN"/>
              </w:rPr>
              <w:t>内容完整明确、合理</w:t>
            </w:r>
            <w:r>
              <w:rPr>
                <w:rFonts w:hint="eastAsia" w:ascii="宋体" w:hAnsi="宋体" w:cs="宋体"/>
                <w:color w:val="000000"/>
                <w:sz w:val="24"/>
                <w:szCs w:val="24"/>
                <w:u w:val="none" w:color="auto"/>
                <w:lang w:val="en-US" w:eastAsia="zh-CN"/>
              </w:rPr>
              <w:t>的</w:t>
            </w:r>
            <w:r>
              <w:rPr>
                <w:rFonts w:hint="eastAsia" w:ascii="宋体" w:hAnsi="宋体" w:cs="宋体"/>
                <w:color w:val="000000"/>
                <w:sz w:val="24"/>
                <w:szCs w:val="24"/>
                <w:highlight w:val="none"/>
                <w:u w:val="none" w:color="auto"/>
                <w:lang w:val="en-US" w:eastAsia="zh-CN"/>
              </w:rPr>
              <w:t>得2</w:t>
            </w:r>
            <w:r>
              <w:rPr>
                <w:rFonts w:hint="eastAsia" w:ascii="宋体" w:hAnsi="宋体" w:eastAsia="宋体" w:cs="宋体"/>
                <w:color w:val="000000"/>
                <w:sz w:val="24"/>
                <w:szCs w:val="24"/>
                <w:highlight w:val="none"/>
                <w:u w:val="none" w:color="auto"/>
                <w:lang w:val="en-US" w:eastAsia="zh-CN"/>
              </w:rPr>
              <w:t>分，</w:t>
            </w:r>
            <w:r>
              <w:rPr>
                <w:rFonts w:hint="eastAsia" w:ascii="宋体" w:hAnsi="宋体" w:cs="宋体"/>
                <w:color w:val="000000"/>
                <w:sz w:val="24"/>
                <w:szCs w:val="24"/>
                <w:highlight w:val="none"/>
                <w:u w:val="none" w:color="auto"/>
                <w:lang w:val="en-US" w:eastAsia="zh-CN"/>
              </w:rPr>
              <w:t>最高得12分</w:t>
            </w:r>
            <w:r>
              <w:rPr>
                <w:rFonts w:hint="eastAsia" w:ascii="宋体" w:hAnsi="宋体" w:eastAsia="宋体" w:cs="宋体"/>
                <w:color w:val="000000"/>
                <w:sz w:val="24"/>
                <w:szCs w:val="24"/>
                <w:highlight w:val="none"/>
                <w:u w:val="none" w:color="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2" w:hRule="atLeast"/>
          <w:jc w:val="center"/>
        </w:trPr>
        <w:tc>
          <w:tcPr>
            <w:tcW w:w="113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u w:val="none" w:color="auto"/>
                <w:lang w:val="en-US" w:eastAsia="zh-CN"/>
              </w:rPr>
            </w:pPr>
          </w:p>
        </w:tc>
        <w:tc>
          <w:tcPr>
            <w:tcW w:w="22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000000"/>
                <w:sz w:val="24"/>
                <w:szCs w:val="24"/>
                <w:u w:val="none" w:color="auto"/>
                <w:lang w:val="en-US" w:eastAsia="zh-CN"/>
              </w:rPr>
            </w:pPr>
            <w:r>
              <w:rPr>
                <w:rFonts w:hint="eastAsia" w:ascii="宋体" w:hAnsi="宋体"/>
                <w:color w:val="000000" w:themeColor="text1"/>
                <w:sz w:val="24"/>
                <w:szCs w:val="24"/>
                <w:lang w:val="en-US" w:eastAsia="zh-CN"/>
                <w14:textFill>
                  <w14:solidFill>
                    <w14:schemeClr w14:val="tx1"/>
                  </w14:solidFill>
                </w14:textFill>
              </w:rPr>
              <w:t>重点、难点分析及解决方案</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分）</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根据服务要求编制的整体服务方案完善、合理、有针对性，</w:t>
            </w:r>
            <w:r>
              <w:rPr>
                <w:rFonts w:hint="eastAsia" w:ascii="宋体" w:hAnsi="宋体"/>
                <w:color w:val="000000" w:themeColor="text1"/>
                <w:sz w:val="24"/>
                <w:szCs w:val="24"/>
                <w:lang w:val="en-US" w:eastAsia="zh-CN"/>
                <w14:textFill>
                  <w14:solidFill>
                    <w14:schemeClr w14:val="tx1"/>
                  </w14:solidFill>
                </w14:textFill>
              </w:rPr>
              <w:t>对项目的重点、难点分析</w:t>
            </w:r>
            <w:r>
              <w:rPr>
                <w:rFonts w:hint="eastAsia" w:ascii="宋体" w:hAnsi="宋体"/>
                <w:color w:val="000000" w:themeColor="text1"/>
                <w:sz w:val="24"/>
                <w:szCs w:val="24"/>
                <w14:textFill>
                  <w14:solidFill>
                    <w14:schemeClr w14:val="tx1"/>
                  </w14:solidFill>
                </w14:textFill>
              </w:rPr>
              <w:t>有明显措施和</w:t>
            </w:r>
            <w:r>
              <w:rPr>
                <w:rFonts w:hint="eastAsia" w:ascii="宋体" w:hAnsi="宋体"/>
                <w:color w:val="000000" w:themeColor="text1"/>
                <w:sz w:val="24"/>
                <w:szCs w:val="24"/>
                <w:lang w:val="en-US" w:eastAsia="zh-CN"/>
                <w14:textFill>
                  <w14:solidFill>
                    <w14:schemeClr w14:val="tx1"/>
                  </w14:solidFill>
                </w14:textFill>
              </w:rPr>
              <w:t>解决方案</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分</w:t>
            </w:r>
            <w:r>
              <w:rPr>
                <w:rFonts w:hint="eastAsia" w:ascii="宋体" w:hAnsi="宋体"/>
                <w:color w:val="000000" w:themeColor="text1"/>
                <w:sz w:val="24"/>
                <w:szCs w:val="24"/>
                <w:lang w:eastAsia="zh-CN"/>
                <w14:textFill>
                  <w14:solidFill>
                    <w14:schemeClr w14:val="tx1"/>
                  </w14:solidFill>
                </w14:textFill>
              </w:rPr>
              <w:t>；</w:t>
            </w:r>
          </w:p>
          <w:p>
            <w:pPr>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有整体服务方案，</w:t>
            </w:r>
            <w:r>
              <w:rPr>
                <w:rFonts w:hint="eastAsia" w:ascii="宋体" w:hAnsi="宋体"/>
                <w:color w:val="000000" w:themeColor="text1"/>
                <w:sz w:val="24"/>
                <w:szCs w:val="24"/>
                <w:lang w:val="en-US" w:eastAsia="zh-CN"/>
                <w14:textFill>
                  <w14:solidFill>
                    <w14:schemeClr w14:val="tx1"/>
                  </w14:solidFill>
                </w14:textFill>
              </w:rPr>
              <w:t>但对项目的重点、难点分析</w:t>
            </w:r>
            <w:r>
              <w:rPr>
                <w:rFonts w:hint="eastAsia" w:ascii="宋体" w:hAnsi="宋体"/>
                <w:color w:val="000000" w:themeColor="text1"/>
                <w:sz w:val="24"/>
                <w:szCs w:val="24"/>
                <w14:textFill>
                  <w14:solidFill>
                    <w14:schemeClr w14:val="tx1"/>
                  </w14:solidFill>
                </w14:textFill>
              </w:rPr>
              <w:t>和</w:t>
            </w:r>
            <w:r>
              <w:rPr>
                <w:rFonts w:hint="eastAsia" w:ascii="宋体" w:hAnsi="宋体"/>
                <w:color w:val="000000" w:themeColor="text1"/>
                <w:sz w:val="24"/>
                <w:szCs w:val="24"/>
                <w:lang w:val="en-US" w:eastAsia="zh-CN"/>
                <w14:textFill>
                  <w14:solidFill>
                    <w14:schemeClr w14:val="tx1"/>
                  </w14:solidFill>
                </w14:textFill>
              </w:rPr>
              <w:t>解决方案</w:t>
            </w:r>
            <w:r>
              <w:rPr>
                <w:rFonts w:hint="eastAsia" w:ascii="宋体" w:hAnsi="宋体"/>
                <w:color w:val="000000" w:themeColor="text1"/>
                <w:sz w:val="24"/>
                <w:szCs w:val="24"/>
                <w14:textFill>
                  <w14:solidFill>
                    <w14:schemeClr w14:val="tx1"/>
                  </w14:solidFill>
                </w14:textFill>
              </w:rPr>
              <w:t>不强得</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分；</w:t>
            </w:r>
          </w:p>
          <w:p>
            <w:pPr>
              <w:jc w:val="left"/>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服务方案较差、</w:t>
            </w:r>
            <w:r>
              <w:rPr>
                <w:rFonts w:hint="eastAsia" w:ascii="宋体" w:hAnsi="宋体"/>
                <w:color w:val="000000" w:themeColor="text1"/>
                <w:sz w:val="24"/>
                <w:szCs w:val="24"/>
                <w14:textFill>
                  <w14:solidFill>
                    <w14:schemeClr w14:val="tx1"/>
                  </w14:solidFill>
                </w14:textFill>
              </w:rPr>
              <w:t>无</w:t>
            </w:r>
            <w:r>
              <w:rPr>
                <w:rFonts w:hint="eastAsia" w:ascii="宋体" w:hAnsi="宋体"/>
                <w:color w:val="000000" w:themeColor="text1"/>
                <w:sz w:val="24"/>
                <w:szCs w:val="24"/>
                <w:lang w:val="en-US" w:eastAsia="zh-CN"/>
                <w14:textFill>
                  <w14:solidFill>
                    <w14:schemeClr w14:val="tx1"/>
                  </w14:solidFill>
                </w14:textFill>
              </w:rPr>
              <w:t>重点、难点分析</w:t>
            </w:r>
            <w:r>
              <w:rPr>
                <w:rFonts w:hint="eastAsia" w:ascii="宋体" w:hAnsi="宋体"/>
                <w:color w:val="000000" w:themeColor="text1"/>
                <w:sz w:val="24"/>
                <w:szCs w:val="24"/>
                <w14:textFill>
                  <w14:solidFill>
                    <w14:schemeClr w14:val="tx1"/>
                  </w14:solidFill>
                </w14:textFill>
              </w:rPr>
              <w:t>和</w:t>
            </w:r>
            <w:r>
              <w:rPr>
                <w:rFonts w:hint="eastAsia" w:ascii="宋体" w:hAnsi="宋体"/>
                <w:color w:val="000000" w:themeColor="text1"/>
                <w:sz w:val="24"/>
                <w:szCs w:val="24"/>
                <w:lang w:val="en-US" w:eastAsia="zh-CN"/>
                <w14:textFill>
                  <w14:solidFill>
                    <w14:schemeClr w14:val="tx1"/>
                  </w14:solidFill>
                </w14:textFill>
              </w:rPr>
              <w:t>解决方案</w:t>
            </w:r>
            <w:r>
              <w:rPr>
                <w:rFonts w:hint="eastAsia" w:ascii="宋体" w:hAnsi="宋体"/>
                <w:color w:val="000000" w:themeColor="text1"/>
                <w:sz w:val="24"/>
                <w:szCs w:val="24"/>
                <w:lang w:eastAsia="zh-CN"/>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lang w:eastAsia="zh-CN"/>
                <w14:textFill>
                  <w14:solidFill>
                    <w14:schemeClr w14:val="tx1"/>
                  </w14:solidFill>
                </w14:textFill>
              </w:rPr>
              <w:t>分；</w:t>
            </w:r>
          </w:p>
          <w:p>
            <w:pPr>
              <w:jc w:val="left"/>
              <w:rPr>
                <w:rFonts w:hint="default" w:ascii="宋体" w:hAnsi="宋体" w:eastAsia="宋体" w:cs="宋体"/>
                <w:color w:val="000000"/>
                <w:sz w:val="24"/>
                <w:szCs w:val="24"/>
                <w:u w:val="none" w:color="auto"/>
                <w:lang w:val="en-US" w:eastAsia="zh-CN"/>
              </w:rPr>
            </w:pPr>
            <w:r>
              <w:rPr>
                <w:rFonts w:hint="eastAsia" w:ascii="宋体" w:hAnsi="宋体"/>
                <w:color w:val="000000" w:themeColor="text1"/>
                <w:sz w:val="24"/>
                <w:szCs w:val="24"/>
                <w14:textFill>
                  <w14:solidFill>
                    <w14:schemeClr w14:val="tx1"/>
                  </w14:solidFill>
                </w14:textFill>
              </w:rPr>
              <w:t>未提供整体服务方案</w:t>
            </w:r>
            <w:r>
              <w:rPr>
                <w:rFonts w:hint="eastAsia" w:ascii="宋体" w:hAnsi="宋体"/>
                <w:color w:val="000000" w:themeColor="text1"/>
                <w:sz w:val="24"/>
                <w:szCs w:val="24"/>
                <w:lang w:val="en-US" w:eastAsia="zh-CN"/>
                <w14:textFill>
                  <w14:solidFill>
                    <w14:schemeClr w14:val="tx1"/>
                  </w14:solidFill>
                </w14:textFill>
              </w:rPr>
              <w:t>得0分。</w:t>
            </w:r>
          </w:p>
        </w:tc>
      </w:tr>
    </w:tbl>
    <w:p>
      <w:pPr>
        <w:pStyle w:val="3"/>
        <w:keepNext w:val="0"/>
        <w:keepLines w:val="0"/>
        <w:spacing w:line="360" w:lineRule="auto"/>
        <w:jc w:val="both"/>
        <w:rPr>
          <w:rFonts w:ascii="宋体" w:hAnsi="宋体"/>
          <w:sz w:val="24"/>
          <w:szCs w:val="24"/>
        </w:rPr>
      </w:pPr>
      <w:r>
        <w:rPr>
          <w:rFonts w:ascii="宋体" w:hAnsi="宋体"/>
          <w:sz w:val="24"/>
          <w:szCs w:val="24"/>
        </w:rPr>
        <w:br w:type="page"/>
      </w:r>
    </w:p>
    <w:p>
      <w:pPr>
        <w:pStyle w:val="3"/>
        <w:keepNext w:val="0"/>
        <w:keepLines w:val="0"/>
        <w:spacing w:line="360" w:lineRule="auto"/>
        <w:ind w:firstLine="2891" w:firstLineChars="1200"/>
        <w:jc w:val="both"/>
        <w:rPr>
          <w:rFonts w:ascii="宋体" w:hAnsi="宋体"/>
          <w:color w:val="000000"/>
          <w:sz w:val="24"/>
          <w:szCs w:val="24"/>
        </w:rPr>
      </w:pPr>
      <w:bookmarkStart w:id="121" w:name="_Toc497290561"/>
      <w:bookmarkStart w:id="122" w:name="_Toc497408597"/>
      <w:r>
        <w:rPr>
          <w:rFonts w:hint="eastAsia" w:ascii="宋体" w:hAnsi="宋体"/>
          <w:color w:val="000000"/>
          <w:sz w:val="24"/>
          <w:szCs w:val="24"/>
        </w:rPr>
        <w:t>第七章 响应文件格式与要求</w:t>
      </w:r>
      <w:bookmarkEnd w:id="121"/>
      <w:bookmarkEnd w:id="122"/>
    </w:p>
    <w:p>
      <w:pPr>
        <w:spacing w:line="360" w:lineRule="auto"/>
        <w:rPr>
          <w:sz w:val="24"/>
          <w:szCs w:val="24"/>
          <w:lang w:val="zh-CN"/>
        </w:rPr>
      </w:pPr>
    </w:p>
    <w:p>
      <w:pPr>
        <w:widowControl/>
        <w:jc w:val="left"/>
      </w:pPr>
      <w:r>
        <w:rPr>
          <w:rFonts w:ascii="宋体" w:hAnsi="宋体" w:cs="宋体"/>
          <w:kern w:val="0"/>
          <w:sz w:val="24"/>
          <w:szCs w:val="24"/>
          <w:lang w:bidi="ar"/>
        </w:rPr>
        <w:t>供应商提供响应文件应当按照以下格式及要求进行编制，具体要求见所附各格式及说明。</w:t>
      </w:r>
    </w:p>
    <w:p>
      <w:pPr>
        <w:spacing w:line="360" w:lineRule="auto"/>
        <w:rPr>
          <w:rFonts w:ascii="宋体" w:hAnsi="宋体"/>
          <w:bCs/>
          <w:color w:val="000000"/>
          <w:kern w:val="0"/>
          <w:sz w:val="24"/>
          <w:szCs w:val="24"/>
          <w:lang w:val="zh-CN"/>
        </w:rPr>
      </w:pPr>
      <w:r>
        <w:rPr>
          <w:rFonts w:ascii="宋体" w:hAnsi="宋体"/>
          <w:bCs/>
          <w:color w:val="000000"/>
          <w:kern w:val="0"/>
          <w:sz w:val="24"/>
          <w:szCs w:val="24"/>
          <w:lang w:val="zh-CN"/>
        </w:rPr>
        <w:br w:type="page"/>
      </w:r>
    </w:p>
    <w:p>
      <w:pPr>
        <w:spacing w:line="360" w:lineRule="auto"/>
        <w:jc w:val="left"/>
        <w:rPr>
          <w:rFonts w:ascii="宋体" w:hAnsi="宋体"/>
          <w:b/>
          <w:color w:val="000000"/>
          <w:sz w:val="24"/>
          <w:szCs w:val="24"/>
        </w:rPr>
      </w:pPr>
      <w:r>
        <w:rPr>
          <w:rFonts w:hint="eastAsia" w:ascii="宋体" w:hAnsi="宋体"/>
          <w:b/>
          <w:color w:val="000000"/>
          <w:sz w:val="24"/>
          <w:szCs w:val="24"/>
        </w:rPr>
        <w:t>格式一：</w:t>
      </w:r>
    </w:p>
    <w:p>
      <w:pPr>
        <w:spacing w:line="360" w:lineRule="auto"/>
        <w:ind w:firstLine="3603" w:firstLineChars="1001"/>
        <w:rPr>
          <w:rFonts w:ascii="宋体" w:hAnsi="宋体" w:cs="楷体_GB2312"/>
          <w:sz w:val="36"/>
          <w:szCs w:val="36"/>
        </w:rPr>
      </w:pPr>
      <w:r>
        <w:rPr>
          <w:rFonts w:hint="eastAsia" w:ascii="宋体" w:hAnsi="宋体" w:cs="楷体_GB2312"/>
          <w:sz w:val="36"/>
          <w:szCs w:val="36"/>
        </w:rPr>
        <w:t>响应文件封面</w:t>
      </w:r>
    </w:p>
    <w:p>
      <w:pPr>
        <w:spacing w:line="360" w:lineRule="auto"/>
        <w:ind w:firstLine="3603" w:firstLineChars="1001"/>
        <w:rPr>
          <w:rFonts w:ascii="宋体" w:hAnsi="宋体" w:cs="楷体_GB2312"/>
          <w:sz w:val="36"/>
          <w:szCs w:val="36"/>
        </w:rPr>
      </w:pPr>
    </w:p>
    <w:p>
      <w:pPr>
        <w:spacing w:line="360" w:lineRule="auto"/>
        <w:ind w:firstLine="3137" w:firstLineChars="601"/>
        <w:rPr>
          <w:rFonts w:ascii="宋体" w:hAnsi="宋体"/>
          <w:b/>
          <w:bCs/>
          <w:kern w:val="0"/>
          <w:sz w:val="52"/>
          <w:szCs w:val="52"/>
        </w:rPr>
      </w:pPr>
      <w:r>
        <w:rPr>
          <w:rFonts w:hint="eastAsia" w:ascii="宋体" w:hAnsi="宋体" w:cs="宋体"/>
          <w:b/>
          <w:bCs/>
          <w:kern w:val="0"/>
          <w:sz w:val="52"/>
          <w:szCs w:val="52"/>
        </w:rPr>
        <w:t>（项目名称）</w:t>
      </w:r>
    </w:p>
    <w:p>
      <w:pPr>
        <w:spacing w:line="360" w:lineRule="auto"/>
        <w:ind w:firstLine="3659" w:firstLineChars="701"/>
        <w:rPr>
          <w:rFonts w:ascii="宋体" w:hAnsi="宋体"/>
          <w:b/>
          <w:bCs/>
          <w:kern w:val="0"/>
          <w:sz w:val="52"/>
          <w:szCs w:val="52"/>
        </w:rPr>
      </w:pPr>
      <w:r>
        <w:rPr>
          <w:rFonts w:hint="eastAsia" w:ascii="宋体" w:hAnsi="宋体" w:cs="宋体"/>
          <w:b/>
          <w:bCs/>
          <w:kern w:val="0"/>
          <w:sz w:val="52"/>
          <w:szCs w:val="52"/>
        </w:rPr>
        <w:t>响应文件</w:t>
      </w:r>
    </w:p>
    <w:p>
      <w:pPr>
        <w:spacing w:line="360" w:lineRule="auto"/>
        <w:ind w:firstLine="3600" w:firstLineChars="1000"/>
        <w:rPr>
          <w:rFonts w:ascii="宋体" w:hAnsi="宋体"/>
          <w:b/>
          <w:bCs/>
          <w:kern w:val="0"/>
          <w:sz w:val="36"/>
          <w:szCs w:val="36"/>
        </w:rPr>
      </w:pPr>
      <w:r>
        <w:rPr>
          <w:rFonts w:hint="eastAsia" w:ascii="宋体" w:hAnsi="宋体" w:cs="楷体_GB2312"/>
          <w:sz w:val="36"/>
          <w:szCs w:val="36"/>
        </w:rPr>
        <w:t>（正本</w:t>
      </w:r>
      <w:r>
        <w:rPr>
          <w:rFonts w:ascii="宋体" w:hAnsi="宋体" w:cs="楷体_GB2312"/>
          <w:sz w:val="36"/>
          <w:szCs w:val="36"/>
        </w:rPr>
        <w:t>/</w:t>
      </w:r>
      <w:r>
        <w:rPr>
          <w:rFonts w:hint="eastAsia" w:ascii="宋体" w:hAnsi="宋体" w:cs="楷体_GB2312"/>
          <w:sz w:val="36"/>
          <w:szCs w:val="36"/>
        </w:rPr>
        <w:t>副本）</w:t>
      </w:r>
    </w:p>
    <w:p>
      <w:pPr>
        <w:spacing w:line="360" w:lineRule="auto"/>
        <w:ind w:firstLine="484" w:firstLineChars="201"/>
        <w:jc w:val="center"/>
        <w:rPr>
          <w:rFonts w:ascii="楷体_GB2312" w:hAnsi="宋体" w:eastAsia="楷体_GB2312"/>
          <w:b/>
          <w:bCs/>
          <w:kern w:val="0"/>
          <w:sz w:val="24"/>
          <w:szCs w:val="24"/>
        </w:rPr>
      </w:pPr>
    </w:p>
    <w:p>
      <w:pPr>
        <w:spacing w:line="360" w:lineRule="auto"/>
        <w:ind w:firstLine="482" w:firstLineChars="201"/>
        <w:jc w:val="left"/>
        <w:rPr>
          <w:rFonts w:ascii="宋体" w:hAnsi="宋体" w:cs="宋体"/>
          <w:sz w:val="24"/>
          <w:szCs w:val="24"/>
        </w:rPr>
      </w:pPr>
    </w:p>
    <w:p>
      <w:pPr>
        <w:spacing w:line="360" w:lineRule="auto"/>
        <w:ind w:firstLine="482" w:firstLineChars="201"/>
        <w:rPr>
          <w:rFonts w:ascii="宋体" w:hAnsi="宋体" w:cs="宋体"/>
          <w:sz w:val="24"/>
          <w:szCs w:val="24"/>
        </w:rPr>
      </w:pPr>
      <w:r>
        <w:rPr>
          <w:rFonts w:hint="eastAsia" w:ascii="宋体" w:hAnsi="宋体" w:cs="宋体"/>
          <w:sz w:val="24"/>
          <w:szCs w:val="24"/>
        </w:rPr>
        <w:t>项目编号：</w:t>
      </w:r>
    </w:p>
    <w:p>
      <w:pPr>
        <w:spacing w:line="360" w:lineRule="auto"/>
        <w:ind w:firstLine="482" w:firstLineChars="201"/>
        <w:rPr>
          <w:rFonts w:ascii="宋体" w:hAnsi="宋体" w:cs="宋体"/>
          <w:sz w:val="24"/>
          <w:szCs w:val="24"/>
        </w:rPr>
      </w:pPr>
      <w:r>
        <w:rPr>
          <w:rFonts w:hint="eastAsia" w:ascii="宋体" w:hAnsi="宋体" w:cs="宋体"/>
          <w:sz w:val="24"/>
          <w:szCs w:val="24"/>
        </w:rPr>
        <w:t>包</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第</w:t>
      </w:r>
      <w:r>
        <w:rPr>
          <w:rFonts w:ascii="宋体" w:hAnsi="宋体" w:cs="宋体"/>
          <w:sz w:val="24"/>
          <w:szCs w:val="24"/>
        </w:rPr>
        <w:t xml:space="preserve">    </w:t>
      </w:r>
      <w:r>
        <w:rPr>
          <w:rFonts w:hint="eastAsia" w:ascii="宋体" w:hAnsi="宋体" w:cs="宋体"/>
          <w:sz w:val="24"/>
          <w:szCs w:val="24"/>
        </w:rPr>
        <w:t>包（若项目分包时使用）</w:t>
      </w:r>
    </w:p>
    <w:p>
      <w:pPr>
        <w:spacing w:line="360" w:lineRule="auto"/>
        <w:ind w:firstLine="482" w:firstLineChars="201"/>
        <w:jc w:val="center"/>
        <w:rPr>
          <w:rFonts w:ascii="宋体" w:hAnsi="宋体" w:cs="宋体"/>
          <w:sz w:val="24"/>
          <w:szCs w:val="24"/>
        </w:rPr>
      </w:pPr>
    </w:p>
    <w:p>
      <w:pPr>
        <w:spacing w:line="360" w:lineRule="auto"/>
        <w:rPr>
          <w:rFonts w:ascii="宋体" w:hAnsi="宋体" w:cs="宋体"/>
          <w:sz w:val="24"/>
          <w:szCs w:val="24"/>
        </w:rPr>
      </w:pPr>
    </w:p>
    <w:p>
      <w:pPr>
        <w:spacing w:line="360" w:lineRule="auto"/>
        <w:ind w:firstLine="482" w:firstLineChars="201"/>
        <w:jc w:val="center"/>
        <w:rPr>
          <w:rFonts w:ascii="宋体" w:hAnsi="宋体" w:cs="宋体"/>
          <w:sz w:val="24"/>
          <w:szCs w:val="24"/>
        </w:rPr>
      </w:pPr>
      <w:r>
        <w:rPr>
          <w:rFonts w:hint="eastAsia" w:ascii="宋体" w:hAnsi="宋体" w:cs="宋体"/>
          <w:sz w:val="24"/>
          <w:szCs w:val="24"/>
        </w:rPr>
        <w:t>（供应商名称）</w:t>
      </w:r>
    </w:p>
    <w:p>
      <w:pPr>
        <w:spacing w:line="360" w:lineRule="auto"/>
        <w:ind w:firstLine="482" w:firstLineChars="201"/>
        <w:jc w:val="center"/>
        <w:rPr>
          <w:rFonts w:ascii="宋体" w:hAnsi="宋体" w:cs="宋体"/>
          <w:sz w:val="24"/>
          <w:szCs w:val="24"/>
        </w:rPr>
      </w:pPr>
    </w:p>
    <w:p>
      <w:pPr>
        <w:spacing w:line="360" w:lineRule="auto"/>
        <w:ind w:firstLine="482" w:firstLineChars="201"/>
        <w:jc w:val="center"/>
        <w:rPr>
          <w:rFonts w:ascii="宋体" w:hAns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bookmarkStart w:id="123" w:name="_Toc482026546"/>
    </w:p>
    <w:bookmarkEnd w:id="123"/>
    <w:p>
      <w:pPr>
        <w:spacing w:line="360" w:lineRule="auto"/>
        <w:rPr>
          <w:rFonts w:ascii="宋体" w:hAnsi="宋体" w:cs="宋体"/>
          <w:sz w:val="24"/>
          <w:szCs w:val="24"/>
        </w:rPr>
      </w:pPr>
      <w:bookmarkStart w:id="124" w:name="_Toc482196940"/>
      <w:r>
        <w:rPr>
          <w:rFonts w:ascii="宋体" w:hAnsi="宋体" w:cs="宋体"/>
          <w:sz w:val="24"/>
          <w:szCs w:val="24"/>
        </w:rPr>
        <w:br w:type="page"/>
      </w:r>
    </w:p>
    <w:bookmarkEnd w:id="124"/>
    <w:p>
      <w:pPr>
        <w:spacing w:line="360" w:lineRule="auto"/>
        <w:jc w:val="left"/>
        <w:rPr>
          <w:rFonts w:ascii="宋体" w:hAnsi="宋体"/>
          <w:b/>
          <w:color w:val="000000"/>
          <w:sz w:val="24"/>
          <w:szCs w:val="24"/>
        </w:rPr>
      </w:pPr>
      <w:r>
        <w:rPr>
          <w:rFonts w:hint="eastAsia" w:ascii="宋体" w:hAnsi="宋体"/>
          <w:b/>
          <w:color w:val="000000"/>
          <w:sz w:val="24"/>
          <w:szCs w:val="24"/>
        </w:rPr>
        <w:t xml:space="preserve">格式二：                 </w:t>
      </w:r>
    </w:p>
    <w:p>
      <w:pPr>
        <w:spacing w:line="360" w:lineRule="auto"/>
        <w:jc w:val="center"/>
        <w:rPr>
          <w:rFonts w:ascii="宋体" w:hAnsi="宋体"/>
          <w:color w:val="000000"/>
          <w:sz w:val="24"/>
          <w:szCs w:val="24"/>
        </w:rPr>
      </w:pPr>
      <w:r>
        <w:rPr>
          <w:rFonts w:hint="eastAsia" w:ascii="宋体" w:hAnsi="宋体"/>
          <w:color w:val="000000"/>
          <w:sz w:val="24"/>
          <w:szCs w:val="24"/>
        </w:rPr>
        <w:t>响应文件目录</w:t>
      </w:r>
    </w:p>
    <w:p>
      <w:pPr>
        <w:spacing w:line="360" w:lineRule="auto"/>
        <w:rPr>
          <w:rFonts w:ascii="宋体" w:hAnsi="宋体"/>
          <w:color w:val="000000"/>
          <w:sz w:val="24"/>
          <w:szCs w:val="24"/>
        </w:rPr>
      </w:pPr>
      <w:r>
        <w:rPr>
          <w:rFonts w:hint="eastAsia" w:ascii="宋体" w:hAnsi="宋体"/>
          <w:color w:val="000000"/>
          <w:sz w:val="24"/>
          <w:szCs w:val="24"/>
        </w:rPr>
        <w:t>一. 投标承诺书………………………………………………………</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二. 开标一览表……………………………………………………</w:t>
      </w:r>
      <w:r>
        <w:rPr>
          <w:rFonts w:ascii="宋体" w:hAnsi="宋体"/>
          <w:color w:val="000000"/>
          <w:sz w:val="24"/>
          <w:szCs w:val="24"/>
        </w:rPr>
        <w:t>…………</w:t>
      </w:r>
      <w:r>
        <w:rPr>
          <w:rFonts w:hint="eastAsia" w:ascii="宋体" w:hAnsi="宋体"/>
          <w:color w:val="000000"/>
          <w:sz w:val="24"/>
          <w:szCs w:val="24"/>
        </w:rPr>
        <w:t>…  （ ）</w:t>
      </w:r>
    </w:p>
    <w:p>
      <w:pPr>
        <w:spacing w:line="360" w:lineRule="auto"/>
        <w:rPr>
          <w:rFonts w:ascii="宋体" w:hAnsi="宋体"/>
          <w:color w:val="000000"/>
          <w:sz w:val="24"/>
          <w:szCs w:val="24"/>
        </w:rPr>
      </w:pPr>
      <w:r>
        <w:rPr>
          <w:rFonts w:hint="eastAsia" w:ascii="宋体" w:hAnsi="宋体"/>
          <w:color w:val="000000"/>
          <w:sz w:val="24"/>
          <w:szCs w:val="24"/>
        </w:rPr>
        <w:t>三. 法定代表人身份证明……………………………………………………</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color w:val="000000"/>
          <w:sz w:val="24"/>
          <w:szCs w:val="24"/>
        </w:rPr>
        <w:t>四.</w:t>
      </w:r>
      <w:r>
        <w:rPr>
          <w:rFonts w:asciiTheme="minorEastAsia" w:hAnsiTheme="minorEastAsia" w:eastAsiaTheme="minorEastAsia"/>
          <w:sz w:val="24"/>
          <w:szCs w:val="24"/>
        </w:rPr>
        <w:t>授权委托人身份证明</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color w:val="000000"/>
          <w:sz w:val="24"/>
          <w:szCs w:val="24"/>
        </w:rPr>
        <w:t>五.</w:t>
      </w:r>
      <w:r>
        <w:rPr>
          <w:rFonts w:asciiTheme="minorEastAsia" w:hAnsiTheme="minorEastAsia" w:eastAsiaTheme="minorEastAsia"/>
          <w:sz w:val="24"/>
          <w:szCs w:val="24"/>
        </w:rPr>
        <w:t>授权委托书</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 ）</w:t>
      </w:r>
    </w:p>
    <w:p>
      <w:pPr>
        <w:spacing w:line="360" w:lineRule="auto"/>
        <w:rPr>
          <w:rFonts w:asciiTheme="minorEastAsia" w:hAnsiTheme="minorEastAsia" w:eastAsiaTheme="minorEastAsia"/>
          <w:bCs/>
          <w:sz w:val="24"/>
          <w:szCs w:val="24"/>
        </w:rPr>
      </w:pPr>
      <w:r>
        <w:rPr>
          <w:rFonts w:hint="eastAsia" w:ascii="宋体" w:hAnsi="宋体"/>
          <w:color w:val="000000"/>
          <w:sz w:val="24"/>
          <w:szCs w:val="24"/>
        </w:rPr>
        <w:t>六.</w:t>
      </w:r>
      <w:r>
        <w:rPr>
          <w:rFonts w:asciiTheme="minorEastAsia" w:hAnsiTheme="minorEastAsia" w:eastAsiaTheme="minorEastAsia"/>
          <w:bCs/>
          <w:sz w:val="24"/>
          <w:szCs w:val="24"/>
        </w:rPr>
        <w:t>投标保证金</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 ）</w:t>
      </w:r>
    </w:p>
    <w:p>
      <w:pPr>
        <w:spacing w:line="360" w:lineRule="auto"/>
        <w:rPr>
          <w:rFonts w:ascii="宋体" w:hAnsi="宋体"/>
          <w:color w:val="000000"/>
          <w:sz w:val="24"/>
          <w:szCs w:val="24"/>
        </w:rPr>
      </w:pPr>
      <w:r>
        <w:rPr>
          <w:rFonts w:hint="eastAsia" w:ascii="宋体" w:hAnsi="宋体"/>
          <w:color w:val="000000"/>
          <w:sz w:val="24"/>
          <w:szCs w:val="24"/>
        </w:rPr>
        <w:t>七.</w:t>
      </w:r>
      <w:r>
        <w:rPr>
          <w:rFonts w:asciiTheme="minorEastAsia" w:hAnsiTheme="minorEastAsia" w:eastAsiaTheme="minorEastAsia"/>
          <w:bCs/>
          <w:sz w:val="24"/>
          <w:szCs w:val="24"/>
        </w:rPr>
        <w:t>联合体协议书</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八．本项目服务人员简表……………………………………………………    （ ）</w:t>
      </w:r>
    </w:p>
    <w:p>
      <w:pPr>
        <w:spacing w:line="360" w:lineRule="auto"/>
        <w:rPr>
          <w:rFonts w:ascii="宋体" w:hAnsi="宋体"/>
          <w:color w:val="000000"/>
          <w:sz w:val="24"/>
          <w:szCs w:val="24"/>
        </w:rPr>
      </w:pPr>
      <w:r>
        <w:rPr>
          <w:rFonts w:hint="eastAsia" w:ascii="宋体" w:hAnsi="宋体"/>
          <w:color w:val="000000"/>
          <w:sz w:val="24"/>
          <w:szCs w:val="24"/>
        </w:rPr>
        <w:t>九.分项报价明细表</w:t>
      </w:r>
      <w:r>
        <w:rPr>
          <w:rFonts w:ascii="宋体" w:hAnsi="宋体"/>
          <w:color w:val="000000"/>
          <w:sz w:val="24"/>
          <w:szCs w:val="24"/>
        </w:rPr>
        <w:t>………………</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十.服务需求响应表………………………………………………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十一.项目服务方案………………………………………………</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十二.商务规格响应表…………………………………………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十三.供应商业绩情况表…………………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十四.供应商基本情况表……………………………………………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十五.</w:t>
      </w:r>
      <w:r>
        <w:rPr>
          <w:rFonts w:hint="eastAsia" w:ascii="宋体" w:hAnsi="宋体"/>
          <w:sz w:val="24"/>
          <w:szCs w:val="24"/>
        </w:rPr>
        <w:t>商业信誉报告</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十六.缴纳增值税、营业税或企业所得税的凭据</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十七.缴纳社会保险的凭据………………………………………</w:t>
      </w:r>
      <w:r>
        <w:rPr>
          <w:rFonts w:ascii="宋体" w:hAnsi="宋体"/>
          <w:color w:val="000000"/>
          <w:sz w:val="24"/>
          <w:szCs w:val="24"/>
        </w:rPr>
        <w:t>…………</w:t>
      </w:r>
      <w:r>
        <w:rPr>
          <w:rFonts w:hint="eastAsia" w:ascii="宋体" w:hAnsi="宋体"/>
          <w:color w:val="000000"/>
          <w:sz w:val="24"/>
          <w:szCs w:val="24"/>
        </w:rPr>
        <w:t>…   （ ）</w:t>
      </w:r>
    </w:p>
    <w:p>
      <w:pPr>
        <w:autoSpaceDE w:val="0"/>
        <w:autoSpaceDN w:val="0"/>
        <w:spacing w:line="360" w:lineRule="auto"/>
        <w:jc w:val="left"/>
        <w:rPr>
          <w:rFonts w:ascii="宋体" w:hAnsi="宋体"/>
          <w:color w:val="000000"/>
          <w:sz w:val="24"/>
          <w:szCs w:val="24"/>
        </w:rPr>
      </w:pPr>
      <w:r>
        <w:rPr>
          <w:rFonts w:hint="eastAsia" w:ascii="宋体" w:hAnsi="宋体"/>
          <w:color w:val="000000"/>
          <w:sz w:val="24"/>
          <w:szCs w:val="24"/>
        </w:rPr>
        <w:t>十八.参加政府采购前三年内在经营活动中无重大违法记录书面声明</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十九.政府采购政策情况表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二十.中小企业声明函</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二十一.残疾人福利性单位声明函</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二十二.各类证明材料…………………………………………………</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b/>
          <w:color w:val="000000"/>
          <w:sz w:val="24"/>
          <w:szCs w:val="24"/>
        </w:rPr>
      </w:pPr>
      <w:bookmarkStart w:id="125" w:name="_Toc482026547"/>
      <w:r>
        <w:rPr>
          <w:rFonts w:ascii="宋体" w:hAnsi="宋体"/>
          <w:b/>
          <w:color w:val="000000"/>
          <w:sz w:val="24"/>
          <w:szCs w:val="24"/>
        </w:rPr>
        <w:br w:type="page"/>
      </w:r>
    </w:p>
    <w:p>
      <w:pPr>
        <w:spacing w:line="360" w:lineRule="auto"/>
        <w:jc w:val="left"/>
        <w:rPr>
          <w:rFonts w:ascii="宋体" w:hAnsi="宋体"/>
          <w:b/>
          <w:color w:val="000000"/>
          <w:sz w:val="24"/>
          <w:szCs w:val="24"/>
        </w:rPr>
      </w:pPr>
      <w:r>
        <w:rPr>
          <w:rFonts w:hint="eastAsia" w:ascii="宋体" w:hAnsi="宋体"/>
          <w:b/>
          <w:color w:val="000000"/>
          <w:sz w:val="24"/>
          <w:szCs w:val="24"/>
        </w:rPr>
        <w:t>格式三：</w:t>
      </w:r>
      <w:bookmarkEnd w:id="125"/>
      <w:r>
        <w:rPr>
          <w:rFonts w:hint="eastAsia" w:ascii="宋体" w:hAnsi="宋体"/>
          <w:b/>
          <w:color w:val="000000"/>
          <w:sz w:val="24"/>
          <w:szCs w:val="24"/>
        </w:rPr>
        <w:t xml:space="preserve">  </w:t>
      </w:r>
    </w:p>
    <w:p>
      <w:pPr>
        <w:keepNext w:val="0"/>
        <w:keepLines w:val="0"/>
        <w:pageBreakBefore w:val="0"/>
        <w:widowControl w:val="0"/>
        <w:kinsoku/>
        <w:wordWrap/>
        <w:overflowPunct/>
        <w:topLinePunct w:val="0"/>
        <w:bidi w:val="0"/>
        <w:spacing w:line="400" w:lineRule="exact"/>
        <w:jc w:val="center"/>
        <w:textAlignment w:val="auto"/>
        <w:rPr>
          <w:rFonts w:ascii="宋体" w:hAnsi="宋体"/>
          <w:bCs/>
          <w:sz w:val="24"/>
          <w:szCs w:val="24"/>
        </w:rPr>
      </w:pPr>
      <w:r>
        <w:rPr>
          <w:rFonts w:hint="eastAsia" w:ascii="宋体" w:hAnsi="宋体"/>
          <w:bCs/>
          <w:sz w:val="24"/>
          <w:szCs w:val="24"/>
          <w:lang w:eastAsia="zh-CN"/>
        </w:rPr>
        <w:t>一、政府采购诚信</w:t>
      </w:r>
      <w:r>
        <w:rPr>
          <w:rFonts w:hint="eastAsia" w:ascii="宋体" w:hAnsi="宋体"/>
          <w:bCs/>
          <w:sz w:val="24"/>
          <w:szCs w:val="24"/>
        </w:rPr>
        <w:t>投标承诺书</w:t>
      </w:r>
    </w:p>
    <w:p>
      <w:pPr>
        <w:keepNext w:val="0"/>
        <w:keepLines w:val="0"/>
        <w:pageBreakBefore w:val="0"/>
        <w:widowControl w:val="0"/>
        <w:kinsoku/>
        <w:wordWrap/>
        <w:overflowPunct/>
        <w:topLinePunct w:val="0"/>
        <w:bidi w:val="0"/>
        <w:spacing w:line="400" w:lineRule="exact"/>
        <w:textAlignment w:val="auto"/>
        <w:rPr>
          <w:rFonts w:ascii="宋体" w:hAnsi="宋体"/>
          <w:sz w:val="24"/>
          <w:szCs w:val="24"/>
        </w:rPr>
      </w:pPr>
      <w:r>
        <w:rPr>
          <w:rFonts w:hint="eastAsia" w:ascii="宋体" w:hAnsi="宋体"/>
          <w:sz w:val="24"/>
          <w:szCs w:val="24"/>
          <w:lang w:eastAsia="zh-CN"/>
        </w:rPr>
        <w:t>鄂托克前旗财政局、</w:t>
      </w:r>
      <w:r>
        <w:rPr>
          <w:rFonts w:hint="eastAsia" w:ascii="宋体" w:hAnsi="宋体"/>
          <w:sz w:val="24"/>
          <w:szCs w:val="24"/>
          <w:lang w:val="en-US" w:eastAsia="zh-CN"/>
        </w:rPr>
        <w:t xml:space="preserve"> </w:t>
      </w:r>
      <w:r>
        <w:rPr>
          <w:rFonts w:hint="eastAsia" w:ascii="宋体" w:hAnsi="宋体"/>
          <w:sz w:val="24"/>
          <w:szCs w:val="24"/>
          <w:u w:val="single"/>
        </w:rPr>
        <w:t>（采购人名称）</w:t>
      </w:r>
      <w:r>
        <w:rPr>
          <w:rFonts w:hint="eastAsia" w:ascii="宋体" w:hAnsi="宋体"/>
          <w:sz w:val="24"/>
          <w:szCs w:val="24"/>
          <w:u w:val="single"/>
          <w:lang w:val="en-US" w:eastAsia="zh-CN"/>
        </w:rPr>
        <w:t xml:space="preserve"> 、</w:t>
      </w:r>
      <w:r>
        <w:rPr>
          <w:rFonts w:hint="eastAsia" w:ascii="宋体" w:hAnsi="宋体"/>
          <w:sz w:val="24"/>
          <w:szCs w:val="24"/>
          <w:lang w:eastAsia="zh-CN"/>
        </w:rPr>
        <w:t>鄂尔多斯市鄂托克前旗公共资源交易中心</w:t>
      </w:r>
      <w:r>
        <w:rPr>
          <w:rFonts w:hint="eastAsia" w:ascii="宋体" w:hAnsi="宋体"/>
          <w:sz w:val="24"/>
          <w:szCs w:val="24"/>
        </w:rPr>
        <w:t xml:space="preserve">： </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1.按照已收到的</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）谈判文件要求，经我方</w:t>
      </w:r>
      <w:r>
        <w:rPr>
          <w:rFonts w:hint="eastAsia" w:ascii="宋体" w:hAnsi="宋体"/>
          <w:color w:val="000000"/>
          <w:sz w:val="24"/>
          <w:szCs w:val="24"/>
          <w:u w:val="single"/>
        </w:rPr>
        <w:t xml:space="preserve">  （</w:t>
      </w:r>
      <w:r>
        <w:rPr>
          <w:rFonts w:hint="eastAsia" w:ascii="宋体" w:hAnsi="宋体"/>
          <w:color w:val="auto"/>
          <w:sz w:val="24"/>
          <w:szCs w:val="24"/>
          <w:u w:val="single"/>
        </w:rPr>
        <w:t>供应商</w:t>
      </w:r>
      <w:r>
        <w:rPr>
          <w:rFonts w:hint="eastAsia" w:ascii="宋体" w:hAnsi="宋体"/>
          <w:color w:val="000000"/>
          <w:sz w:val="24"/>
          <w:szCs w:val="24"/>
          <w:u w:val="single"/>
        </w:rPr>
        <w:t xml:space="preserve">名称）  </w:t>
      </w:r>
      <w:r>
        <w:rPr>
          <w:rFonts w:hint="eastAsia" w:ascii="宋体" w:hAnsi="宋体"/>
          <w:sz w:val="24"/>
          <w:szCs w:val="24"/>
        </w:rPr>
        <w:t>认真研究投标须知、合同条款、技术规范、资质要求和其它有关要求后，我方愿按上述合同条款、技术规范、资质要求进行投标。我方完全接受本次谈判文件规定的所有要求，并承诺在中标后执行谈判文件、响应文件和合同的全部要求，并履行我方的全部义务。我方的最终报价为总承包价，保证不以任何理由增加报价。如有缺项、漏项部分，均由我方无条件负责补齐。</w:t>
      </w:r>
    </w:p>
    <w:p>
      <w:pPr>
        <w:keepNext w:val="0"/>
        <w:keepLines w:val="0"/>
        <w:pageBreakBefore w:val="0"/>
        <w:widowControl w:val="0"/>
        <w:kinsoku/>
        <w:wordWrap/>
        <w:overflowPunct/>
        <w:topLinePunct w:val="0"/>
        <w:bidi w:val="0"/>
        <w:spacing w:line="400" w:lineRule="exact"/>
        <w:ind w:firstLine="57"/>
        <w:textAlignment w:val="auto"/>
        <w:rPr>
          <w:rFonts w:ascii="宋体" w:hAnsi="宋体"/>
          <w:sz w:val="24"/>
          <w:szCs w:val="24"/>
        </w:rPr>
      </w:pPr>
      <w:r>
        <w:rPr>
          <w:rFonts w:hint="eastAsia" w:ascii="宋体" w:hAnsi="宋体"/>
          <w:sz w:val="24"/>
          <w:szCs w:val="24"/>
        </w:rPr>
        <w:t xml:space="preserve">    2. 我方同意所递交的响应文件在“投标须知”规定的投标有效期内有效，在此期间内我方的投标如能中标，我方将受此约束。</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3. 我方郑重声明：所提供的响应文件内容全部真实有效。如经查实承诺的内容事项存在虚假，我公司愿意接受提供虚假材料谋取中标追究法律责任。</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4. 我方将严格遵守《中华人民共和国政府采购法》、《</w:t>
      </w:r>
      <w:r>
        <w:rPr>
          <w:rFonts w:ascii="宋体" w:hAnsi="宋体"/>
          <w:sz w:val="24"/>
          <w:szCs w:val="24"/>
        </w:rPr>
        <w:t>中华人民共和国合同法</w:t>
      </w:r>
      <w:r>
        <w:rPr>
          <w:rFonts w:hint="eastAsia" w:ascii="宋体" w:hAnsi="宋体"/>
          <w:sz w:val="24"/>
          <w:szCs w:val="24"/>
        </w:rPr>
        <w:t>》等有关法律、法规规定，如有违反，无条件接受相关部门的处罚；</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5. 我方同意提供</w:t>
      </w:r>
      <w:r>
        <w:rPr>
          <w:rFonts w:hint="eastAsia" w:ascii="宋体" w:hAnsi="宋体"/>
          <w:kern w:val="0"/>
          <w:sz w:val="24"/>
          <w:szCs w:val="24"/>
        </w:rPr>
        <w:t>按照贵方</w:t>
      </w:r>
      <w:r>
        <w:rPr>
          <w:rFonts w:hint="eastAsia" w:ascii="宋体" w:hAnsi="宋体"/>
          <w:sz w:val="24"/>
          <w:szCs w:val="24"/>
        </w:rPr>
        <w:t>可能另外要求的与其投标有关的任何数据或资料。除非另外达成协议并生效，否则，中标通知书和本响应文件将构成约束双方合同的组成部分。</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6. 我单位如果存在下列情形的，愿意承担取消中标资格、投标保证金不予退还、赔偿超过投标保证金金额的损失部分、</w:t>
      </w:r>
      <w:r>
        <w:rPr>
          <w:rFonts w:hint="eastAsia" w:ascii="宋体" w:hAnsi="宋体"/>
          <w:kern w:val="0"/>
          <w:sz w:val="24"/>
          <w:szCs w:val="24"/>
          <w:lang w:eastAsia="zh-CN"/>
        </w:rPr>
        <w:t>记入诚信档案、媒体通报，</w:t>
      </w:r>
      <w:r>
        <w:rPr>
          <w:rFonts w:hint="eastAsia" w:ascii="宋体" w:hAnsi="宋体"/>
          <w:kern w:val="0"/>
          <w:sz w:val="24"/>
          <w:szCs w:val="24"/>
          <w:lang w:val="en-US" w:eastAsia="zh-CN"/>
        </w:rPr>
        <w:t>2年内不参加地区政府采购活动，并</w:t>
      </w:r>
      <w:r>
        <w:rPr>
          <w:rFonts w:hint="eastAsia" w:ascii="宋体" w:hAnsi="宋体"/>
          <w:kern w:val="0"/>
          <w:sz w:val="24"/>
          <w:szCs w:val="24"/>
        </w:rPr>
        <w:t>接受有关监督部门处罚等后果：</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（1）中标后，无正当理由放弃中标资格；</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（2）中标后，无正当理由不与招标人签订合同；</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（3）在签订合同时，向招标人提出附加条件；</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（4）不按照谈判文件要求提交履约保证金；</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（5）要求修改、补充和撤销响应文件的实质性内容；</w:t>
      </w:r>
    </w:p>
    <w:p>
      <w:pPr>
        <w:keepNext w:val="0"/>
        <w:keepLines w:val="0"/>
        <w:pageBreakBefore w:val="0"/>
        <w:widowControl w:val="0"/>
        <w:kinsoku/>
        <w:wordWrap/>
        <w:overflowPunct/>
        <w:topLinePunct w:val="0"/>
        <w:bidi w:val="0"/>
        <w:spacing w:line="400" w:lineRule="exact"/>
        <w:ind w:firstLine="528" w:firstLineChars="220"/>
        <w:textAlignment w:val="auto"/>
      </w:pPr>
      <w:r>
        <w:rPr>
          <w:rFonts w:hint="eastAsia" w:ascii="宋体" w:hAnsi="宋体"/>
          <w:kern w:val="0"/>
          <w:sz w:val="24"/>
          <w:szCs w:val="24"/>
        </w:rPr>
        <w:t>（6）要求更改谈判文件和中标结果公告的实质性内容；</w:t>
      </w:r>
    </w:p>
    <w:p>
      <w:pPr>
        <w:keepNext w:val="0"/>
        <w:keepLines w:val="0"/>
        <w:pageBreakBefore w:val="0"/>
        <w:widowControl w:val="0"/>
        <w:kinsoku/>
        <w:wordWrap/>
        <w:overflowPunct/>
        <w:topLinePunct w:val="0"/>
        <w:bidi w:val="0"/>
        <w:spacing w:line="400" w:lineRule="exact"/>
        <w:ind w:firstLine="528" w:firstLineChars="220"/>
        <w:textAlignment w:val="auto"/>
        <w:rPr>
          <w:rFonts w:hint="eastAsia" w:ascii="宋体" w:hAnsi="宋体" w:eastAsia="宋体"/>
          <w:kern w:val="0"/>
          <w:sz w:val="24"/>
          <w:szCs w:val="24"/>
          <w:lang w:eastAsia="zh-CN"/>
        </w:rPr>
      </w:pPr>
      <w:r>
        <w:rPr>
          <w:rFonts w:hint="eastAsia" w:ascii="宋体" w:hAnsi="宋体"/>
          <w:kern w:val="0"/>
          <w:sz w:val="24"/>
          <w:szCs w:val="24"/>
        </w:rPr>
        <w:t>（7）</w:t>
      </w:r>
      <w:r>
        <w:rPr>
          <w:rFonts w:hint="eastAsia" w:ascii="宋体" w:hAnsi="宋体"/>
          <w:kern w:val="0"/>
          <w:sz w:val="24"/>
          <w:szCs w:val="24"/>
          <w:lang w:eastAsia="zh-CN"/>
        </w:rPr>
        <w:t>响应文件中签字、盖章不是真实有效的；</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8）</w:t>
      </w:r>
      <w:r>
        <w:rPr>
          <w:rFonts w:hint="eastAsia" w:ascii="宋体" w:hAnsi="宋体"/>
          <w:kern w:val="0"/>
          <w:sz w:val="24"/>
          <w:szCs w:val="24"/>
        </w:rPr>
        <w:t>法律法规和谈判文件规定的其他情形。</w:t>
      </w:r>
    </w:p>
    <w:p>
      <w:pPr>
        <w:keepNext w:val="0"/>
        <w:keepLines w:val="0"/>
        <w:pageBreakBefore w:val="0"/>
        <w:widowControl w:val="0"/>
        <w:kinsoku/>
        <w:wordWrap/>
        <w:overflowPunct/>
        <w:topLinePunct w:val="0"/>
        <w:autoSpaceDE w:val="0"/>
        <w:autoSpaceDN w:val="0"/>
        <w:bidi w:val="0"/>
        <w:adjustRightInd w:val="0"/>
        <w:spacing w:line="400" w:lineRule="exact"/>
        <w:ind w:right="246" w:firstLine="480" w:firstLineChars="200"/>
        <w:textAlignment w:val="auto"/>
        <w:rPr>
          <w:rFonts w:ascii="宋体" w:hAnsi="宋体"/>
          <w:sz w:val="24"/>
          <w:szCs w:val="24"/>
        </w:rPr>
      </w:pPr>
      <w:r>
        <w:rPr>
          <w:rFonts w:hint="eastAsia" w:ascii="宋体" w:hAnsi="宋体"/>
          <w:kern w:val="0"/>
          <w:sz w:val="24"/>
          <w:szCs w:val="24"/>
        </w:rPr>
        <w:t xml:space="preserve">详细地址：                        </w:t>
      </w:r>
      <w:r>
        <w:rPr>
          <w:rFonts w:hint="eastAsia" w:ascii="宋体" w:hAnsi="宋体"/>
          <w:kern w:val="0"/>
          <w:sz w:val="24"/>
          <w:szCs w:val="24"/>
          <w:lang w:val="en-US" w:eastAsia="zh-CN"/>
        </w:rPr>
        <w:t xml:space="preserve">    </w:t>
      </w:r>
      <w:r>
        <w:rPr>
          <w:rFonts w:hint="eastAsia" w:ascii="宋体" w:hAnsi="宋体"/>
          <w:sz w:val="24"/>
          <w:szCs w:val="24"/>
        </w:rPr>
        <w:t>邮政编码：</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ascii="宋体" w:hAnsi="宋体"/>
          <w:sz w:val="24"/>
          <w:szCs w:val="24"/>
        </w:rPr>
      </w:pPr>
      <w:r>
        <w:rPr>
          <w:rFonts w:hint="eastAsia" w:ascii="宋体" w:hAnsi="宋体"/>
          <w:kern w:val="0"/>
          <w:sz w:val="24"/>
          <w:szCs w:val="24"/>
        </w:rPr>
        <w:t xml:space="preserve">电    话：                       </w:t>
      </w:r>
    </w:p>
    <w:p>
      <w:pPr>
        <w:keepNext w:val="0"/>
        <w:keepLines w:val="0"/>
        <w:pageBreakBefore w:val="0"/>
        <w:widowControl w:val="0"/>
        <w:kinsoku/>
        <w:wordWrap/>
        <w:overflowPunct/>
        <w:topLinePunct w:val="0"/>
        <w:bidi w:val="0"/>
        <w:spacing w:line="400" w:lineRule="exact"/>
        <w:textAlignment w:val="auto"/>
        <w:rPr>
          <w:rFonts w:hint="eastAsia" w:ascii="宋体" w:hAnsi="宋体"/>
          <w:sz w:val="24"/>
          <w:szCs w:val="24"/>
          <w:lang w:eastAsia="zh-CN"/>
        </w:rPr>
      </w:pP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lang w:eastAsia="zh-CN"/>
        </w:rPr>
        <w:t>供应商名称</w:t>
      </w:r>
      <w:r>
        <w:rPr>
          <w:rFonts w:hint="eastAsia" w:ascii="宋体" w:hAnsi="宋体"/>
          <w:sz w:val="24"/>
          <w:szCs w:val="24"/>
        </w:rPr>
        <w:t>（加盖公章）</w:t>
      </w:r>
      <w:r>
        <w:rPr>
          <w:rFonts w:hint="eastAsia" w:ascii="宋体" w:hAnsi="宋体"/>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eastAsia="zh-CN"/>
        </w:rPr>
        <w:t>法定代表人（签字）：</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sz w:val="24"/>
          <w:szCs w:val="24"/>
          <w:lang w:eastAsia="zh-CN"/>
        </w:rPr>
      </w:pPr>
    </w:p>
    <w:p>
      <w:pPr>
        <w:keepNext w:val="0"/>
        <w:keepLines w:val="0"/>
        <w:pageBreakBefore w:val="0"/>
        <w:widowControl w:val="0"/>
        <w:kinsoku/>
        <w:wordWrap/>
        <w:overflowPunct/>
        <w:topLinePunct w:val="0"/>
        <w:bidi w:val="0"/>
        <w:spacing w:line="400" w:lineRule="exact"/>
        <w:ind w:firstLine="4800" w:firstLineChars="2000"/>
        <w:textAlignment w:val="auto"/>
      </w:pPr>
      <w:r>
        <w:rPr>
          <w:rFonts w:hint="eastAsia" w:ascii="宋体" w:hAnsi="宋体"/>
          <w:sz w:val="24"/>
          <w:szCs w:val="24"/>
        </w:rPr>
        <w:t>年 月 日</w:t>
      </w:r>
    </w:p>
    <w:p>
      <w:pPr>
        <w:ind w:firstLine="723" w:firstLineChars="300"/>
        <w:rPr>
          <w:rFonts w:ascii="宋体" w:hAnsi="宋体"/>
          <w:color w:val="000000"/>
          <w:sz w:val="24"/>
          <w:szCs w:val="24"/>
        </w:rPr>
      </w:pPr>
      <w:r>
        <w:rPr>
          <w:rFonts w:ascii="宋体" w:hAnsi="宋体"/>
          <w:b/>
          <w:bCs/>
          <w:color w:val="000000"/>
          <w:kern w:val="0"/>
          <w:sz w:val="24"/>
          <w:szCs w:val="24"/>
          <w:lang w:val="zh-CN"/>
        </w:rPr>
        <w:br w:type="page"/>
      </w:r>
    </w:p>
    <w:p>
      <w:pPr>
        <w:adjustRightInd w:val="0"/>
        <w:snapToGrid w:val="0"/>
        <w:spacing w:line="360" w:lineRule="auto"/>
        <w:jc w:val="left"/>
        <w:rPr>
          <w:rFonts w:ascii="宋体" w:hAnsi="宋体"/>
          <w:color w:val="000000"/>
          <w:sz w:val="24"/>
          <w:szCs w:val="24"/>
        </w:rPr>
      </w:pPr>
      <w:r>
        <w:rPr>
          <w:rFonts w:hint="eastAsia" w:hAnsi="宋体"/>
          <w:b/>
          <w:bCs/>
          <w:color w:val="000000"/>
          <w:sz w:val="24"/>
          <w:szCs w:val="24"/>
        </w:rPr>
        <w:t>格式四：</w:t>
      </w:r>
      <w:r>
        <w:rPr>
          <w:rFonts w:hint="eastAsia" w:ascii="宋体" w:hAnsi="宋体"/>
          <w:color w:val="000000"/>
          <w:sz w:val="24"/>
          <w:szCs w:val="24"/>
        </w:rPr>
        <w:t xml:space="preserve">                   </w:t>
      </w:r>
    </w:p>
    <w:p>
      <w:pPr>
        <w:adjustRightInd w:val="0"/>
        <w:snapToGrid w:val="0"/>
        <w:spacing w:line="360" w:lineRule="auto"/>
        <w:jc w:val="center"/>
        <w:rPr>
          <w:rFonts w:ascii="宋体" w:hAnsi="宋体"/>
          <w:b/>
          <w:color w:val="000000"/>
          <w:sz w:val="24"/>
          <w:szCs w:val="24"/>
        </w:rPr>
      </w:pPr>
      <w:r>
        <w:rPr>
          <w:rFonts w:hint="eastAsia" w:ascii="宋体" w:hAnsi="宋体"/>
          <w:color w:val="000000"/>
          <w:sz w:val="24"/>
          <w:szCs w:val="24"/>
        </w:rPr>
        <w:t>二、开标一览表</w:t>
      </w:r>
    </w:p>
    <w:p>
      <w:pPr>
        <w:pStyle w:val="16"/>
        <w:spacing w:line="360" w:lineRule="auto"/>
        <w:ind w:left="57" w:right="57" w:firstLine="57"/>
        <w:rPr>
          <w:rFonts w:hAnsi="宋体"/>
          <w:bCs/>
          <w:color w:val="000000"/>
          <w:sz w:val="24"/>
          <w:szCs w:val="24"/>
        </w:rPr>
      </w:pPr>
    </w:p>
    <w:p>
      <w:pPr>
        <w:pStyle w:val="16"/>
        <w:spacing w:line="360" w:lineRule="auto"/>
        <w:ind w:left="57" w:right="57" w:firstLine="57"/>
        <w:rPr>
          <w:rFonts w:hAnsi="宋体"/>
          <w:color w:val="000000"/>
          <w:sz w:val="24"/>
          <w:szCs w:val="24"/>
        </w:rPr>
      </w:pPr>
      <w:r>
        <w:rPr>
          <w:rFonts w:hint="eastAsia" w:hAnsi="宋体"/>
          <w:color w:val="000000"/>
          <w:sz w:val="24"/>
          <w:szCs w:val="24"/>
        </w:rPr>
        <w:t>供应商名称（加盖公章）</w:t>
      </w:r>
    </w:p>
    <w:p>
      <w:pPr>
        <w:spacing w:line="360" w:lineRule="auto"/>
        <w:ind w:firstLine="120" w:firstLineChars="50"/>
        <w:rPr>
          <w:rFonts w:ascii="宋体" w:hAnsi="宋体"/>
          <w:color w:val="000000"/>
          <w:sz w:val="24"/>
          <w:szCs w:val="24"/>
        </w:rPr>
      </w:pPr>
      <w:r>
        <w:rPr>
          <w:rFonts w:hint="eastAsia" w:ascii="宋体" w:hAnsi="宋体"/>
          <w:color w:val="000000"/>
          <w:sz w:val="24"/>
          <w:szCs w:val="24"/>
        </w:rPr>
        <w:t>项目名称、包号：                          项目编号：</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9"/>
        <w:gridCol w:w="3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779" w:type="dxa"/>
            <w:vAlign w:val="center"/>
          </w:tcPr>
          <w:p>
            <w:pPr>
              <w:spacing w:line="360" w:lineRule="auto"/>
              <w:ind w:firstLine="240" w:firstLineChars="100"/>
              <w:jc w:val="center"/>
              <w:rPr>
                <w:rFonts w:ascii="宋体" w:hAnsi="宋体"/>
                <w:color w:val="000000"/>
                <w:sz w:val="24"/>
                <w:szCs w:val="24"/>
              </w:rPr>
            </w:pPr>
            <w:r>
              <w:rPr>
                <w:rFonts w:hint="eastAsia" w:ascii="宋体" w:hAnsi="宋体"/>
                <w:color w:val="000000"/>
                <w:sz w:val="24"/>
                <w:szCs w:val="24"/>
              </w:rPr>
              <w:t>投标总报价（元）</w:t>
            </w:r>
          </w:p>
        </w:tc>
        <w:tc>
          <w:tcPr>
            <w:tcW w:w="3849"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779" w:type="dxa"/>
            <w:vAlign w:val="center"/>
          </w:tcPr>
          <w:p>
            <w:pPr>
              <w:spacing w:line="360" w:lineRule="auto"/>
              <w:jc w:val="left"/>
              <w:rPr>
                <w:rFonts w:ascii="宋体" w:hAnsi="宋体"/>
                <w:color w:val="000000"/>
                <w:sz w:val="24"/>
                <w:szCs w:val="24"/>
              </w:rPr>
            </w:pPr>
            <w:r>
              <w:rPr>
                <w:rFonts w:hint="eastAsia" w:ascii="宋体" w:hAnsi="宋体"/>
                <w:color w:val="000000"/>
                <w:sz w:val="24"/>
                <w:szCs w:val="24"/>
              </w:rPr>
              <w:t>大写：</w:t>
            </w:r>
          </w:p>
        </w:tc>
        <w:tc>
          <w:tcPr>
            <w:tcW w:w="3849" w:type="dxa"/>
            <w:vMerge w:val="restart"/>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779" w:type="dxa"/>
            <w:vAlign w:val="center"/>
          </w:tcPr>
          <w:p>
            <w:pPr>
              <w:spacing w:line="360" w:lineRule="auto"/>
              <w:jc w:val="left"/>
              <w:rPr>
                <w:rFonts w:ascii="宋体" w:hAnsi="宋体"/>
                <w:color w:val="000000"/>
                <w:sz w:val="24"/>
                <w:szCs w:val="24"/>
              </w:rPr>
            </w:pPr>
            <w:r>
              <w:rPr>
                <w:rFonts w:hint="eastAsia" w:ascii="宋体" w:hAnsi="宋体"/>
                <w:color w:val="000000"/>
                <w:sz w:val="24"/>
                <w:szCs w:val="24"/>
              </w:rPr>
              <w:t>小写：</w:t>
            </w:r>
          </w:p>
        </w:tc>
        <w:tc>
          <w:tcPr>
            <w:tcW w:w="3849" w:type="dxa"/>
            <w:vMerge w:val="continue"/>
            <w:vAlign w:val="center"/>
          </w:tcPr>
          <w:p>
            <w:pPr>
              <w:spacing w:line="360" w:lineRule="auto"/>
              <w:ind w:left="57" w:right="57" w:firstLine="57"/>
              <w:jc w:val="center"/>
              <w:outlineLvl w:val="0"/>
              <w:rPr>
                <w:rFonts w:ascii="宋体" w:hAnsi="宋体"/>
                <w:color w:val="000000"/>
                <w:sz w:val="24"/>
                <w:szCs w:val="24"/>
              </w:rPr>
            </w:pPr>
          </w:p>
        </w:tc>
      </w:tr>
    </w:tbl>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s="Courier New"/>
          <w:kern w:val="0"/>
          <w:sz w:val="24"/>
          <w:szCs w:val="24"/>
        </w:rPr>
      </w:pPr>
      <w:r>
        <w:rPr>
          <w:rFonts w:hint="eastAsia" w:ascii="宋体" w:hAnsi="宋体"/>
          <w:sz w:val="24"/>
          <w:szCs w:val="24"/>
        </w:rPr>
        <w:t>说明：1．所有价格均系用人民币表示，单位为元。</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2．价格应按照“供应商须知”的要求报价。</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3．格式、内容和签署、盖章必须完整。</w:t>
      </w:r>
    </w:p>
    <w:p>
      <w:pPr>
        <w:adjustRightInd w:val="0"/>
        <w:snapToGrid w:val="0"/>
        <w:spacing w:line="360" w:lineRule="auto"/>
        <w:ind w:firstLine="720" w:firstLineChars="300"/>
        <w:rPr>
          <w:rFonts w:ascii="宋体" w:hAnsi="宋体"/>
          <w:sz w:val="24"/>
          <w:szCs w:val="24"/>
        </w:rPr>
      </w:pPr>
      <w:r>
        <w:rPr>
          <w:rFonts w:hint="eastAsia" w:ascii="宋体" w:hAnsi="宋体" w:cs="Courier New"/>
          <w:kern w:val="0"/>
          <w:sz w:val="24"/>
          <w:szCs w:val="24"/>
        </w:rPr>
        <w:t>4.《</w:t>
      </w:r>
      <w:r>
        <w:rPr>
          <w:rFonts w:hint="eastAsia" w:ascii="宋体" w:hAnsi="宋体"/>
          <w:sz w:val="24"/>
          <w:szCs w:val="24"/>
        </w:rPr>
        <w:t>开标一览表</w:t>
      </w:r>
      <w:r>
        <w:rPr>
          <w:rFonts w:hint="eastAsia" w:ascii="宋体" w:hAnsi="宋体" w:cs="Courier New"/>
          <w:kern w:val="0"/>
          <w:sz w:val="24"/>
          <w:szCs w:val="24"/>
        </w:rPr>
        <w:t>》中所填写内容与响应文件中内容不一致的，以开标一览表为准。</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5.此表除保留在投标文件中外，还要将另一份完全相同的本表密封装在一个信封中，单独递交，作为唱标之用。</w:t>
      </w: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r>
        <w:rPr>
          <w:rFonts w:hint="eastAsia" w:ascii="宋体" w:hAnsi="宋体"/>
          <w:color w:val="000000"/>
          <w:sz w:val="24"/>
          <w:szCs w:val="24"/>
        </w:rPr>
        <w:t>法定代表人或法人授权代表（签字）：</w:t>
      </w:r>
    </w:p>
    <w:p>
      <w:pPr>
        <w:adjustRightInd w:val="0"/>
        <w:snapToGrid w:val="0"/>
        <w:spacing w:line="360" w:lineRule="auto"/>
        <w:rPr>
          <w:rFonts w:ascii="宋体" w:hAnsi="宋体"/>
          <w:color w:val="000000"/>
          <w:sz w:val="24"/>
          <w:szCs w:val="24"/>
        </w:rPr>
      </w:pPr>
    </w:p>
    <w:p>
      <w:pPr>
        <w:rPr>
          <w:rFonts w:ascii="宋体" w:hAnsi="宋体"/>
          <w:color w:val="000000"/>
          <w:sz w:val="24"/>
          <w:szCs w:val="24"/>
        </w:rPr>
      </w:pPr>
      <w:r>
        <w:rPr>
          <w:rFonts w:hint="eastAsia" w:ascii="宋体" w:hAnsi="宋体"/>
          <w:color w:val="000000"/>
          <w:sz w:val="24"/>
          <w:szCs w:val="24"/>
        </w:rPr>
        <w:t xml:space="preserve">                                              年    月     日</w:t>
      </w:r>
    </w:p>
    <w:p>
      <w:pPr>
        <w:pStyle w:val="4"/>
        <w:keepNext w:val="0"/>
        <w:keepLines w:val="0"/>
        <w:spacing w:line="360" w:lineRule="auto"/>
        <w:rPr>
          <w:rFonts w:ascii="宋体" w:hAnsi="宋体" w:eastAsia="宋体"/>
          <w:color w:val="000000"/>
          <w:sz w:val="24"/>
          <w:szCs w:val="24"/>
        </w:rPr>
      </w:pPr>
      <w:bookmarkStart w:id="126" w:name="_Toc482026549"/>
      <w:r>
        <w:rPr>
          <w:rFonts w:ascii="宋体" w:hAnsi="宋体" w:eastAsia="宋体"/>
          <w:color w:val="000000"/>
          <w:sz w:val="24"/>
          <w:szCs w:val="24"/>
        </w:rPr>
        <w:br w:type="page"/>
      </w:r>
    </w:p>
    <w:bookmarkEnd w:id="126"/>
    <w:p>
      <w:pPr>
        <w:spacing w:line="360" w:lineRule="auto"/>
        <w:rPr>
          <w:rFonts w:asciiTheme="minorEastAsia" w:hAnsiTheme="minorEastAsia" w:eastAsiaTheme="minorEastAsia"/>
          <w:b/>
          <w:sz w:val="24"/>
          <w:szCs w:val="24"/>
        </w:rPr>
      </w:pPr>
      <w:bookmarkStart w:id="127" w:name="_Toc491862100"/>
      <w:r>
        <w:rPr>
          <w:rFonts w:hint="eastAsia" w:asciiTheme="minorEastAsia" w:hAnsiTheme="minorEastAsia" w:eastAsiaTheme="minorEastAsia"/>
          <w:b/>
          <w:sz w:val="24"/>
          <w:szCs w:val="24"/>
        </w:rPr>
        <w:t>格式五：</w:t>
      </w:r>
    </w:p>
    <w:p>
      <w:pPr>
        <w:spacing w:line="360" w:lineRule="auto"/>
        <w:ind w:firstLine="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w:t>
      </w:r>
      <w:r>
        <w:rPr>
          <w:rFonts w:asciiTheme="minorEastAsia" w:hAnsiTheme="minorEastAsia" w:eastAsiaTheme="minorEastAsia"/>
          <w:sz w:val="24"/>
          <w:szCs w:val="24"/>
        </w:rPr>
        <w:t>法定代表人身份证明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（供应商名称）的法定代表人。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附：法定代表人身份证复印件。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注：本身份证明需由供应商加盖单位公章。</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p>
    <w:p>
      <w:pPr>
        <w:spacing w:line="360" w:lineRule="auto"/>
        <w:jc w:val="center"/>
        <w:rPr>
          <w:rFonts w:asciiTheme="minorEastAsia" w:hAnsiTheme="minorEastAsia" w:eastAsiaTheme="minorEastAsia"/>
          <w:b/>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格式六：</w:t>
      </w:r>
    </w:p>
    <w:p>
      <w:pPr>
        <w:spacing w:line="360" w:lineRule="auto"/>
        <w:ind w:firstLine="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asciiTheme="minorEastAsia" w:hAnsiTheme="minorEastAsia" w:eastAsiaTheme="minorEastAsia"/>
          <w:sz w:val="24"/>
          <w:szCs w:val="24"/>
        </w:rPr>
        <w:t>授权委托人身份证明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（供应商名称）的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 xml:space="preserve">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注：本身份证明需由供应商加盖单位公章。</w:t>
      </w:r>
    </w:p>
    <w:p>
      <w:pPr>
        <w:spacing w:line="360" w:lineRule="auto"/>
        <w:ind w:firstLine="4920" w:firstLineChars="2050"/>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日</w:t>
      </w: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b/>
          <w:sz w:val="24"/>
          <w:szCs w:val="24"/>
        </w:rPr>
      </w:pPr>
      <w:bookmarkStart w:id="128" w:name="_Toc496001220"/>
      <w:r>
        <w:rPr>
          <w:rFonts w:hint="eastAsia" w:asciiTheme="minorEastAsia" w:hAnsiTheme="minorEastAsia" w:eastAsiaTheme="minorEastAsia"/>
          <w:b/>
          <w:sz w:val="24"/>
          <w:szCs w:val="24"/>
        </w:rPr>
        <w:t>格式七：</w:t>
      </w:r>
      <w:bookmarkEnd w:id="128"/>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sz w:val="24"/>
          <w:szCs w:val="24"/>
        </w:rPr>
        <w:t>授权委托书</w:t>
      </w:r>
    </w:p>
    <w:p>
      <w:pPr>
        <w:spacing w:line="360" w:lineRule="auto"/>
        <w:ind w:firstLine="5160" w:firstLineChars="2150"/>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本人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（供应商名称）的法定代表人，现委托</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（姓名）为我方代理人。代理人根据授权，以我方名义签署、澄清确认、递 交、撤回、修改招标项目响应文件、签订合同和处理有关事宜，其法律后果由我方承担。委托期限：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代理人无转委托权。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注：本授权委托书需由供应商加盖单位公章并由其法定代表人和委托代理人签字。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 标 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pStyle w:val="16"/>
        <w:spacing w:line="360" w:lineRule="auto"/>
        <w:ind w:right="57"/>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w:t>
      </w:r>
      <w:r>
        <w:rPr>
          <w:rFonts w:hint="eastAsia" w:asciiTheme="minorEastAsia" w:hAnsiTheme="minorEastAsia" w:eastAsiaTheme="minorEastAsia"/>
          <w:sz w:val="24"/>
          <w:szCs w:val="24"/>
          <w:u w:val="single"/>
        </w:rPr>
        <w:t>_____</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日</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格式八：</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六、</w:t>
      </w:r>
      <w:r>
        <w:rPr>
          <w:rFonts w:asciiTheme="minorEastAsia" w:hAnsiTheme="minorEastAsia" w:eastAsiaTheme="minorEastAsia"/>
          <w:bCs/>
          <w:sz w:val="24"/>
          <w:szCs w:val="24"/>
        </w:rPr>
        <w:t>投标保证金</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供应商应在此提供</w:t>
      </w:r>
      <w:r>
        <w:rPr>
          <w:rFonts w:hint="eastAsia" w:asciiTheme="minorEastAsia" w:hAnsiTheme="minorEastAsia" w:eastAsiaTheme="minorEastAsia"/>
          <w:sz w:val="24"/>
          <w:szCs w:val="24"/>
        </w:rPr>
        <w:t>保证金</w:t>
      </w:r>
      <w:r>
        <w:rPr>
          <w:rFonts w:asciiTheme="minorEastAsia" w:hAnsiTheme="minorEastAsia" w:eastAsiaTheme="minorEastAsia"/>
          <w:sz w:val="24"/>
          <w:szCs w:val="24"/>
        </w:rPr>
        <w:t xml:space="preserve">汇款凭证的复印件。 </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格式九：</w:t>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七、</w:t>
      </w:r>
      <w:r>
        <w:rPr>
          <w:rFonts w:asciiTheme="minorEastAsia" w:hAnsiTheme="minorEastAsia" w:eastAsiaTheme="minorEastAsia"/>
          <w:bCs/>
          <w:sz w:val="24"/>
          <w:szCs w:val="24"/>
        </w:rPr>
        <w:t>联合体协议书</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______________________________</w:t>
      </w:r>
      <w:r>
        <w:rPr>
          <w:rFonts w:asciiTheme="minorEastAsia" w:hAnsiTheme="minorEastAsia" w:eastAsiaTheme="minorEastAsia"/>
          <w:sz w:val="24"/>
          <w:szCs w:val="24"/>
        </w:rPr>
        <w:t>（所有成员单位名称）自愿组成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（联合体名称）联合体，共同参加</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（项目名称）招标项目投标。现就联合体投标事宜订立如下协议。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1. （某成员单位名称）为 （联合体名称）牵头人。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3. 联合体牵头人在本项目中签署的一切文件和处理的一切事宜，联合体各成员均予以承认。 联合体各成员将严格按照磋商文件、响应文件和合同的要求全面履行义务，并向招标人承担连带责任。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4. 联合体各成员单位内部的职责分工如下：</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5. 本协议书自所有成员单位法定代表人或其委托代理人签字或盖单位章之日起生效，合同履行完毕后自动失效。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6. 本协议书一式</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 xml:space="preserve">份，联合体成员和招标人各执一份。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协议书由法定代表人签字的，应附法定代表人身份证明；由委托代理人签字的，应附授权委托书。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联合体牵头人名称：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说明：                                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日</w:t>
      </w:r>
    </w:p>
    <w:p>
      <w:pPr>
        <w:spacing w:line="360" w:lineRule="auto"/>
        <w:rPr>
          <w:rFonts w:asciiTheme="minorEastAsia" w:hAnsiTheme="minorEastAsia" w:eastAsiaTheme="minorEastAsia"/>
          <w:sz w:val="24"/>
          <w:szCs w:val="24"/>
        </w:rPr>
      </w:pPr>
    </w:p>
    <w:p>
      <w:pPr>
        <w:pStyle w:val="23"/>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1.如接受联合体投标项目，供应商需按要求填写联合体协议书。</w:t>
      </w:r>
    </w:p>
    <w:p>
      <w:pPr>
        <w:pStyle w:val="23"/>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2.不接受联合体投标项目，只需提供空表。                           </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格式十：</w:t>
      </w:r>
    </w:p>
    <w:p>
      <w:pPr>
        <w:jc w:val="center"/>
        <w:rPr>
          <w:sz w:val="24"/>
          <w:szCs w:val="24"/>
          <w:lang w:val="zh-CN"/>
        </w:rPr>
      </w:pPr>
      <w:r>
        <w:rPr>
          <w:rFonts w:hint="eastAsia"/>
          <w:sz w:val="24"/>
          <w:szCs w:val="24"/>
          <w:lang w:val="zh-CN"/>
        </w:rPr>
        <w:t>八、本项目服务人员简表</w:t>
      </w:r>
    </w:p>
    <w:tbl>
      <w:tblPr>
        <w:tblStyle w:val="2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275"/>
        <w:gridCol w:w="850"/>
        <w:gridCol w:w="993"/>
        <w:gridCol w:w="1275"/>
        <w:gridCol w:w="851"/>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r>
              <w:rPr>
                <w:rFonts w:hint="eastAsia"/>
                <w:sz w:val="24"/>
                <w:szCs w:val="24"/>
                <w:lang w:val="zh-CN"/>
              </w:rPr>
              <w:t>姓名</w:t>
            </w:r>
          </w:p>
        </w:tc>
        <w:tc>
          <w:tcPr>
            <w:tcW w:w="851" w:type="dxa"/>
            <w:vAlign w:val="center"/>
          </w:tcPr>
          <w:p>
            <w:pPr>
              <w:jc w:val="center"/>
              <w:rPr>
                <w:sz w:val="24"/>
                <w:szCs w:val="24"/>
                <w:lang w:val="zh-CN"/>
              </w:rPr>
            </w:pPr>
            <w:r>
              <w:rPr>
                <w:rFonts w:hint="eastAsia"/>
                <w:sz w:val="24"/>
                <w:szCs w:val="24"/>
                <w:lang w:val="zh-CN"/>
              </w:rPr>
              <w:t>年龄</w:t>
            </w:r>
          </w:p>
        </w:tc>
        <w:tc>
          <w:tcPr>
            <w:tcW w:w="1275" w:type="dxa"/>
            <w:vAlign w:val="center"/>
          </w:tcPr>
          <w:p>
            <w:pPr>
              <w:jc w:val="center"/>
              <w:rPr>
                <w:sz w:val="24"/>
                <w:szCs w:val="24"/>
                <w:lang w:val="zh-CN"/>
              </w:rPr>
            </w:pPr>
            <w:r>
              <w:rPr>
                <w:rFonts w:hint="eastAsia"/>
                <w:sz w:val="24"/>
                <w:szCs w:val="24"/>
                <w:lang w:val="zh-CN"/>
              </w:rPr>
              <w:t>取得相关证书</w:t>
            </w:r>
          </w:p>
        </w:tc>
        <w:tc>
          <w:tcPr>
            <w:tcW w:w="850" w:type="dxa"/>
            <w:vAlign w:val="center"/>
          </w:tcPr>
          <w:p>
            <w:pPr>
              <w:jc w:val="center"/>
              <w:rPr>
                <w:sz w:val="24"/>
                <w:szCs w:val="24"/>
                <w:lang w:val="zh-CN"/>
              </w:rPr>
            </w:pPr>
            <w:r>
              <w:rPr>
                <w:rFonts w:hint="eastAsia"/>
                <w:sz w:val="24"/>
                <w:szCs w:val="24"/>
                <w:lang w:val="zh-CN"/>
              </w:rPr>
              <w:t>职务</w:t>
            </w:r>
          </w:p>
        </w:tc>
        <w:tc>
          <w:tcPr>
            <w:tcW w:w="993" w:type="dxa"/>
            <w:vAlign w:val="center"/>
          </w:tcPr>
          <w:p>
            <w:pPr>
              <w:jc w:val="center"/>
              <w:rPr>
                <w:sz w:val="24"/>
                <w:szCs w:val="24"/>
                <w:lang w:val="zh-CN"/>
              </w:rPr>
            </w:pPr>
            <w:r>
              <w:rPr>
                <w:rFonts w:hint="eastAsia"/>
                <w:sz w:val="24"/>
                <w:szCs w:val="24"/>
                <w:lang w:val="zh-CN"/>
              </w:rPr>
              <w:t>学历</w:t>
            </w:r>
          </w:p>
        </w:tc>
        <w:tc>
          <w:tcPr>
            <w:tcW w:w="1275" w:type="dxa"/>
            <w:vAlign w:val="center"/>
          </w:tcPr>
          <w:p>
            <w:pPr>
              <w:jc w:val="center"/>
              <w:rPr>
                <w:sz w:val="24"/>
                <w:szCs w:val="24"/>
                <w:lang w:val="zh-CN"/>
              </w:rPr>
            </w:pPr>
            <w:r>
              <w:rPr>
                <w:rFonts w:hint="eastAsia"/>
                <w:sz w:val="24"/>
                <w:szCs w:val="24"/>
                <w:lang w:val="zh-CN"/>
              </w:rPr>
              <w:t>从事本工作年限</w:t>
            </w:r>
          </w:p>
        </w:tc>
        <w:tc>
          <w:tcPr>
            <w:tcW w:w="851" w:type="dxa"/>
            <w:vAlign w:val="center"/>
          </w:tcPr>
          <w:p>
            <w:pPr>
              <w:jc w:val="center"/>
              <w:rPr>
                <w:sz w:val="24"/>
                <w:szCs w:val="24"/>
                <w:lang w:val="zh-CN"/>
              </w:rPr>
            </w:pPr>
            <w:r>
              <w:rPr>
                <w:rFonts w:hint="eastAsia"/>
                <w:sz w:val="24"/>
                <w:szCs w:val="24"/>
                <w:lang w:val="zh-CN"/>
              </w:rPr>
              <w:t>职责分配</w:t>
            </w:r>
          </w:p>
        </w:tc>
        <w:tc>
          <w:tcPr>
            <w:tcW w:w="2148" w:type="dxa"/>
            <w:vAlign w:val="center"/>
          </w:tcPr>
          <w:p>
            <w:pPr>
              <w:jc w:val="center"/>
              <w:rPr>
                <w:sz w:val="24"/>
                <w:szCs w:val="24"/>
                <w:lang w:val="zh-CN"/>
              </w:rPr>
            </w:pPr>
            <w:r>
              <w:rPr>
                <w:rFonts w:hint="eastAsia"/>
                <w:sz w:val="24"/>
                <w:szCs w:val="24"/>
                <w:lang w:val="zh-CN"/>
              </w:rPr>
              <w:t>工作简历（承担过的项目）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bl>
    <w:p>
      <w:pPr>
        <w:ind w:firstLine="120" w:firstLineChars="50"/>
        <w:rPr>
          <w:rFonts w:ascii="宋体" w:hAnsi="宋体"/>
          <w:sz w:val="24"/>
          <w:szCs w:val="24"/>
        </w:rPr>
      </w:pPr>
    </w:p>
    <w:p>
      <w:pPr>
        <w:rPr>
          <w:lang w:val="zh-CN"/>
        </w:rPr>
      </w:pPr>
      <w:r>
        <w:rPr>
          <w:rFonts w:hint="eastAsia" w:ascii="宋体" w:hAnsi="宋体"/>
          <w:sz w:val="24"/>
          <w:szCs w:val="24"/>
          <w:lang w:val="zh-CN"/>
        </w:rPr>
        <w:t>注：供应商在本表后附人员证书等复印件。</w:t>
      </w:r>
    </w:p>
    <w:p>
      <w:pPr>
        <w:widowControl/>
        <w:jc w:val="left"/>
        <w:rPr>
          <w:lang w:val="zh-CN"/>
        </w:rPr>
      </w:pPr>
      <w:r>
        <w:rPr>
          <w:lang w:val="zh-CN"/>
        </w:rPr>
        <w:br w:type="page"/>
      </w:r>
    </w:p>
    <w:p>
      <w:pPr>
        <w:adjustRightInd w:val="0"/>
        <w:snapToGrid w:val="0"/>
        <w:spacing w:line="360" w:lineRule="auto"/>
        <w:jc w:val="left"/>
        <w:rPr>
          <w:rFonts w:hAnsi="宋体"/>
          <w:b/>
          <w:bCs/>
          <w:color w:val="000000"/>
          <w:sz w:val="24"/>
          <w:szCs w:val="24"/>
        </w:rPr>
      </w:pPr>
      <w:r>
        <w:rPr>
          <w:rFonts w:hint="eastAsia" w:hAnsi="宋体"/>
          <w:b/>
          <w:bCs/>
          <w:color w:val="000000"/>
          <w:sz w:val="24"/>
          <w:szCs w:val="24"/>
        </w:rPr>
        <w:t>格式十一：</w:t>
      </w:r>
      <w:bookmarkEnd w:id="127"/>
      <w:r>
        <w:rPr>
          <w:rFonts w:hint="eastAsia" w:hAnsi="宋体"/>
          <w:b/>
          <w:bCs/>
          <w:color w:val="000000"/>
          <w:sz w:val="24"/>
          <w:szCs w:val="24"/>
        </w:rPr>
        <w:t xml:space="preserve"> </w:t>
      </w:r>
    </w:p>
    <w:p>
      <w:pPr>
        <w:adjustRightInd w:val="0"/>
        <w:snapToGrid w:val="0"/>
        <w:spacing w:line="360" w:lineRule="auto"/>
        <w:ind w:firstLine="3960" w:firstLineChars="1650"/>
        <w:jc w:val="left"/>
        <w:rPr>
          <w:rFonts w:ascii="宋体" w:hAnsi="宋体" w:cs="Courier New"/>
          <w:color w:val="000000"/>
          <w:kern w:val="0"/>
          <w:sz w:val="24"/>
          <w:szCs w:val="24"/>
        </w:rPr>
      </w:pPr>
      <w:r>
        <w:rPr>
          <w:rFonts w:hint="eastAsia" w:ascii="宋体" w:hAnsi="宋体" w:cs="Courier New"/>
          <w:color w:val="000000"/>
          <w:kern w:val="0"/>
          <w:sz w:val="24"/>
          <w:szCs w:val="24"/>
        </w:rPr>
        <w:t>九、分项报价明细表</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2"/>
        <w:gridCol w:w="2010"/>
        <w:gridCol w:w="1920"/>
        <w:gridCol w:w="1498"/>
        <w:gridCol w:w="1227"/>
        <w:gridCol w:w="1415"/>
        <w:gridCol w:w="7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792" w:type="dxa"/>
            <w:tcBorders>
              <w:top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序号</w:t>
            </w:r>
          </w:p>
        </w:tc>
        <w:tc>
          <w:tcPr>
            <w:tcW w:w="2010" w:type="dxa"/>
            <w:tcBorders>
              <w:top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服务项目</w:t>
            </w:r>
          </w:p>
        </w:tc>
        <w:tc>
          <w:tcPr>
            <w:tcW w:w="1920" w:type="dxa"/>
            <w:tcBorders>
              <w:top w:val="single" w:color="auto" w:sz="4" w:space="0"/>
            </w:tcBorders>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主要服务内容</w:t>
            </w:r>
          </w:p>
        </w:tc>
        <w:tc>
          <w:tcPr>
            <w:tcW w:w="1498" w:type="dxa"/>
            <w:tcBorders>
              <w:top w:val="single" w:color="auto" w:sz="4" w:space="0"/>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数量及单位</w:t>
            </w:r>
          </w:p>
        </w:tc>
        <w:tc>
          <w:tcPr>
            <w:tcW w:w="1227"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单价（元）</w:t>
            </w:r>
          </w:p>
        </w:tc>
        <w:tc>
          <w:tcPr>
            <w:tcW w:w="1415" w:type="dxa"/>
            <w:tcBorders>
              <w:top w:val="single" w:color="auto" w:sz="4" w:space="0"/>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总价（元）</w:t>
            </w:r>
          </w:p>
        </w:tc>
        <w:tc>
          <w:tcPr>
            <w:tcW w:w="766" w:type="dxa"/>
            <w:tcBorders>
              <w:top w:val="single" w:color="auto" w:sz="4" w:space="0"/>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color w:val="000000"/>
                <w:kern w:val="0"/>
                <w:sz w:val="24"/>
                <w:szCs w:val="24"/>
              </w:rPr>
            </w:pPr>
            <w:r>
              <w:rPr>
                <w:rFonts w:ascii="宋体" w:hAnsi="宋体" w:cs="Courier New"/>
                <w:color w:val="000000"/>
                <w:kern w:val="0"/>
                <w:sz w:val="24"/>
                <w:szCs w:val="24"/>
              </w:rPr>
              <w:t>1</w:t>
            </w:r>
          </w:p>
        </w:tc>
        <w:tc>
          <w:tcPr>
            <w:tcW w:w="2010" w:type="dxa"/>
            <w:vAlign w:val="center"/>
          </w:tcPr>
          <w:p>
            <w:pPr>
              <w:adjustRightInd w:val="0"/>
              <w:snapToGrid w:val="0"/>
              <w:spacing w:line="360" w:lineRule="auto"/>
              <w:ind w:left="-118" w:leftChars="-42" w:firstLine="482" w:firstLineChars="201"/>
              <w:jc w:val="center"/>
              <w:rPr>
                <w:rFonts w:ascii="宋体" w:hAnsi="宋体" w:cs="Courier New"/>
                <w:color w:val="000000"/>
                <w:kern w:val="0"/>
                <w:sz w:val="24"/>
                <w:szCs w:val="24"/>
              </w:rPr>
            </w:pPr>
          </w:p>
        </w:tc>
        <w:tc>
          <w:tcPr>
            <w:tcW w:w="1920" w:type="dxa"/>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color w:val="000000"/>
                <w:kern w:val="0"/>
                <w:sz w:val="24"/>
                <w:szCs w:val="24"/>
              </w:rPr>
            </w:pPr>
            <w:r>
              <w:rPr>
                <w:rFonts w:ascii="宋体" w:hAnsi="宋体" w:cs="Courier New"/>
                <w:color w:val="000000"/>
                <w:kern w:val="0"/>
                <w:sz w:val="24"/>
                <w:szCs w:val="24"/>
              </w:rPr>
              <w:t>2</w:t>
            </w:r>
          </w:p>
        </w:tc>
        <w:tc>
          <w:tcPr>
            <w:tcW w:w="2010" w:type="dxa"/>
            <w:vAlign w:val="center"/>
          </w:tcPr>
          <w:p>
            <w:pPr>
              <w:adjustRightInd w:val="0"/>
              <w:snapToGrid w:val="0"/>
              <w:spacing w:line="360" w:lineRule="auto"/>
              <w:ind w:left="-118" w:leftChars="-42" w:firstLine="482" w:firstLineChars="201"/>
              <w:jc w:val="center"/>
              <w:rPr>
                <w:rFonts w:ascii="宋体" w:hAnsi="宋体" w:cs="Courier New"/>
                <w:color w:val="000000"/>
                <w:kern w:val="0"/>
                <w:sz w:val="24"/>
                <w:szCs w:val="24"/>
              </w:rPr>
            </w:pPr>
          </w:p>
        </w:tc>
        <w:tc>
          <w:tcPr>
            <w:tcW w:w="1920" w:type="dxa"/>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color w:val="000000"/>
                <w:kern w:val="0"/>
                <w:sz w:val="24"/>
                <w:szCs w:val="24"/>
              </w:rPr>
            </w:pPr>
            <w:r>
              <w:rPr>
                <w:rFonts w:ascii="宋体" w:hAnsi="宋体" w:cs="Courier New"/>
                <w:color w:val="000000"/>
                <w:kern w:val="0"/>
                <w:sz w:val="24"/>
                <w:szCs w:val="24"/>
              </w:rPr>
              <w:t>3</w:t>
            </w:r>
          </w:p>
        </w:tc>
        <w:tc>
          <w:tcPr>
            <w:tcW w:w="2010" w:type="dxa"/>
            <w:vAlign w:val="center"/>
          </w:tcPr>
          <w:p>
            <w:pPr>
              <w:adjustRightInd w:val="0"/>
              <w:snapToGrid w:val="0"/>
              <w:spacing w:line="360" w:lineRule="auto"/>
              <w:ind w:left="-118" w:leftChars="-42" w:firstLine="482" w:firstLineChars="201"/>
              <w:jc w:val="center"/>
              <w:rPr>
                <w:rFonts w:ascii="宋体" w:hAnsi="宋体" w:cs="Courier New"/>
                <w:color w:val="000000"/>
                <w:kern w:val="0"/>
                <w:sz w:val="24"/>
                <w:szCs w:val="24"/>
              </w:rPr>
            </w:pPr>
          </w:p>
        </w:tc>
        <w:tc>
          <w:tcPr>
            <w:tcW w:w="1920" w:type="dxa"/>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color w:val="000000"/>
                <w:kern w:val="0"/>
                <w:sz w:val="24"/>
                <w:szCs w:val="24"/>
              </w:rPr>
            </w:pPr>
            <w:r>
              <w:rPr>
                <w:rFonts w:ascii="宋体" w:hAnsi="宋体" w:cs="Courier New"/>
                <w:color w:val="000000"/>
                <w:kern w:val="0"/>
                <w:sz w:val="24"/>
                <w:szCs w:val="24"/>
              </w:rPr>
              <w:t>4</w:t>
            </w:r>
          </w:p>
        </w:tc>
        <w:tc>
          <w:tcPr>
            <w:tcW w:w="2010" w:type="dxa"/>
            <w:vAlign w:val="center"/>
          </w:tcPr>
          <w:p>
            <w:pPr>
              <w:adjustRightInd w:val="0"/>
              <w:snapToGrid w:val="0"/>
              <w:spacing w:line="360" w:lineRule="auto"/>
              <w:ind w:left="-118" w:leftChars="-42" w:firstLine="482" w:firstLineChars="201"/>
              <w:jc w:val="center"/>
              <w:rPr>
                <w:rFonts w:ascii="宋体" w:hAnsi="宋体" w:cs="Courier New"/>
                <w:color w:val="000000"/>
                <w:kern w:val="0"/>
                <w:sz w:val="24"/>
                <w:szCs w:val="24"/>
              </w:rPr>
            </w:pPr>
          </w:p>
        </w:tc>
        <w:tc>
          <w:tcPr>
            <w:tcW w:w="1920" w:type="dxa"/>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w:t>
            </w:r>
          </w:p>
        </w:tc>
        <w:tc>
          <w:tcPr>
            <w:tcW w:w="2010" w:type="dxa"/>
            <w:vAlign w:val="center"/>
          </w:tcPr>
          <w:p>
            <w:pPr>
              <w:adjustRightInd w:val="0"/>
              <w:snapToGrid w:val="0"/>
              <w:spacing w:line="360" w:lineRule="auto"/>
              <w:ind w:left="-118" w:leftChars="-42" w:firstLine="482" w:firstLineChars="201"/>
              <w:jc w:val="center"/>
              <w:rPr>
                <w:rFonts w:ascii="宋体" w:hAnsi="宋体" w:cs="Courier New"/>
                <w:color w:val="000000"/>
                <w:kern w:val="0"/>
                <w:sz w:val="24"/>
                <w:szCs w:val="24"/>
              </w:rPr>
            </w:pPr>
          </w:p>
        </w:tc>
        <w:tc>
          <w:tcPr>
            <w:tcW w:w="1920" w:type="dxa"/>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tcBorders>
              <w:bottom w:val="single" w:color="auto" w:sz="4" w:space="0"/>
            </w:tcBorders>
            <w:vAlign w:val="center"/>
          </w:tcPr>
          <w:p>
            <w:pPr>
              <w:adjustRightInd w:val="0"/>
              <w:snapToGrid w:val="0"/>
              <w:spacing w:line="360" w:lineRule="auto"/>
              <w:ind w:left="-118" w:leftChars="-42"/>
              <w:jc w:val="center"/>
              <w:rPr>
                <w:rFonts w:ascii="宋体" w:hAnsi="宋体" w:cs="Courier New"/>
                <w:color w:val="000000"/>
                <w:kern w:val="0"/>
                <w:sz w:val="24"/>
                <w:szCs w:val="24"/>
              </w:rPr>
            </w:pPr>
            <w:r>
              <w:rPr>
                <w:rFonts w:hint="eastAsia" w:ascii="宋体" w:hAnsi="宋体" w:cs="Courier New"/>
                <w:color w:val="000000"/>
                <w:kern w:val="0"/>
                <w:sz w:val="24"/>
                <w:szCs w:val="24"/>
              </w:rPr>
              <w:t>合计</w:t>
            </w:r>
          </w:p>
        </w:tc>
        <w:tc>
          <w:tcPr>
            <w:tcW w:w="2010" w:type="dxa"/>
            <w:tcBorders>
              <w:bottom w:val="single" w:color="auto" w:sz="4" w:space="0"/>
            </w:tcBorders>
            <w:vAlign w:val="center"/>
          </w:tcPr>
          <w:p>
            <w:pPr>
              <w:adjustRightInd w:val="0"/>
              <w:snapToGrid w:val="0"/>
              <w:spacing w:line="360" w:lineRule="auto"/>
              <w:ind w:left="-118" w:leftChars="-42" w:firstLine="482" w:firstLineChars="201"/>
              <w:jc w:val="center"/>
              <w:rPr>
                <w:rFonts w:ascii="宋体" w:hAnsi="宋体" w:cs="Courier New"/>
                <w:color w:val="000000"/>
                <w:kern w:val="0"/>
                <w:sz w:val="24"/>
                <w:szCs w:val="24"/>
              </w:rPr>
            </w:pPr>
          </w:p>
        </w:tc>
        <w:tc>
          <w:tcPr>
            <w:tcW w:w="1920" w:type="dxa"/>
            <w:tcBorders>
              <w:bottom w:val="single" w:color="auto" w:sz="4" w:space="0"/>
            </w:tcBorders>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98"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227" w:type="dxa"/>
            <w:tcBorders>
              <w:left w:val="single" w:color="auto" w:sz="4" w:space="0"/>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15"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766"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r>
    </w:tbl>
    <w:p>
      <w:pPr>
        <w:adjustRightInd w:val="0"/>
        <w:snapToGrid w:val="0"/>
        <w:spacing w:line="360" w:lineRule="auto"/>
        <w:ind w:firstLine="3960" w:firstLineChars="1650"/>
        <w:jc w:val="left"/>
        <w:rPr>
          <w:rFonts w:ascii="宋体" w:hAnsi="宋体" w:cs="Courier New"/>
          <w:color w:val="000000"/>
          <w:kern w:val="0"/>
          <w:sz w:val="24"/>
          <w:szCs w:val="24"/>
        </w:rPr>
      </w:pPr>
    </w:p>
    <w:p>
      <w:pPr>
        <w:suppressAutoHyphens/>
        <w:spacing w:line="360" w:lineRule="auto"/>
        <w:ind w:left="432"/>
        <w:rPr>
          <w:rFonts w:ascii="宋体" w:hAnsi="宋体"/>
          <w:sz w:val="21"/>
          <w:szCs w:val="21"/>
          <w:lang w:val="en-GB"/>
        </w:rPr>
      </w:pPr>
      <w:r>
        <w:rPr>
          <w:rFonts w:hint="eastAsia" w:ascii="宋体" w:hAnsi="宋体"/>
          <w:sz w:val="21"/>
          <w:szCs w:val="21"/>
        </w:rPr>
        <w:t>注：</w:t>
      </w:r>
    </w:p>
    <w:p>
      <w:pPr>
        <w:suppressAutoHyphens/>
        <w:spacing w:line="360" w:lineRule="auto"/>
        <w:rPr>
          <w:rFonts w:ascii="宋体" w:hAnsi="宋体"/>
          <w:sz w:val="21"/>
          <w:szCs w:val="21"/>
          <w:lang w:val="en-GB"/>
        </w:rPr>
      </w:pPr>
      <w:r>
        <w:rPr>
          <w:rFonts w:hint="eastAsia" w:ascii="宋体" w:hAnsi="宋体"/>
          <w:sz w:val="21"/>
          <w:szCs w:val="21"/>
          <w:lang w:val="en-GB"/>
        </w:rPr>
        <w:t>（1）以上内容必须全部填写；</w:t>
      </w:r>
    </w:p>
    <w:p>
      <w:pPr>
        <w:suppressAutoHyphens/>
        <w:spacing w:line="360" w:lineRule="auto"/>
        <w:rPr>
          <w:rFonts w:ascii="宋体" w:hAnsi="宋体"/>
          <w:sz w:val="21"/>
          <w:szCs w:val="21"/>
          <w:lang w:val="en-GB"/>
        </w:rPr>
      </w:pPr>
      <w:r>
        <w:rPr>
          <w:rFonts w:hint="eastAsia"/>
          <w:snapToGrid w:val="0"/>
          <w:sz w:val="21"/>
        </w:rPr>
        <w:t>（2）“</w:t>
      </w:r>
      <w:r>
        <w:rPr>
          <w:rFonts w:hint="eastAsia"/>
          <w:sz w:val="21"/>
        </w:rPr>
        <w:t>服务项目</w:t>
      </w:r>
      <w:r>
        <w:rPr>
          <w:rFonts w:hint="eastAsia"/>
          <w:snapToGrid w:val="0"/>
          <w:sz w:val="21"/>
        </w:rPr>
        <w:t>”应当按照“第四章 服务需求”的要求进行分项填写；</w:t>
      </w:r>
    </w:p>
    <w:p>
      <w:pPr>
        <w:suppressAutoHyphens/>
        <w:spacing w:line="360" w:lineRule="auto"/>
        <w:rPr>
          <w:rFonts w:ascii="宋体" w:hAnsi="宋体"/>
          <w:sz w:val="21"/>
          <w:szCs w:val="21"/>
          <w:lang w:val="en-GB"/>
        </w:rPr>
      </w:pPr>
      <w:r>
        <w:rPr>
          <w:rFonts w:hint="eastAsia"/>
          <w:snapToGrid w:val="0"/>
          <w:sz w:val="21"/>
        </w:rPr>
        <w:t>（3）根据合同或本表未列明的其它可能产生的费用应由供应商支付、负责；</w:t>
      </w:r>
    </w:p>
    <w:p>
      <w:pPr>
        <w:suppressAutoHyphens/>
        <w:spacing w:line="360" w:lineRule="auto"/>
        <w:rPr>
          <w:snapToGrid w:val="0"/>
          <w:sz w:val="21"/>
        </w:rPr>
      </w:pPr>
      <w:r>
        <w:rPr>
          <w:rFonts w:hint="eastAsia"/>
          <w:snapToGrid w:val="0"/>
          <w:sz w:val="21"/>
        </w:rPr>
        <w:t>（4）此表将随中标公告一并公示，请供应商认真填写；</w:t>
      </w:r>
    </w:p>
    <w:p>
      <w:pPr>
        <w:suppressAutoHyphens/>
        <w:snapToGrid w:val="0"/>
        <w:spacing w:line="360" w:lineRule="auto"/>
        <w:rPr>
          <w:rFonts w:ascii="宋体" w:hAnsi="宋体" w:cs="宋体"/>
          <w:sz w:val="21"/>
          <w:szCs w:val="21"/>
        </w:rPr>
      </w:pPr>
    </w:p>
    <w:p>
      <w:pPr>
        <w:suppressAutoHyphens/>
        <w:snapToGrid w:val="0"/>
        <w:spacing w:line="360" w:lineRule="auto"/>
        <w:ind w:left="432"/>
        <w:rPr>
          <w:rFonts w:ascii="宋体" w:hAnsi="宋体" w:cs="宋体"/>
          <w:sz w:val="21"/>
          <w:szCs w:val="21"/>
        </w:rPr>
      </w:pPr>
      <w:r>
        <w:rPr>
          <w:rFonts w:hint="eastAsia" w:ascii="宋体" w:hAnsi="宋体" w:cs="宋体"/>
          <w:sz w:val="21"/>
          <w:szCs w:val="21"/>
        </w:rPr>
        <w:t xml:space="preserve">                                      供应商名称（盖章）：</w:t>
      </w:r>
      <w:r>
        <w:rPr>
          <w:rFonts w:hint="eastAsia" w:ascii="宋体" w:hAnsi="宋体" w:cs="宋体"/>
          <w:sz w:val="21"/>
          <w:szCs w:val="21"/>
          <w:u w:val="single"/>
        </w:rPr>
        <w:t xml:space="preserve">                        </w:t>
      </w:r>
    </w:p>
    <w:p>
      <w:pPr>
        <w:suppressAutoHyphens/>
        <w:spacing w:line="360" w:lineRule="auto"/>
        <w:ind w:left="432"/>
        <w:rPr>
          <w:rFonts w:ascii="宋体" w:hAnsi="宋体" w:cs="宋体"/>
          <w:sz w:val="21"/>
          <w:szCs w:val="21"/>
        </w:rPr>
      </w:pPr>
      <w:r>
        <w:rPr>
          <w:rFonts w:hint="eastAsia" w:ascii="宋体" w:hAnsi="宋体" w:cs="宋体"/>
          <w:sz w:val="21"/>
          <w:szCs w:val="21"/>
        </w:rPr>
        <w:t xml:space="preserve">                                                    日期：   年   月   日</w:t>
      </w:r>
    </w:p>
    <w:p>
      <w:pPr>
        <w:adjustRightInd w:val="0"/>
        <w:snapToGrid w:val="0"/>
        <w:spacing w:line="360" w:lineRule="auto"/>
        <w:ind w:firstLine="480" w:firstLineChars="200"/>
        <w:rPr>
          <w:rFonts w:ascii="宋体" w:hAnsi="宋体"/>
          <w:color w:val="000000"/>
          <w:sz w:val="24"/>
          <w:szCs w:val="24"/>
        </w:rPr>
      </w:pPr>
    </w:p>
    <w:p>
      <w:pPr>
        <w:rPr>
          <w:b/>
          <w:sz w:val="24"/>
          <w:szCs w:val="24"/>
        </w:rPr>
      </w:pPr>
      <w:r>
        <w:rPr>
          <w:b/>
          <w:sz w:val="24"/>
          <w:szCs w:val="24"/>
        </w:rPr>
        <w:br w:type="page"/>
      </w:r>
    </w:p>
    <w:p>
      <w:pPr>
        <w:rPr>
          <w:b/>
          <w:sz w:val="24"/>
          <w:szCs w:val="24"/>
        </w:rPr>
      </w:pPr>
      <w:r>
        <w:rPr>
          <w:rFonts w:hint="eastAsia"/>
          <w:b/>
          <w:sz w:val="24"/>
          <w:szCs w:val="24"/>
          <w:lang w:val="zh-CN"/>
        </w:rPr>
        <w:t>格式十二</w:t>
      </w:r>
      <w:r>
        <w:rPr>
          <w:rFonts w:hint="eastAsia"/>
          <w:b/>
          <w:sz w:val="24"/>
          <w:szCs w:val="24"/>
        </w:rPr>
        <w:t>：</w:t>
      </w:r>
    </w:p>
    <w:p>
      <w:pPr>
        <w:rPr>
          <w:sz w:val="24"/>
          <w:szCs w:val="24"/>
        </w:rPr>
      </w:pPr>
    </w:p>
    <w:p>
      <w:pPr>
        <w:spacing w:line="360" w:lineRule="auto"/>
        <w:jc w:val="center"/>
        <w:rPr>
          <w:rFonts w:ascii="宋体" w:hAnsi="宋体"/>
          <w:color w:val="000000"/>
          <w:sz w:val="24"/>
          <w:szCs w:val="24"/>
        </w:rPr>
      </w:pPr>
      <w:r>
        <w:rPr>
          <w:rFonts w:hint="eastAsia" w:ascii="宋体" w:hAnsi="宋体"/>
          <w:color w:val="000000"/>
          <w:sz w:val="24"/>
          <w:szCs w:val="24"/>
        </w:rPr>
        <w:t>十、服务需求响应表</w:t>
      </w:r>
    </w:p>
    <w:p>
      <w:pPr>
        <w:spacing w:line="360" w:lineRule="auto"/>
        <w:rPr>
          <w:rFonts w:ascii="宋体" w:hAnsi="宋体"/>
          <w:b/>
          <w:color w:val="000000"/>
          <w:sz w:val="24"/>
          <w:szCs w:val="24"/>
        </w:rPr>
      </w:pPr>
      <w:r>
        <w:rPr>
          <w:rFonts w:hint="eastAsia" w:ascii="宋体" w:hAnsi="宋体" w:cs="宋体"/>
          <w:kern w:val="0"/>
          <w:sz w:val="24"/>
          <w:szCs w:val="24"/>
        </w:rPr>
        <w:t>1.服务项目名称：</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5"/>
        <w:gridCol w:w="1666"/>
        <w:gridCol w:w="1292"/>
        <w:gridCol w:w="276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编号</w:t>
            </w:r>
          </w:p>
        </w:tc>
        <w:tc>
          <w:tcPr>
            <w:tcW w:w="1935"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磋商文件要求服务要求及标准</w:t>
            </w:r>
          </w:p>
        </w:tc>
        <w:tc>
          <w:tcPr>
            <w:tcW w:w="166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供应商提供服务指标</w:t>
            </w:r>
          </w:p>
        </w:tc>
        <w:tc>
          <w:tcPr>
            <w:tcW w:w="1292"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w:t>
            </w:r>
          </w:p>
          <w:p>
            <w:pPr>
              <w:spacing w:line="360" w:lineRule="auto"/>
              <w:jc w:val="center"/>
              <w:rPr>
                <w:rFonts w:ascii="宋体" w:hAnsi="宋体"/>
                <w:color w:val="000000"/>
                <w:sz w:val="24"/>
                <w:szCs w:val="24"/>
              </w:rPr>
            </w:pPr>
            <w:r>
              <w:rPr>
                <w:rFonts w:hint="eastAsia" w:ascii="宋体" w:hAnsi="宋体"/>
                <w:color w:val="000000"/>
                <w:sz w:val="24"/>
                <w:szCs w:val="24"/>
              </w:rPr>
              <w:t>程度</w:t>
            </w:r>
          </w:p>
        </w:tc>
        <w:tc>
          <w:tcPr>
            <w:tcW w:w="2761" w:type="dxa"/>
            <w:vAlign w:val="center"/>
          </w:tcPr>
          <w:p>
            <w:pPr>
              <w:spacing w:line="360" w:lineRule="auto"/>
              <w:jc w:val="center"/>
              <w:rPr>
                <w:rFonts w:ascii="宋体" w:hAnsi="宋体"/>
                <w:color w:val="000000"/>
                <w:sz w:val="24"/>
                <w:szCs w:val="24"/>
              </w:rPr>
            </w:pPr>
            <w:r>
              <w:rPr>
                <w:rFonts w:hint="eastAsia" w:ascii="宋体" w:hAnsi="宋体" w:cs="宋体"/>
                <w:sz w:val="24"/>
                <w:szCs w:val="24"/>
              </w:rPr>
              <w:t>其他要求（如截图、演示要求等）请标明页码</w:t>
            </w:r>
          </w:p>
        </w:tc>
        <w:tc>
          <w:tcPr>
            <w:tcW w:w="1298"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1935" w:type="dxa"/>
            <w:vAlign w:val="center"/>
          </w:tcPr>
          <w:p>
            <w:pPr>
              <w:spacing w:line="360" w:lineRule="auto"/>
              <w:rPr>
                <w:rFonts w:ascii="宋体" w:hAnsi="宋体"/>
                <w:color w:val="000000"/>
                <w:sz w:val="24"/>
                <w:szCs w:val="24"/>
              </w:rPr>
            </w:pPr>
          </w:p>
        </w:tc>
        <w:tc>
          <w:tcPr>
            <w:tcW w:w="1666" w:type="dxa"/>
            <w:vAlign w:val="center"/>
          </w:tcPr>
          <w:p>
            <w:pPr>
              <w:spacing w:line="360" w:lineRule="auto"/>
              <w:rPr>
                <w:rFonts w:ascii="宋体" w:hAnsi="宋体"/>
                <w:color w:val="000000"/>
                <w:sz w:val="24"/>
                <w:szCs w:val="24"/>
              </w:rPr>
            </w:pPr>
          </w:p>
        </w:tc>
        <w:tc>
          <w:tcPr>
            <w:tcW w:w="1292" w:type="dxa"/>
            <w:vAlign w:val="center"/>
          </w:tcPr>
          <w:p>
            <w:pPr>
              <w:spacing w:line="360" w:lineRule="auto"/>
              <w:rPr>
                <w:rFonts w:ascii="宋体" w:hAnsi="宋体"/>
                <w:color w:val="000000"/>
                <w:sz w:val="24"/>
                <w:szCs w:val="24"/>
              </w:rPr>
            </w:pPr>
          </w:p>
        </w:tc>
        <w:tc>
          <w:tcPr>
            <w:tcW w:w="2761" w:type="dxa"/>
            <w:vAlign w:val="center"/>
          </w:tcPr>
          <w:p>
            <w:pPr>
              <w:spacing w:line="360" w:lineRule="auto"/>
              <w:ind w:left="2201" w:leftChars="786"/>
              <w:rPr>
                <w:rFonts w:ascii="宋体" w:hAnsi="宋体"/>
                <w:color w:val="000000"/>
                <w:sz w:val="24"/>
                <w:szCs w:val="24"/>
              </w:rPr>
            </w:pPr>
          </w:p>
        </w:tc>
        <w:tc>
          <w:tcPr>
            <w:tcW w:w="1298" w:type="dxa"/>
          </w:tcPr>
          <w:p>
            <w:pPr>
              <w:spacing w:line="360" w:lineRule="auto"/>
              <w:ind w:left="2201" w:leftChars="786"/>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1935" w:type="dxa"/>
            <w:vAlign w:val="center"/>
          </w:tcPr>
          <w:p>
            <w:pPr>
              <w:spacing w:line="360" w:lineRule="auto"/>
              <w:rPr>
                <w:rFonts w:ascii="宋体" w:hAnsi="宋体"/>
                <w:color w:val="000000"/>
                <w:sz w:val="24"/>
                <w:szCs w:val="24"/>
              </w:rPr>
            </w:pPr>
          </w:p>
        </w:tc>
        <w:tc>
          <w:tcPr>
            <w:tcW w:w="1666" w:type="dxa"/>
            <w:vAlign w:val="center"/>
          </w:tcPr>
          <w:p>
            <w:pPr>
              <w:spacing w:line="360" w:lineRule="auto"/>
              <w:rPr>
                <w:rFonts w:ascii="宋体" w:hAnsi="宋体"/>
                <w:color w:val="000000"/>
                <w:sz w:val="24"/>
                <w:szCs w:val="24"/>
              </w:rPr>
            </w:pPr>
          </w:p>
        </w:tc>
        <w:tc>
          <w:tcPr>
            <w:tcW w:w="1292" w:type="dxa"/>
            <w:vAlign w:val="center"/>
          </w:tcPr>
          <w:p>
            <w:pPr>
              <w:spacing w:line="360" w:lineRule="auto"/>
              <w:rPr>
                <w:rFonts w:ascii="宋体" w:hAnsi="宋体"/>
                <w:color w:val="000000"/>
                <w:sz w:val="24"/>
                <w:szCs w:val="24"/>
              </w:rPr>
            </w:pPr>
          </w:p>
        </w:tc>
        <w:tc>
          <w:tcPr>
            <w:tcW w:w="2761" w:type="dxa"/>
            <w:vAlign w:val="center"/>
          </w:tcPr>
          <w:p>
            <w:pPr>
              <w:spacing w:line="360" w:lineRule="auto"/>
              <w:rPr>
                <w:rFonts w:ascii="宋体" w:hAnsi="宋体"/>
                <w:color w:val="000000"/>
                <w:sz w:val="24"/>
                <w:szCs w:val="24"/>
              </w:rPr>
            </w:pPr>
          </w:p>
        </w:tc>
        <w:tc>
          <w:tcPr>
            <w:tcW w:w="1298" w:type="dxa"/>
          </w:tcPr>
          <w:p>
            <w:pPr>
              <w:spacing w:line="360" w:lineRule="auto"/>
              <w:rPr>
                <w:rFonts w:ascii="宋体" w:hAnsi="宋体"/>
                <w:color w:val="000000"/>
                <w:sz w:val="24"/>
                <w:szCs w:val="24"/>
              </w:rPr>
            </w:pPr>
          </w:p>
        </w:tc>
      </w:tr>
    </w:tbl>
    <w:p>
      <w:pPr>
        <w:spacing w:line="360" w:lineRule="auto"/>
        <w:rPr>
          <w:rFonts w:ascii="宋体" w:hAnsi="宋体"/>
          <w:b/>
          <w:color w:val="000000"/>
          <w:sz w:val="24"/>
          <w:szCs w:val="24"/>
        </w:rPr>
      </w:pPr>
      <w:r>
        <w:rPr>
          <w:rFonts w:hint="eastAsia" w:ascii="宋体" w:hAnsi="宋体" w:cs="宋体"/>
          <w:kern w:val="0"/>
          <w:sz w:val="24"/>
          <w:szCs w:val="24"/>
        </w:rPr>
        <w:t>2. 服务项目名称：：</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3"/>
        <w:gridCol w:w="1666"/>
        <w:gridCol w:w="1294"/>
        <w:gridCol w:w="276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编号</w:t>
            </w:r>
          </w:p>
        </w:tc>
        <w:tc>
          <w:tcPr>
            <w:tcW w:w="1933"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磋商文件要求服务要求及标准</w:t>
            </w:r>
          </w:p>
        </w:tc>
        <w:tc>
          <w:tcPr>
            <w:tcW w:w="166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供应商提供服务指标</w:t>
            </w:r>
          </w:p>
        </w:tc>
        <w:tc>
          <w:tcPr>
            <w:tcW w:w="1294"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w:t>
            </w:r>
          </w:p>
          <w:p>
            <w:pPr>
              <w:spacing w:line="360" w:lineRule="auto"/>
              <w:jc w:val="center"/>
              <w:rPr>
                <w:rFonts w:ascii="宋体" w:hAnsi="宋体"/>
                <w:color w:val="000000"/>
                <w:sz w:val="24"/>
                <w:szCs w:val="24"/>
              </w:rPr>
            </w:pPr>
            <w:r>
              <w:rPr>
                <w:rFonts w:hint="eastAsia" w:ascii="宋体" w:hAnsi="宋体"/>
                <w:color w:val="000000"/>
                <w:sz w:val="24"/>
                <w:szCs w:val="24"/>
              </w:rPr>
              <w:t>程度</w:t>
            </w:r>
          </w:p>
        </w:tc>
        <w:tc>
          <w:tcPr>
            <w:tcW w:w="2761" w:type="dxa"/>
            <w:vAlign w:val="center"/>
          </w:tcPr>
          <w:p>
            <w:pPr>
              <w:spacing w:line="360" w:lineRule="auto"/>
              <w:jc w:val="center"/>
              <w:rPr>
                <w:rFonts w:ascii="宋体" w:hAnsi="宋体"/>
                <w:color w:val="000000"/>
                <w:sz w:val="24"/>
                <w:szCs w:val="24"/>
              </w:rPr>
            </w:pPr>
            <w:r>
              <w:rPr>
                <w:rFonts w:hint="eastAsia" w:ascii="宋体" w:hAnsi="宋体" w:cs="宋体"/>
                <w:sz w:val="24"/>
                <w:szCs w:val="24"/>
              </w:rPr>
              <w:t>其他要求（如截图、演示要求等）请标明页码</w:t>
            </w:r>
          </w:p>
        </w:tc>
        <w:tc>
          <w:tcPr>
            <w:tcW w:w="1298"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1933" w:type="dxa"/>
            <w:vAlign w:val="center"/>
          </w:tcPr>
          <w:p>
            <w:pPr>
              <w:spacing w:line="360" w:lineRule="auto"/>
              <w:rPr>
                <w:rFonts w:ascii="宋体" w:hAnsi="宋体"/>
                <w:color w:val="000000"/>
                <w:sz w:val="24"/>
                <w:szCs w:val="24"/>
              </w:rPr>
            </w:pPr>
          </w:p>
        </w:tc>
        <w:tc>
          <w:tcPr>
            <w:tcW w:w="1666" w:type="dxa"/>
            <w:vAlign w:val="center"/>
          </w:tcPr>
          <w:p>
            <w:pPr>
              <w:spacing w:line="360" w:lineRule="auto"/>
              <w:rPr>
                <w:rFonts w:ascii="宋体" w:hAnsi="宋体"/>
                <w:color w:val="000000"/>
                <w:sz w:val="24"/>
                <w:szCs w:val="24"/>
              </w:rPr>
            </w:pPr>
          </w:p>
        </w:tc>
        <w:tc>
          <w:tcPr>
            <w:tcW w:w="1294" w:type="dxa"/>
            <w:vAlign w:val="center"/>
          </w:tcPr>
          <w:p>
            <w:pPr>
              <w:spacing w:line="360" w:lineRule="auto"/>
              <w:rPr>
                <w:rFonts w:ascii="宋体" w:hAnsi="宋体"/>
                <w:color w:val="000000"/>
                <w:sz w:val="24"/>
                <w:szCs w:val="24"/>
              </w:rPr>
            </w:pPr>
          </w:p>
        </w:tc>
        <w:tc>
          <w:tcPr>
            <w:tcW w:w="2761" w:type="dxa"/>
            <w:vAlign w:val="center"/>
          </w:tcPr>
          <w:p>
            <w:pPr>
              <w:spacing w:line="360" w:lineRule="auto"/>
              <w:ind w:left="2201" w:leftChars="786"/>
              <w:rPr>
                <w:rFonts w:ascii="宋体" w:hAnsi="宋体"/>
                <w:color w:val="000000"/>
                <w:sz w:val="24"/>
                <w:szCs w:val="24"/>
              </w:rPr>
            </w:pPr>
          </w:p>
        </w:tc>
        <w:tc>
          <w:tcPr>
            <w:tcW w:w="1298" w:type="dxa"/>
          </w:tcPr>
          <w:p>
            <w:pPr>
              <w:spacing w:line="360" w:lineRule="auto"/>
              <w:ind w:left="2201" w:leftChars="786"/>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1933" w:type="dxa"/>
            <w:vAlign w:val="center"/>
          </w:tcPr>
          <w:p>
            <w:pPr>
              <w:spacing w:line="360" w:lineRule="auto"/>
              <w:rPr>
                <w:rFonts w:ascii="宋体" w:hAnsi="宋体"/>
                <w:color w:val="000000"/>
                <w:sz w:val="24"/>
                <w:szCs w:val="24"/>
              </w:rPr>
            </w:pPr>
          </w:p>
        </w:tc>
        <w:tc>
          <w:tcPr>
            <w:tcW w:w="1666" w:type="dxa"/>
            <w:vAlign w:val="center"/>
          </w:tcPr>
          <w:p>
            <w:pPr>
              <w:spacing w:line="360" w:lineRule="auto"/>
              <w:rPr>
                <w:rFonts w:ascii="宋体" w:hAnsi="宋体"/>
                <w:color w:val="000000"/>
                <w:sz w:val="24"/>
                <w:szCs w:val="24"/>
              </w:rPr>
            </w:pPr>
          </w:p>
        </w:tc>
        <w:tc>
          <w:tcPr>
            <w:tcW w:w="1294" w:type="dxa"/>
            <w:vAlign w:val="center"/>
          </w:tcPr>
          <w:p>
            <w:pPr>
              <w:spacing w:line="360" w:lineRule="auto"/>
              <w:rPr>
                <w:rFonts w:ascii="宋体" w:hAnsi="宋体"/>
                <w:color w:val="000000"/>
                <w:sz w:val="24"/>
                <w:szCs w:val="24"/>
              </w:rPr>
            </w:pPr>
          </w:p>
        </w:tc>
        <w:tc>
          <w:tcPr>
            <w:tcW w:w="2761" w:type="dxa"/>
            <w:vAlign w:val="center"/>
          </w:tcPr>
          <w:p>
            <w:pPr>
              <w:spacing w:line="360" w:lineRule="auto"/>
              <w:rPr>
                <w:rFonts w:ascii="宋体" w:hAnsi="宋体"/>
                <w:color w:val="000000"/>
                <w:sz w:val="24"/>
                <w:szCs w:val="24"/>
              </w:rPr>
            </w:pPr>
          </w:p>
        </w:tc>
        <w:tc>
          <w:tcPr>
            <w:tcW w:w="1298" w:type="dxa"/>
          </w:tcPr>
          <w:p>
            <w:pPr>
              <w:spacing w:line="360" w:lineRule="auto"/>
              <w:rPr>
                <w:rFonts w:ascii="宋体" w:hAnsi="宋体"/>
                <w:color w:val="000000"/>
                <w:sz w:val="24"/>
                <w:szCs w:val="24"/>
              </w:rPr>
            </w:pPr>
          </w:p>
        </w:tc>
      </w:tr>
    </w:tbl>
    <w:p>
      <w:pPr>
        <w:spacing w:line="360" w:lineRule="auto"/>
        <w:ind w:right="57"/>
        <w:rPr>
          <w:rFonts w:ascii="宋体" w:hAnsi="宋体"/>
          <w:b/>
          <w:bCs/>
          <w:color w:val="000000"/>
          <w:sz w:val="24"/>
          <w:szCs w:val="24"/>
        </w:rPr>
      </w:pPr>
    </w:p>
    <w:p>
      <w:pPr>
        <w:spacing w:line="360" w:lineRule="auto"/>
        <w:ind w:right="57"/>
        <w:rPr>
          <w:rFonts w:ascii="宋体" w:hAnsi="宋体"/>
          <w:color w:val="000000"/>
          <w:sz w:val="24"/>
          <w:szCs w:val="24"/>
        </w:rPr>
      </w:pPr>
      <w:r>
        <w:rPr>
          <w:rFonts w:hint="eastAsia" w:ascii="宋体" w:hAnsi="宋体"/>
          <w:b/>
          <w:bCs/>
          <w:color w:val="000000"/>
          <w:sz w:val="24"/>
          <w:szCs w:val="24"/>
        </w:rPr>
        <w:t>说明</w:t>
      </w:r>
      <w:r>
        <w:rPr>
          <w:rFonts w:hint="eastAsia" w:ascii="宋体" w:hAnsi="宋体"/>
          <w:b/>
          <w:color w:val="000000"/>
          <w:sz w:val="24"/>
          <w:szCs w:val="24"/>
        </w:rPr>
        <w:t>：</w:t>
      </w:r>
    </w:p>
    <w:p>
      <w:pPr>
        <w:spacing w:line="360" w:lineRule="auto"/>
        <w:ind w:right="57" w:firstLine="360" w:firstLineChars="150"/>
        <w:rPr>
          <w:rFonts w:ascii="宋体" w:hAnsi="宋体" w:cs="宋体"/>
          <w:sz w:val="24"/>
          <w:szCs w:val="24"/>
        </w:rPr>
      </w:pPr>
      <w:r>
        <w:rPr>
          <w:rFonts w:hint="eastAsia" w:ascii="宋体" w:hAnsi="宋体" w:cs="宋体"/>
          <w:sz w:val="24"/>
          <w:szCs w:val="24"/>
        </w:rPr>
        <w:t>1. 供应商应按照本磋商文件第四章“服务需求一览表”中的要求，将</w:t>
      </w:r>
      <w:r>
        <w:rPr>
          <w:rFonts w:hint="eastAsia" w:ascii="宋体" w:hAnsi="宋体"/>
          <w:color w:val="000000"/>
          <w:sz w:val="24"/>
          <w:szCs w:val="24"/>
        </w:rPr>
        <w:t>服务要求及标准</w:t>
      </w:r>
      <w:r>
        <w:rPr>
          <w:rFonts w:hint="eastAsia" w:ascii="宋体" w:hAnsi="宋体" w:cs="宋体"/>
          <w:sz w:val="24"/>
          <w:szCs w:val="24"/>
        </w:rPr>
        <w:t>逐一列出，以证明供应商对磋商文件要求的服务内容做出实质性响应。</w:t>
      </w:r>
    </w:p>
    <w:p>
      <w:pPr>
        <w:spacing w:line="360" w:lineRule="auto"/>
        <w:ind w:right="57" w:firstLine="360" w:firstLineChars="150"/>
        <w:rPr>
          <w:rFonts w:ascii="宋体" w:hAnsi="宋体" w:cs="宋体"/>
          <w:sz w:val="24"/>
          <w:szCs w:val="24"/>
        </w:rPr>
      </w:pPr>
      <w:r>
        <w:rPr>
          <w:rFonts w:hint="eastAsia" w:ascii="宋体" w:hAnsi="宋体" w:cs="宋体"/>
          <w:kern w:val="0"/>
          <w:sz w:val="24"/>
          <w:szCs w:val="24"/>
        </w:rPr>
        <w:t>响应文件中的服务指标应达到或优于磋商文件中所列要求。磋商文件中所列服务指标仅列出了最低限度，供应商在提供的服务指标中必须列出具体数值或内容。对磋商文件原文复制或只注明符合、满足等无具体内容的表述，将视为不符合磋商文件要求。</w:t>
      </w:r>
    </w:p>
    <w:p>
      <w:pPr>
        <w:spacing w:line="360" w:lineRule="auto"/>
        <w:ind w:right="57" w:firstLine="360" w:firstLineChars="150"/>
        <w:rPr>
          <w:rFonts w:ascii="宋体" w:hAnsi="宋体" w:cs="宋体"/>
          <w:sz w:val="24"/>
          <w:szCs w:val="24"/>
        </w:rPr>
      </w:pPr>
      <w:r>
        <w:rPr>
          <w:rFonts w:hint="eastAsia" w:ascii="宋体" w:hAnsi="宋体" w:cs="宋体"/>
          <w:sz w:val="24"/>
          <w:szCs w:val="24"/>
        </w:rPr>
        <w:t>2. 此表按照服务项目分别填写，填写时注明服务项目名称。（每一种服务项目须分别填写此表）</w:t>
      </w:r>
    </w:p>
    <w:p>
      <w:pPr>
        <w:spacing w:line="360" w:lineRule="auto"/>
        <w:ind w:right="57" w:firstLine="360" w:firstLineChars="150"/>
        <w:rPr>
          <w:rFonts w:ascii="宋体" w:hAnsi="宋体" w:cs="宋体"/>
          <w:sz w:val="24"/>
          <w:szCs w:val="24"/>
        </w:rPr>
      </w:pPr>
      <w:r>
        <w:rPr>
          <w:rFonts w:hint="eastAsia" w:ascii="宋体" w:hAnsi="宋体" w:cs="宋体"/>
          <w:sz w:val="24"/>
          <w:szCs w:val="24"/>
        </w:rPr>
        <w:t>3.“响应程度”处可填写满足、响应或正偏离、负偏离。</w:t>
      </w:r>
    </w:p>
    <w:p>
      <w:pPr>
        <w:spacing w:line="360" w:lineRule="auto"/>
        <w:ind w:right="57" w:firstLine="360" w:firstLineChars="150"/>
        <w:rPr>
          <w:rFonts w:ascii="宋体" w:hAnsi="宋体" w:cs="宋体"/>
          <w:sz w:val="24"/>
          <w:szCs w:val="24"/>
        </w:rPr>
      </w:pPr>
      <w:r>
        <w:rPr>
          <w:rFonts w:hint="eastAsia" w:ascii="宋体" w:hAnsi="宋体" w:cs="宋体"/>
          <w:sz w:val="24"/>
          <w:szCs w:val="24"/>
        </w:rPr>
        <w:t>4. “备注”处可填写偏离情况的具体说明。</w:t>
      </w:r>
    </w:p>
    <w:p>
      <w:pPr>
        <w:widowControl/>
        <w:rPr>
          <w:sz w:val="21"/>
        </w:rPr>
      </w:pPr>
      <w:r>
        <w:rPr>
          <w:sz w:val="21"/>
        </w:rPr>
        <w:br w:type="page"/>
      </w:r>
    </w:p>
    <w:p>
      <w:pPr>
        <w:widowControl/>
        <w:rPr>
          <w:sz w:val="21"/>
        </w:rPr>
      </w:pPr>
    </w:p>
    <w:p>
      <w:pPr>
        <w:spacing w:line="360" w:lineRule="auto"/>
        <w:rPr>
          <w:rFonts w:ascii="宋体" w:hAnsi="宋体"/>
          <w:b/>
          <w:color w:val="000000"/>
          <w:sz w:val="24"/>
          <w:szCs w:val="24"/>
        </w:rPr>
      </w:pPr>
      <w:r>
        <w:rPr>
          <w:rFonts w:hint="eastAsia"/>
          <w:b/>
          <w:sz w:val="24"/>
        </w:rPr>
        <w:t>格式十三：</w:t>
      </w:r>
    </w:p>
    <w:p>
      <w:pPr>
        <w:spacing w:line="480" w:lineRule="exact"/>
        <w:ind w:firstLine="3465" w:firstLineChars="1650"/>
        <w:rPr>
          <w:rFonts w:ascii="宋体" w:hAnsi="Courier New"/>
          <w:b/>
          <w:snapToGrid w:val="0"/>
          <w:kern w:val="0"/>
          <w:sz w:val="21"/>
          <w:szCs w:val="21"/>
        </w:rPr>
      </w:pPr>
      <w:r>
        <w:rPr>
          <w:rFonts w:hint="eastAsia" w:ascii="宋体" w:hAnsi="Courier New"/>
          <w:snapToGrid w:val="0"/>
          <w:kern w:val="0"/>
          <w:sz w:val="21"/>
          <w:szCs w:val="21"/>
        </w:rPr>
        <w:t>十一、项目服务方案</w:t>
      </w:r>
      <w:r>
        <w:rPr>
          <w:rFonts w:hint="eastAsia" w:ascii="宋体" w:hAnsi="Courier New"/>
          <w:b/>
          <w:snapToGrid w:val="0"/>
          <w:kern w:val="0"/>
          <w:sz w:val="21"/>
          <w:szCs w:val="21"/>
        </w:rPr>
        <w:t>（</w:t>
      </w:r>
      <w:r>
        <w:rPr>
          <w:rFonts w:hint="eastAsia" w:ascii="宋体" w:hAnsi="宋体"/>
          <w:color w:val="000000"/>
          <w:sz w:val="24"/>
          <w:szCs w:val="24"/>
        </w:rPr>
        <w:t>整体实施方案</w:t>
      </w:r>
      <w:r>
        <w:rPr>
          <w:rFonts w:hint="eastAsia" w:ascii="宋体" w:hAnsi="Courier New"/>
          <w:b/>
          <w:snapToGrid w:val="0"/>
          <w:kern w:val="0"/>
          <w:sz w:val="21"/>
          <w:szCs w:val="21"/>
        </w:rPr>
        <w:t>）</w:t>
      </w:r>
    </w:p>
    <w:p>
      <w:pPr>
        <w:spacing w:line="480" w:lineRule="exact"/>
        <w:rPr>
          <w:rFonts w:ascii="宋体" w:hAnsi="Courier New"/>
          <w:snapToGrid w:val="0"/>
          <w:kern w:val="0"/>
          <w:sz w:val="21"/>
          <w:szCs w:val="21"/>
        </w:rPr>
      </w:pPr>
    </w:p>
    <w:p>
      <w:pPr>
        <w:spacing w:line="480" w:lineRule="exact"/>
        <w:rPr>
          <w:rFonts w:ascii="宋体" w:hAnsi="Courier New"/>
          <w:snapToGrid w:val="0"/>
          <w:kern w:val="0"/>
          <w:sz w:val="21"/>
          <w:szCs w:val="21"/>
        </w:rPr>
      </w:pPr>
      <w:r>
        <w:rPr>
          <w:rFonts w:hint="eastAsia" w:ascii="宋体" w:hAnsi="Courier New"/>
          <w:snapToGrid w:val="0"/>
          <w:kern w:val="0"/>
          <w:sz w:val="21"/>
          <w:szCs w:val="21"/>
        </w:rPr>
        <w:t>（由供应商自行编制）</w:t>
      </w:r>
    </w:p>
    <w:p>
      <w:pPr>
        <w:spacing w:line="480" w:lineRule="exac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r>
        <w:rPr>
          <w:rFonts w:hint="eastAsia" w:ascii="宋体" w:hAnsi="Courier New"/>
          <w:snapToGrid w:val="0"/>
          <w:kern w:val="0"/>
          <w:sz w:val="21"/>
          <w:szCs w:val="21"/>
        </w:rPr>
        <w:t>注：本部分内容应包含但不限于本磋商文件服务要求的相关的内容。</w:t>
      </w:r>
    </w:p>
    <w:p>
      <w:r>
        <w:br w:type="page"/>
      </w:r>
    </w:p>
    <w:p>
      <w:pPr>
        <w:spacing w:line="360" w:lineRule="auto"/>
        <w:rPr>
          <w:rFonts w:ascii="宋体" w:hAnsi="宋体"/>
          <w:b/>
          <w:color w:val="000000"/>
          <w:sz w:val="24"/>
          <w:szCs w:val="24"/>
        </w:rPr>
      </w:pPr>
      <w:r>
        <w:rPr>
          <w:rFonts w:hint="eastAsia" w:ascii="宋体" w:hAnsi="宋体"/>
          <w:b/>
          <w:bCs/>
          <w:color w:val="000000"/>
          <w:kern w:val="0"/>
          <w:sz w:val="24"/>
          <w:szCs w:val="24"/>
          <w:lang w:val="zh-CN"/>
        </w:rPr>
        <w:t>格式十四：</w:t>
      </w:r>
    </w:p>
    <w:p>
      <w:pPr>
        <w:spacing w:line="360" w:lineRule="auto"/>
        <w:jc w:val="center"/>
        <w:rPr>
          <w:rFonts w:ascii="宋体" w:hAnsi="宋体"/>
          <w:b/>
          <w:bCs/>
          <w:color w:val="000000"/>
          <w:sz w:val="24"/>
          <w:szCs w:val="24"/>
        </w:rPr>
      </w:pPr>
      <w:r>
        <w:rPr>
          <w:rFonts w:hint="eastAsia" w:ascii="宋体" w:hAnsi="宋体"/>
          <w:sz w:val="24"/>
          <w:szCs w:val="24"/>
          <w:lang w:val="zh-CN"/>
        </w:rPr>
        <w:t>十二、商务规格响应表</w:t>
      </w:r>
    </w:p>
    <w:tbl>
      <w:tblPr>
        <w:tblStyle w:val="26"/>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磋商文件商务</w:t>
            </w:r>
          </w:p>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供应商响应的</w:t>
            </w:r>
          </w:p>
          <w:p>
            <w:pPr>
              <w:spacing w:line="360" w:lineRule="auto"/>
              <w:jc w:val="center"/>
              <w:rPr>
                <w:rFonts w:ascii="宋体" w:hAnsi="宋体"/>
                <w:color w:val="000000"/>
                <w:sz w:val="24"/>
                <w:szCs w:val="24"/>
              </w:rPr>
            </w:pPr>
            <w:r>
              <w:rPr>
                <w:rFonts w:hint="eastAsia" w:ascii="宋体" w:hAnsi="宋体"/>
                <w:color w:val="000000"/>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szCs w:val="24"/>
                <w:lang w:eastAsia="zh-CN"/>
              </w:rPr>
            </w:pPr>
            <w:r>
              <w:rPr>
                <w:rFonts w:hint="eastAsia" w:ascii="宋体" w:hAnsi="宋体"/>
                <w:sz w:val="24"/>
                <w:szCs w:val="24"/>
                <w:lang w:val="en-US" w:eastAsia="zh-CN"/>
              </w:rPr>
              <w:t>服务期</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2</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sz w:val="24"/>
                <w:szCs w:val="24"/>
                <w:lang w:val="en-US" w:eastAsia="zh-CN"/>
              </w:rPr>
            </w:pPr>
            <w:r>
              <w:rPr>
                <w:rFonts w:hint="eastAsia" w:ascii="宋体" w:hAnsi="宋体"/>
                <w:sz w:val="24"/>
                <w:szCs w:val="24"/>
                <w:lang w:val="en-US" w:eastAsia="zh-CN"/>
              </w:rPr>
              <w:t>服务内容</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49"/>
              <w:ind w:firstLine="0" w:firstLineChars="0"/>
              <w:jc w:val="center"/>
              <w:rPr>
                <w:rFonts w:ascii="宋体" w:hAnsi="宋体"/>
                <w:sz w:val="24"/>
                <w:szCs w:val="24"/>
              </w:rPr>
            </w:pPr>
            <w:r>
              <w:rPr>
                <w:rFonts w:hint="eastAsia" w:ascii="宋体" w:hAnsi="宋体"/>
                <w:sz w:val="24"/>
                <w:szCs w:val="24"/>
              </w:rPr>
              <w:t>服务地点</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4</w:t>
            </w:r>
          </w:p>
        </w:tc>
        <w:tc>
          <w:tcPr>
            <w:tcW w:w="2209" w:type="dxa"/>
            <w:tcBorders>
              <w:top w:val="single" w:color="auto" w:sz="4" w:space="0"/>
              <w:left w:val="single" w:color="auto" w:sz="4" w:space="0"/>
              <w:bottom w:val="single" w:color="auto" w:sz="4" w:space="0"/>
              <w:right w:val="single" w:color="auto" w:sz="4" w:space="0"/>
            </w:tcBorders>
            <w:vAlign w:val="center"/>
          </w:tcPr>
          <w:p>
            <w:pPr>
              <w:pStyle w:val="49"/>
              <w:ind w:firstLine="0" w:firstLineChars="0"/>
              <w:jc w:val="center"/>
              <w:rPr>
                <w:rFonts w:ascii="宋体" w:hAnsi="宋体"/>
                <w:sz w:val="24"/>
                <w:szCs w:val="24"/>
              </w:rPr>
            </w:pPr>
            <w:r>
              <w:rPr>
                <w:rFonts w:hint="eastAsia" w:ascii="宋体" w:hAnsi="宋体"/>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49"/>
              <w:ind w:firstLine="0" w:firstLineChars="0"/>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5</w:t>
            </w:r>
          </w:p>
        </w:tc>
        <w:tc>
          <w:tcPr>
            <w:tcW w:w="2209" w:type="dxa"/>
            <w:tcBorders>
              <w:top w:val="single" w:color="auto" w:sz="4" w:space="0"/>
              <w:left w:val="single" w:color="auto" w:sz="4" w:space="0"/>
              <w:bottom w:val="single" w:color="auto" w:sz="4" w:space="0"/>
              <w:right w:val="single" w:color="auto" w:sz="4" w:space="0"/>
            </w:tcBorders>
            <w:vAlign w:val="center"/>
          </w:tcPr>
          <w:p>
            <w:pPr>
              <w:pStyle w:val="49"/>
              <w:ind w:firstLine="0" w:firstLineChars="0"/>
              <w:jc w:val="center"/>
              <w:rPr>
                <w:rFonts w:ascii="宋体" w:hAnsi="宋体"/>
                <w:sz w:val="24"/>
                <w:szCs w:val="24"/>
              </w:rPr>
            </w:pPr>
            <w:r>
              <w:rPr>
                <w:rFonts w:hint="eastAsia" w:ascii="宋体" w:hAnsi="宋体"/>
                <w:sz w:val="24"/>
                <w:szCs w:val="24"/>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bl>
    <w:p>
      <w:pPr>
        <w:spacing w:line="360" w:lineRule="auto"/>
        <w:ind w:right="57" w:firstLine="361" w:firstLineChars="150"/>
        <w:rPr>
          <w:rFonts w:ascii="宋体" w:hAnsi="宋体"/>
          <w:sz w:val="24"/>
          <w:szCs w:val="24"/>
        </w:rPr>
      </w:pPr>
      <w:r>
        <w:rPr>
          <w:rFonts w:hint="eastAsia" w:ascii="宋体" w:hAnsi="宋体"/>
          <w:b/>
          <w:color w:val="000000"/>
          <w:sz w:val="24"/>
          <w:szCs w:val="24"/>
        </w:rPr>
        <w:t>说明：</w:t>
      </w:r>
      <w:r>
        <w:rPr>
          <w:rFonts w:hint="eastAsia" w:ascii="宋体" w:hAnsi="宋体" w:cs="宋体"/>
          <w:sz w:val="24"/>
          <w:szCs w:val="24"/>
        </w:rPr>
        <w:t>“响应程度”处可填写满足、响应或正偏离、负偏离。</w:t>
      </w:r>
    </w:p>
    <w:p>
      <w:pPr>
        <w:spacing w:line="360" w:lineRule="auto"/>
        <w:rPr>
          <w:rFonts w:ascii="宋体" w:hAnsi="宋体"/>
          <w:b/>
          <w:color w:val="000000"/>
          <w:sz w:val="24"/>
          <w:szCs w:val="24"/>
        </w:rPr>
      </w:pPr>
      <w:r>
        <w:rPr>
          <w:rFonts w:ascii="宋体" w:hAnsi="宋体"/>
          <w:b/>
          <w:color w:val="000000"/>
          <w:sz w:val="24"/>
          <w:szCs w:val="24"/>
        </w:rPr>
        <w:br w:type="page"/>
      </w:r>
    </w:p>
    <w:p>
      <w:pPr>
        <w:spacing w:line="360" w:lineRule="auto"/>
        <w:rPr>
          <w:rFonts w:ascii="宋体" w:hAnsi="宋体"/>
          <w:b/>
          <w:color w:val="000000"/>
          <w:sz w:val="24"/>
          <w:szCs w:val="24"/>
        </w:rPr>
      </w:pPr>
      <w:r>
        <w:rPr>
          <w:rFonts w:hint="eastAsia" w:ascii="宋体" w:hAnsi="宋体"/>
          <w:b/>
          <w:color w:val="000000"/>
          <w:sz w:val="24"/>
          <w:szCs w:val="24"/>
        </w:rPr>
        <w:t xml:space="preserve">格式十五：               </w:t>
      </w:r>
    </w:p>
    <w:p>
      <w:pPr>
        <w:spacing w:line="360" w:lineRule="auto"/>
        <w:jc w:val="center"/>
        <w:rPr>
          <w:rFonts w:ascii="宋体" w:hAnsi="宋体"/>
          <w:b/>
          <w:color w:val="000000"/>
          <w:sz w:val="24"/>
          <w:szCs w:val="24"/>
        </w:rPr>
      </w:pPr>
      <w:r>
        <w:rPr>
          <w:rFonts w:hint="eastAsia" w:ascii="宋体" w:hAnsi="宋体"/>
          <w:color w:val="000000"/>
          <w:sz w:val="24"/>
          <w:szCs w:val="24"/>
        </w:rPr>
        <w:t>十三、供应商业绩情况表</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8" w:type="dxa"/>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2057" w:type="dxa"/>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使用单位</w:t>
            </w:r>
          </w:p>
        </w:tc>
        <w:tc>
          <w:tcPr>
            <w:tcW w:w="3539" w:type="dxa"/>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业绩名称</w:t>
            </w:r>
          </w:p>
        </w:tc>
        <w:tc>
          <w:tcPr>
            <w:tcW w:w="1708" w:type="dxa"/>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合同总价</w:t>
            </w:r>
          </w:p>
        </w:tc>
        <w:tc>
          <w:tcPr>
            <w:tcW w:w="1706" w:type="dxa"/>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000000"/>
                <w:kern w:val="0"/>
                <w:sz w:val="24"/>
                <w:szCs w:val="24"/>
                <w:lang w:val="zh-CN"/>
              </w:rPr>
            </w:pPr>
            <w:r>
              <w:rPr>
                <w:rFonts w:hint="eastAsia" w:ascii="宋体" w:hAnsi="宋体"/>
                <w:color w:val="000000"/>
                <w:kern w:val="0"/>
                <w:sz w:val="24"/>
                <w:szCs w:val="24"/>
                <w:lang w:val="zh-CN"/>
              </w:rPr>
              <w:t>1</w:t>
            </w:r>
          </w:p>
        </w:tc>
        <w:tc>
          <w:tcPr>
            <w:tcW w:w="2057" w:type="dxa"/>
            <w:shd w:val="clear" w:color="auto" w:fill="auto"/>
          </w:tcPr>
          <w:p>
            <w:pPr>
              <w:spacing w:line="360" w:lineRule="auto"/>
              <w:jc w:val="center"/>
              <w:rPr>
                <w:rFonts w:ascii="宋体" w:hAnsi="宋体"/>
                <w:color w:val="000000"/>
                <w:kern w:val="0"/>
                <w:sz w:val="24"/>
                <w:szCs w:val="24"/>
                <w:lang w:val="zh-CN"/>
              </w:rPr>
            </w:pPr>
          </w:p>
        </w:tc>
        <w:tc>
          <w:tcPr>
            <w:tcW w:w="3539" w:type="dxa"/>
            <w:shd w:val="clear" w:color="auto" w:fill="auto"/>
            <w:vAlign w:val="center"/>
          </w:tcPr>
          <w:p>
            <w:pPr>
              <w:spacing w:line="360" w:lineRule="auto"/>
              <w:jc w:val="center"/>
              <w:rPr>
                <w:rFonts w:ascii="宋体" w:hAnsi="宋体"/>
                <w:color w:val="000000"/>
                <w:kern w:val="0"/>
                <w:sz w:val="24"/>
                <w:szCs w:val="24"/>
                <w:lang w:val="zh-CN"/>
              </w:rPr>
            </w:pPr>
          </w:p>
        </w:tc>
        <w:tc>
          <w:tcPr>
            <w:tcW w:w="1708" w:type="dxa"/>
            <w:shd w:val="clear" w:color="auto" w:fill="auto"/>
            <w:vAlign w:val="center"/>
          </w:tcPr>
          <w:p>
            <w:pPr>
              <w:spacing w:line="360" w:lineRule="auto"/>
              <w:jc w:val="center"/>
              <w:rPr>
                <w:rFonts w:ascii="宋体" w:hAnsi="宋体"/>
                <w:color w:val="000000"/>
                <w:kern w:val="0"/>
                <w:sz w:val="24"/>
                <w:szCs w:val="24"/>
                <w:lang w:val="zh-CN"/>
              </w:rPr>
            </w:pPr>
          </w:p>
        </w:tc>
        <w:tc>
          <w:tcPr>
            <w:tcW w:w="1706" w:type="dxa"/>
            <w:shd w:val="clear" w:color="auto" w:fill="auto"/>
            <w:vAlign w:val="center"/>
          </w:tcPr>
          <w:p>
            <w:pPr>
              <w:spacing w:line="360" w:lineRule="auto"/>
              <w:jc w:val="center"/>
              <w:rPr>
                <w:rFonts w:ascii="宋体" w:hAnsi="宋体"/>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000000"/>
                <w:kern w:val="0"/>
                <w:sz w:val="24"/>
                <w:szCs w:val="24"/>
                <w:lang w:val="zh-CN"/>
              </w:rPr>
            </w:pPr>
            <w:r>
              <w:rPr>
                <w:rFonts w:hint="eastAsia" w:ascii="宋体" w:hAnsi="宋体"/>
                <w:color w:val="000000"/>
                <w:kern w:val="0"/>
                <w:sz w:val="24"/>
                <w:szCs w:val="24"/>
                <w:lang w:val="zh-CN"/>
              </w:rPr>
              <w:t>2</w:t>
            </w:r>
          </w:p>
        </w:tc>
        <w:tc>
          <w:tcPr>
            <w:tcW w:w="2057" w:type="dxa"/>
            <w:shd w:val="clear" w:color="auto" w:fill="auto"/>
          </w:tcPr>
          <w:p>
            <w:pPr>
              <w:spacing w:line="360" w:lineRule="auto"/>
              <w:jc w:val="center"/>
              <w:rPr>
                <w:rFonts w:ascii="宋体" w:hAnsi="宋体"/>
                <w:color w:val="000000"/>
                <w:kern w:val="0"/>
                <w:sz w:val="24"/>
                <w:szCs w:val="24"/>
                <w:lang w:val="zh-CN"/>
              </w:rPr>
            </w:pPr>
          </w:p>
        </w:tc>
        <w:tc>
          <w:tcPr>
            <w:tcW w:w="3539" w:type="dxa"/>
            <w:shd w:val="clear" w:color="auto" w:fill="auto"/>
            <w:vAlign w:val="center"/>
          </w:tcPr>
          <w:p>
            <w:pPr>
              <w:spacing w:line="360" w:lineRule="auto"/>
              <w:jc w:val="center"/>
              <w:rPr>
                <w:rFonts w:ascii="宋体" w:hAnsi="宋体"/>
                <w:color w:val="000000"/>
                <w:kern w:val="0"/>
                <w:sz w:val="24"/>
                <w:szCs w:val="24"/>
                <w:lang w:val="zh-CN"/>
              </w:rPr>
            </w:pPr>
          </w:p>
        </w:tc>
        <w:tc>
          <w:tcPr>
            <w:tcW w:w="1708" w:type="dxa"/>
            <w:shd w:val="clear" w:color="auto" w:fill="auto"/>
            <w:vAlign w:val="center"/>
          </w:tcPr>
          <w:p>
            <w:pPr>
              <w:spacing w:line="360" w:lineRule="auto"/>
              <w:jc w:val="center"/>
              <w:rPr>
                <w:rFonts w:ascii="宋体" w:hAnsi="宋体"/>
                <w:color w:val="000000"/>
                <w:kern w:val="0"/>
                <w:sz w:val="24"/>
                <w:szCs w:val="24"/>
                <w:lang w:val="zh-CN"/>
              </w:rPr>
            </w:pPr>
          </w:p>
        </w:tc>
        <w:tc>
          <w:tcPr>
            <w:tcW w:w="1706" w:type="dxa"/>
            <w:shd w:val="clear" w:color="auto" w:fill="auto"/>
            <w:vAlign w:val="center"/>
          </w:tcPr>
          <w:p>
            <w:pPr>
              <w:spacing w:line="360" w:lineRule="auto"/>
              <w:jc w:val="center"/>
              <w:rPr>
                <w:rFonts w:ascii="宋体" w:hAnsi="宋体"/>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000000"/>
                <w:kern w:val="0"/>
                <w:sz w:val="24"/>
                <w:szCs w:val="24"/>
                <w:lang w:val="zh-CN"/>
              </w:rPr>
            </w:pPr>
            <w:r>
              <w:rPr>
                <w:rFonts w:hint="eastAsia" w:ascii="宋体" w:hAnsi="宋体"/>
                <w:color w:val="000000"/>
                <w:kern w:val="0"/>
                <w:sz w:val="24"/>
                <w:szCs w:val="24"/>
                <w:lang w:val="zh-CN"/>
              </w:rPr>
              <w:t>3</w:t>
            </w:r>
          </w:p>
        </w:tc>
        <w:tc>
          <w:tcPr>
            <w:tcW w:w="2057" w:type="dxa"/>
            <w:shd w:val="clear" w:color="auto" w:fill="auto"/>
          </w:tcPr>
          <w:p>
            <w:pPr>
              <w:spacing w:line="360" w:lineRule="auto"/>
              <w:jc w:val="center"/>
              <w:rPr>
                <w:rFonts w:ascii="宋体" w:hAnsi="宋体"/>
                <w:color w:val="000000"/>
                <w:kern w:val="0"/>
                <w:sz w:val="24"/>
                <w:szCs w:val="24"/>
                <w:lang w:val="zh-CN"/>
              </w:rPr>
            </w:pPr>
          </w:p>
        </w:tc>
        <w:tc>
          <w:tcPr>
            <w:tcW w:w="3539" w:type="dxa"/>
            <w:shd w:val="clear" w:color="auto" w:fill="auto"/>
            <w:vAlign w:val="center"/>
          </w:tcPr>
          <w:p>
            <w:pPr>
              <w:spacing w:line="360" w:lineRule="auto"/>
              <w:jc w:val="center"/>
              <w:rPr>
                <w:rFonts w:ascii="宋体" w:hAnsi="宋体"/>
                <w:color w:val="000000"/>
                <w:kern w:val="0"/>
                <w:sz w:val="24"/>
                <w:szCs w:val="24"/>
                <w:lang w:val="zh-CN"/>
              </w:rPr>
            </w:pPr>
          </w:p>
        </w:tc>
        <w:tc>
          <w:tcPr>
            <w:tcW w:w="1708" w:type="dxa"/>
            <w:shd w:val="clear" w:color="auto" w:fill="auto"/>
            <w:vAlign w:val="center"/>
          </w:tcPr>
          <w:p>
            <w:pPr>
              <w:spacing w:line="360" w:lineRule="auto"/>
              <w:jc w:val="center"/>
              <w:rPr>
                <w:rFonts w:ascii="宋体" w:hAnsi="宋体"/>
                <w:color w:val="000000"/>
                <w:kern w:val="0"/>
                <w:sz w:val="24"/>
                <w:szCs w:val="24"/>
                <w:lang w:val="zh-CN"/>
              </w:rPr>
            </w:pPr>
          </w:p>
        </w:tc>
        <w:tc>
          <w:tcPr>
            <w:tcW w:w="1706" w:type="dxa"/>
            <w:shd w:val="clear" w:color="auto" w:fill="auto"/>
            <w:vAlign w:val="center"/>
          </w:tcPr>
          <w:p>
            <w:pPr>
              <w:spacing w:line="360" w:lineRule="auto"/>
              <w:jc w:val="center"/>
              <w:rPr>
                <w:rFonts w:ascii="宋体" w:hAnsi="宋体"/>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000000"/>
                <w:kern w:val="0"/>
                <w:sz w:val="24"/>
                <w:szCs w:val="24"/>
                <w:lang w:val="zh-CN"/>
              </w:rPr>
            </w:pPr>
            <w:r>
              <w:rPr>
                <w:rFonts w:hint="eastAsia" w:ascii="宋体" w:hAnsi="宋体"/>
                <w:color w:val="000000"/>
                <w:kern w:val="0"/>
                <w:sz w:val="24"/>
                <w:szCs w:val="24"/>
                <w:lang w:val="zh-CN"/>
              </w:rPr>
              <w:t>4</w:t>
            </w:r>
          </w:p>
        </w:tc>
        <w:tc>
          <w:tcPr>
            <w:tcW w:w="2057" w:type="dxa"/>
            <w:shd w:val="clear" w:color="auto" w:fill="auto"/>
          </w:tcPr>
          <w:p>
            <w:pPr>
              <w:spacing w:line="360" w:lineRule="auto"/>
              <w:jc w:val="center"/>
              <w:rPr>
                <w:rFonts w:ascii="宋体" w:hAnsi="宋体"/>
                <w:color w:val="000000"/>
                <w:kern w:val="0"/>
                <w:sz w:val="24"/>
                <w:szCs w:val="24"/>
                <w:lang w:val="zh-CN"/>
              </w:rPr>
            </w:pPr>
          </w:p>
        </w:tc>
        <w:tc>
          <w:tcPr>
            <w:tcW w:w="3539" w:type="dxa"/>
            <w:shd w:val="clear" w:color="auto" w:fill="auto"/>
            <w:vAlign w:val="center"/>
          </w:tcPr>
          <w:p>
            <w:pPr>
              <w:spacing w:line="360" w:lineRule="auto"/>
              <w:jc w:val="center"/>
              <w:rPr>
                <w:rFonts w:ascii="宋体" w:hAnsi="宋体"/>
                <w:color w:val="000000"/>
                <w:kern w:val="0"/>
                <w:sz w:val="24"/>
                <w:szCs w:val="24"/>
                <w:lang w:val="zh-CN"/>
              </w:rPr>
            </w:pPr>
          </w:p>
        </w:tc>
        <w:tc>
          <w:tcPr>
            <w:tcW w:w="1708" w:type="dxa"/>
            <w:shd w:val="clear" w:color="auto" w:fill="auto"/>
            <w:vAlign w:val="center"/>
          </w:tcPr>
          <w:p>
            <w:pPr>
              <w:spacing w:line="360" w:lineRule="auto"/>
              <w:jc w:val="center"/>
              <w:rPr>
                <w:rFonts w:ascii="宋体" w:hAnsi="宋体"/>
                <w:color w:val="000000"/>
                <w:kern w:val="0"/>
                <w:sz w:val="24"/>
                <w:szCs w:val="24"/>
                <w:lang w:val="zh-CN"/>
              </w:rPr>
            </w:pPr>
          </w:p>
        </w:tc>
        <w:tc>
          <w:tcPr>
            <w:tcW w:w="1706" w:type="dxa"/>
            <w:shd w:val="clear" w:color="auto" w:fill="auto"/>
            <w:vAlign w:val="center"/>
          </w:tcPr>
          <w:p>
            <w:pPr>
              <w:spacing w:line="360" w:lineRule="auto"/>
              <w:jc w:val="center"/>
              <w:rPr>
                <w:rFonts w:ascii="宋体" w:hAnsi="宋体"/>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000000"/>
                <w:kern w:val="0"/>
                <w:sz w:val="24"/>
                <w:szCs w:val="24"/>
                <w:lang w:val="zh-CN"/>
              </w:rPr>
            </w:pPr>
            <w:r>
              <w:rPr>
                <w:rFonts w:ascii="宋体" w:hAnsi="宋体"/>
                <w:color w:val="000000"/>
                <w:kern w:val="0"/>
                <w:sz w:val="24"/>
                <w:szCs w:val="24"/>
                <w:lang w:val="zh-CN"/>
              </w:rPr>
              <w:t>…</w:t>
            </w:r>
          </w:p>
        </w:tc>
        <w:tc>
          <w:tcPr>
            <w:tcW w:w="2057" w:type="dxa"/>
            <w:shd w:val="clear" w:color="auto" w:fill="auto"/>
          </w:tcPr>
          <w:p>
            <w:pPr>
              <w:spacing w:line="360" w:lineRule="auto"/>
              <w:jc w:val="center"/>
              <w:rPr>
                <w:rFonts w:ascii="宋体" w:hAnsi="宋体"/>
                <w:color w:val="000000"/>
                <w:kern w:val="0"/>
                <w:sz w:val="24"/>
                <w:szCs w:val="24"/>
                <w:lang w:val="zh-CN"/>
              </w:rPr>
            </w:pPr>
          </w:p>
        </w:tc>
        <w:tc>
          <w:tcPr>
            <w:tcW w:w="3539" w:type="dxa"/>
            <w:shd w:val="clear" w:color="auto" w:fill="auto"/>
            <w:vAlign w:val="center"/>
          </w:tcPr>
          <w:p>
            <w:pPr>
              <w:spacing w:line="360" w:lineRule="auto"/>
              <w:jc w:val="center"/>
              <w:rPr>
                <w:rFonts w:ascii="宋体" w:hAnsi="宋体"/>
                <w:color w:val="000000"/>
                <w:kern w:val="0"/>
                <w:sz w:val="24"/>
                <w:szCs w:val="24"/>
                <w:lang w:val="zh-CN"/>
              </w:rPr>
            </w:pPr>
          </w:p>
        </w:tc>
        <w:tc>
          <w:tcPr>
            <w:tcW w:w="1708" w:type="dxa"/>
            <w:shd w:val="clear" w:color="auto" w:fill="auto"/>
            <w:vAlign w:val="center"/>
          </w:tcPr>
          <w:p>
            <w:pPr>
              <w:spacing w:line="360" w:lineRule="auto"/>
              <w:jc w:val="center"/>
              <w:rPr>
                <w:rFonts w:ascii="宋体" w:hAnsi="宋体"/>
                <w:color w:val="000000"/>
                <w:kern w:val="0"/>
                <w:sz w:val="24"/>
                <w:szCs w:val="24"/>
                <w:lang w:val="zh-CN"/>
              </w:rPr>
            </w:pPr>
          </w:p>
        </w:tc>
        <w:tc>
          <w:tcPr>
            <w:tcW w:w="1706" w:type="dxa"/>
            <w:shd w:val="clear" w:color="auto" w:fill="auto"/>
            <w:vAlign w:val="center"/>
          </w:tcPr>
          <w:p>
            <w:pPr>
              <w:spacing w:line="360" w:lineRule="auto"/>
              <w:jc w:val="center"/>
              <w:rPr>
                <w:rFonts w:ascii="宋体" w:hAnsi="宋体"/>
                <w:color w:val="000000"/>
                <w:kern w:val="0"/>
                <w:sz w:val="24"/>
                <w:szCs w:val="24"/>
                <w:lang w:val="zh-CN"/>
              </w:rPr>
            </w:pPr>
          </w:p>
        </w:tc>
      </w:tr>
    </w:tbl>
    <w:p>
      <w:pPr>
        <w:rPr>
          <w:rFonts w:ascii="宋体" w:hAnsi="宋体"/>
          <w:sz w:val="24"/>
          <w:szCs w:val="24"/>
          <w:lang w:val="zh-CN"/>
        </w:rPr>
      </w:pPr>
      <w:r>
        <w:rPr>
          <w:rFonts w:hint="eastAsia" w:ascii="宋体" w:hAnsi="宋体"/>
          <w:sz w:val="24"/>
          <w:szCs w:val="24"/>
          <w:lang w:val="zh-CN"/>
        </w:rPr>
        <w:t>注：供应商根据上述业绩情况后附</w:t>
      </w:r>
      <w:r>
        <w:rPr>
          <w:rFonts w:hint="eastAsia" w:ascii="宋体" w:hAnsi="宋体"/>
          <w:sz w:val="24"/>
          <w:szCs w:val="24"/>
        </w:rPr>
        <w:t>销售或服务</w:t>
      </w:r>
      <w:r>
        <w:rPr>
          <w:rFonts w:ascii="宋体" w:hAnsi="宋体"/>
          <w:sz w:val="24"/>
          <w:szCs w:val="24"/>
        </w:rPr>
        <w:t>合同</w:t>
      </w:r>
      <w:r>
        <w:rPr>
          <w:rFonts w:hint="eastAsia" w:ascii="宋体" w:hAnsi="宋体"/>
          <w:sz w:val="24"/>
          <w:szCs w:val="24"/>
          <w:lang w:val="zh-CN"/>
        </w:rPr>
        <w:t>复印件。</w:t>
      </w:r>
    </w:p>
    <w:p>
      <w:pPr>
        <w:spacing w:line="360" w:lineRule="auto"/>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 xml:space="preserve">格式十六：              </w:t>
      </w:r>
    </w:p>
    <w:p>
      <w:pPr>
        <w:spacing w:line="360" w:lineRule="auto"/>
        <w:jc w:val="center"/>
        <w:rPr>
          <w:rFonts w:ascii="宋体" w:hAnsi="宋体"/>
          <w:b/>
          <w:color w:val="000000"/>
          <w:sz w:val="24"/>
          <w:szCs w:val="24"/>
        </w:rPr>
      </w:pPr>
      <w:r>
        <w:rPr>
          <w:rFonts w:hint="eastAsia" w:ascii="宋体" w:hAnsi="宋体"/>
          <w:sz w:val="24"/>
          <w:szCs w:val="24"/>
          <w:lang w:val="zh-CN"/>
        </w:rPr>
        <w:t>十四、供应商基本情况表</w:t>
      </w:r>
    </w:p>
    <w:tbl>
      <w:tblPr>
        <w:tblStyle w:val="26"/>
        <w:tblW w:w="94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ind w:firstLine="360" w:firstLineChars="150"/>
              <w:rPr>
                <w:rFonts w:ascii="宋体" w:hAnsi="宋体"/>
                <w:sz w:val="24"/>
                <w:szCs w:val="24"/>
              </w:rPr>
            </w:pPr>
            <w:r>
              <w:rPr>
                <w:rFonts w:hint="eastAsia" w:ascii="宋体" w:hAnsi="宋体"/>
                <w:sz w:val="24"/>
                <w:szCs w:val="24"/>
              </w:rPr>
              <w:t xml:space="preserve">   供应商名称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技术负责人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企业资质：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rPr>
                <w:rFonts w:ascii="宋体" w:hAnsi="宋体"/>
                <w:b/>
                <w:sz w:val="24"/>
                <w:szCs w:val="24"/>
                <w:lang w:val="zh-CN"/>
              </w:rPr>
            </w:pPr>
            <w:r>
              <w:rPr>
                <w:rFonts w:hint="eastAsia" w:ascii="宋体" w:hAnsi="宋体"/>
                <w:b/>
                <w:sz w:val="24"/>
                <w:szCs w:val="24"/>
              </w:rPr>
              <w:t>注：投标单位须在该表后附</w:t>
            </w:r>
            <w:r>
              <w:rPr>
                <w:rFonts w:hint="eastAsia" w:ascii="宋体" w:hAnsi="宋体" w:cs="宋体"/>
                <w:b/>
                <w:bCs/>
                <w:sz w:val="24"/>
                <w:szCs w:val="24"/>
              </w:rPr>
              <w:t>法人或其他组织的营业执照副本、自然人的身份证明</w:t>
            </w:r>
            <w:r>
              <w:rPr>
                <w:rFonts w:hint="eastAsia" w:ascii="宋体" w:hAnsi="宋体"/>
                <w:b/>
                <w:sz w:val="24"/>
                <w:szCs w:val="24"/>
              </w:rPr>
              <w:t>及招标公告中供应商资质要求的其他资质证明等</w:t>
            </w:r>
            <w:r>
              <w:rPr>
                <w:rFonts w:hint="eastAsia" w:ascii="宋体" w:hAnsi="宋体"/>
                <w:b/>
                <w:sz w:val="24"/>
                <w:szCs w:val="24"/>
                <w:lang w:val="zh-CN"/>
              </w:rPr>
              <w:t>。</w:t>
            </w:r>
          </w:p>
        </w:tc>
      </w:tr>
    </w:tbl>
    <w:p>
      <w:pPr>
        <w:spacing w:line="360" w:lineRule="auto"/>
        <w:rPr>
          <w:rFonts w:ascii="宋体" w:hAnsi="宋体"/>
          <w:b/>
          <w:sz w:val="24"/>
          <w:szCs w:val="24"/>
        </w:rPr>
      </w:pPr>
      <w:r>
        <w:rPr>
          <w:rFonts w:hint="eastAsia" w:ascii="宋体" w:hAnsi="宋体"/>
          <w:b/>
          <w:sz w:val="24"/>
          <w:szCs w:val="24"/>
        </w:rPr>
        <w:t>说明：</w:t>
      </w:r>
    </w:p>
    <w:p>
      <w:pPr>
        <w:ind w:firstLine="480" w:firstLineChars="200"/>
        <w:rPr>
          <w:rFonts w:ascii="宋体" w:hAnsi="宋体"/>
          <w:sz w:val="24"/>
          <w:szCs w:val="24"/>
        </w:rPr>
      </w:pPr>
      <w:r>
        <w:rPr>
          <w:rFonts w:hint="eastAsia" w:ascii="宋体" w:hAnsi="宋体"/>
          <w:sz w:val="24"/>
          <w:szCs w:val="24"/>
        </w:rPr>
        <w:t>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spacing w:line="360" w:lineRule="auto"/>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 xml:space="preserve">格式十七：          </w:t>
      </w:r>
    </w:p>
    <w:p>
      <w:pPr>
        <w:spacing w:line="360" w:lineRule="auto"/>
        <w:jc w:val="center"/>
        <w:rPr>
          <w:rFonts w:ascii="宋体" w:hAnsi="宋体"/>
          <w:sz w:val="24"/>
          <w:szCs w:val="24"/>
        </w:rPr>
      </w:pPr>
      <w:bookmarkStart w:id="129" w:name="_Toc482026556"/>
      <w:bookmarkStart w:id="130" w:name="_Toc438714732"/>
      <w:bookmarkStart w:id="131" w:name="_Toc438655702"/>
      <w:r>
        <w:rPr>
          <w:rFonts w:hint="eastAsia" w:ascii="宋体" w:hAnsi="宋体"/>
          <w:sz w:val="24"/>
          <w:szCs w:val="24"/>
        </w:rPr>
        <w:t>十五、商业信誉报告</w:t>
      </w:r>
    </w:p>
    <w:p>
      <w:pPr>
        <w:spacing w:line="360" w:lineRule="auto"/>
        <w:rPr>
          <w:rFonts w:ascii="宋体" w:hAnsi="宋体"/>
          <w:sz w:val="24"/>
          <w:szCs w:val="24"/>
        </w:rPr>
      </w:pPr>
    </w:p>
    <w:p>
      <w:pPr>
        <w:autoSpaceDE w:val="0"/>
        <w:autoSpaceDN w:val="0"/>
        <w:spacing w:line="360" w:lineRule="auto"/>
        <w:ind w:firstLine="570"/>
        <w:jc w:val="left"/>
        <w:rPr>
          <w:rFonts w:ascii="宋体" w:hAnsi="宋体"/>
          <w:color w:val="000000"/>
          <w:sz w:val="24"/>
          <w:szCs w:val="24"/>
        </w:rPr>
      </w:pPr>
      <w:r>
        <w:rPr>
          <w:rFonts w:hint="eastAsia" w:ascii="宋体" w:hAnsi="宋体"/>
          <w:color w:val="000000"/>
          <w:sz w:val="24"/>
          <w:szCs w:val="24"/>
        </w:rPr>
        <w:t>按照本招标文件第六章资格性审查的要求，提供供应商的具有良好的商业信誉的佐证材料</w:t>
      </w:r>
      <w:r>
        <w:rPr>
          <w:rFonts w:hint="eastAsia" w:ascii="宋体" w:hAnsi="宋体"/>
          <w:sz w:val="24"/>
          <w:szCs w:val="24"/>
        </w:rPr>
        <w:t>。</w:t>
      </w:r>
    </w:p>
    <w:p>
      <w:pPr>
        <w:spacing w:line="360" w:lineRule="auto"/>
        <w:rPr>
          <w:rFonts w:ascii="宋体" w:hAnsi="宋体"/>
          <w:b/>
          <w:sz w:val="24"/>
          <w:szCs w:val="24"/>
        </w:rPr>
      </w:pPr>
      <w:r>
        <w:rPr>
          <w:rFonts w:hint="eastAsia" w:ascii="宋体" w:hAnsi="宋体"/>
          <w:b/>
          <w:sz w:val="24"/>
          <w:szCs w:val="24"/>
        </w:rPr>
        <w:t>说明：</w:t>
      </w:r>
    </w:p>
    <w:p>
      <w:pPr>
        <w:rPr>
          <w:rFonts w:ascii="宋体" w:hAnsi="宋体"/>
          <w:sz w:val="24"/>
          <w:szCs w:val="24"/>
        </w:rPr>
      </w:pPr>
      <w:r>
        <w:rPr>
          <w:rFonts w:hint="eastAsia" w:ascii="宋体" w:hAnsi="宋体"/>
          <w:sz w:val="24"/>
          <w:szCs w:val="24"/>
        </w:rPr>
        <w:t>1.供应商需提供由“征信中心网”（https://ipcrs.pbccrc.org.cn/）查询的信用报告。</w:t>
      </w:r>
    </w:p>
    <w:p>
      <w:r>
        <w:rPr>
          <w:rFonts w:hint="eastAsia" w:ascii="宋体" w:hAnsi="宋体"/>
          <w:sz w:val="24"/>
          <w:szCs w:val="24"/>
        </w:rPr>
        <w:t>2.供应商是企业或个体经营户的需带公司法人身份证及公司营业执照和公章去项目所在地或当地中国人民银行出具信用报告。</w:t>
      </w:r>
    </w:p>
    <w:p>
      <w:pPr>
        <w:autoSpaceDE w:val="0"/>
        <w:autoSpaceDN w:val="0"/>
        <w:spacing w:line="360" w:lineRule="auto"/>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格式十八：</w:t>
      </w:r>
      <w:bookmarkEnd w:id="129"/>
      <w:bookmarkEnd w:id="130"/>
      <w:bookmarkEnd w:id="131"/>
      <w:r>
        <w:rPr>
          <w:rFonts w:hint="eastAsia" w:ascii="宋体" w:hAnsi="宋体"/>
          <w:b/>
          <w:color w:val="000000"/>
          <w:sz w:val="24"/>
          <w:szCs w:val="24"/>
        </w:rPr>
        <w:t xml:space="preserve">      </w:t>
      </w: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十六、缴纳增值税、营业税或企业所得税的凭据</w:t>
      </w:r>
    </w:p>
    <w:p>
      <w:pPr>
        <w:autoSpaceDE w:val="0"/>
        <w:autoSpaceDN w:val="0"/>
        <w:spacing w:line="360" w:lineRule="auto"/>
        <w:jc w:val="center"/>
        <w:rPr>
          <w:rFonts w:ascii="宋体" w:hAnsi="宋体"/>
          <w:b/>
          <w:color w:val="000000"/>
          <w:sz w:val="24"/>
          <w:szCs w:val="24"/>
        </w:rPr>
      </w:pPr>
    </w:p>
    <w:p>
      <w:pPr>
        <w:autoSpaceDE w:val="0"/>
        <w:autoSpaceDN w:val="0"/>
        <w:spacing w:line="360" w:lineRule="auto"/>
        <w:ind w:firstLine="570"/>
        <w:jc w:val="left"/>
        <w:rPr>
          <w:rFonts w:ascii="宋体" w:hAnsi="宋体"/>
          <w:color w:val="000000"/>
          <w:sz w:val="24"/>
          <w:szCs w:val="24"/>
        </w:rPr>
      </w:pPr>
      <w:r>
        <w:rPr>
          <w:rFonts w:hint="eastAsia" w:ascii="宋体" w:hAnsi="宋体"/>
          <w:color w:val="000000"/>
          <w:sz w:val="24"/>
          <w:szCs w:val="24"/>
        </w:rPr>
        <w:t>按照本招标文件第六章资格性审查的要求，提供供应商的缴纳增值税或营业税或企业所得税的凭据。（至少提供任意一项税种的凭据）</w:t>
      </w:r>
    </w:p>
    <w:p>
      <w:pPr>
        <w:autoSpaceDE w:val="0"/>
        <w:autoSpaceDN w:val="0"/>
        <w:spacing w:line="360" w:lineRule="auto"/>
        <w:ind w:firstLine="570"/>
        <w:jc w:val="left"/>
        <w:rPr>
          <w:rFonts w:ascii="宋体" w:hAnsi="宋体"/>
          <w:color w:val="000000"/>
          <w:sz w:val="24"/>
          <w:szCs w:val="24"/>
        </w:rPr>
      </w:pPr>
      <w:r>
        <w:rPr>
          <w:rFonts w:hint="eastAsia" w:ascii="宋体" w:hAnsi="宋体"/>
          <w:b/>
          <w:color w:val="000000"/>
          <w:sz w:val="24"/>
          <w:szCs w:val="24"/>
        </w:rPr>
        <w:t>说明：</w:t>
      </w:r>
      <w:r>
        <w:rPr>
          <w:rFonts w:hint="eastAsia"/>
          <w:sz w:val="24"/>
          <w:szCs w:val="24"/>
        </w:rPr>
        <w:t>依法免税的供应商，应提供相应文件证明其依法免税。</w:t>
      </w:r>
    </w:p>
    <w:p>
      <w:pPr>
        <w:autoSpaceDE w:val="0"/>
        <w:autoSpaceDN w:val="0"/>
        <w:spacing w:line="360" w:lineRule="auto"/>
        <w:rPr>
          <w:rFonts w:ascii="宋体" w:hAnsi="宋体"/>
          <w:b/>
          <w:color w:val="000000"/>
          <w:sz w:val="24"/>
          <w:szCs w:val="24"/>
        </w:rPr>
      </w:pPr>
      <w:bookmarkStart w:id="132" w:name="_Toc438655703"/>
      <w:bookmarkStart w:id="133" w:name="_Toc482026557"/>
      <w:bookmarkStart w:id="134" w:name="_Toc438714733"/>
      <w:r>
        <w:rPr>
          <w:rFonts w:ascii="宋体" w:hAnsi="宋体"/>
          <w:b/>
          <w:color w:val="000000"/>
          <w:sz w:val="24"/>
          <w:szCs w:val="24"/>
        </w:rPr>
        <w:br w:type="page"/>
      </w:r>
      <w:r>
        <w:rPr>
          <w:rFonts w:hint="eastAsia" w:ascii="宋体" w:hAnsi="宋体"/>
          <w:b/>
          <w:color w:val="000000"/>
          <w:sz w:val="24"/>
          <w:szCs w:val="24"/>
        </w:rPr>
        <w:t>格式十九：</w:t>
      </w:r>
      <w:bookmarkEnd w:id="132"/>
      <w:bookmarkEnd w:id="133"/>
      <w:bookmarkEnd w:id="134"/>
      <w:r>
        <w:rPr>
          <w:rFonts w:hint="eastAsia" w:ascii="宋体" w:hAnsi="宋体"/>
          <w:b/>
          <w:color w:val="000000"/>
          <w:sz w:val="24"/>
          <w:szCs w:val="24"/>
        </w:rPr>
        <w:t xml:space="preserve">            </w:t>
      </w: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十七、缴纳社会保险的凭据</w:t>
      </w:r>
    </w:p>
    <w:p>
      <w:pPr>
        <w:autoSpaceDE w:val="0"/>
        <w:autoSpaceDN w:val="0"/>
        <w:spacing w:line="360" w:lineRule="auto"/>
        <w:rPr>
          <w:rFonts w:ascii="宋体" w:hAnsi="宋体"/>
          <w:b/>
          <w:color w:val="000000"/>
          <w:sz w:val="24"/>
          <w:szCs w:val="24"/>
        </w:rPr>
      </w:pPr>
    </w:p>
    <w:p>
      <w:pPr>
        <w:autoSpaceDE w:val="0"/>
        <w:autoSpaceDN w:val="0"/>
        <w:spacing w:line="360" w:lineRule="auto"/>
        <w:ind w:firstLine="480" w:firstLineChars="200"/>
        <w:jc w:val="left"/>
        <w:rPr>
          <w:rFonts w:ascii="宋体" w:hAnsi="宋体"/>
          <w:sz w:val="24"/>
          <w:szCs w:val="24"/>
        </w:rPr>
      </w:pPr>
      <w:r>
        <w:rPr>
          <w:rFonts w:hint="eastAsia" w:ascii="宋体" w:hAnsi="宋体"/>
          <w:color w:val="000000"/>
          <w:sz w:val="24"/>
          <w:szCs w:val="24"/>
        </w:rPr>
        <w:t>按照本招标文件第六章资格性审查的要求，提供供应商的</w:t>
      </w:r>
      <w:r>
        <w:rPr>
          <w:rFonts w:hint="eastAsia" w:ascii="宋体" w:hAnsi="宋体"/>
          <w:sz w:val="24"/>
          <w:szCs w:val="24"/>
        </w:rPr>
        <w:t>缴纳社会保险的凭据（专用收据或社保缴纳清单）。</w:t>
      </w:r>
    </w:p>
    <w:p>
      <w:pPr>
        <w:spacing w:line="360" w:lineRule="auto"/>
        <w:ind w:firstLine="482" w:firstLineChars="200"/>
        <w:rPr>
          <w:sz w:val="24"/>
          <w:szCs w:val="24"/>
        </w:rPr>
      </w:pPr>
      <w:r>
        <w:rPr>
          <w:rFonts w:hint="eastAsia" w:ascii="宋体" w:hAnsi="宋体"/>
          <w:b/>
          <w:color w:val="000000"/>
          <w:sz w:val="24"/>
          <w:szCs w:val="24"/>
        </w:rPr>
        <w:t>说明：</w:t>
      </w:r>
      <w:r>
        <w:rPr>
          <w:rFonts w:hint="eastAsia"/>
          <w:sz w:val="24"/>
          <w:szCs w:val="24"/>
        </w:rPr>
        <w:t>提供</w:t>
      </w:r>
      <w:r>
        <w:rPr>
          <w:rFonts w:hint="eastAsia" w:ascii="宋体" w:hAnsi="宋体"/>
          <w:sz w:val="24"/>
          <w:szCs w:val="24"/>
        </w:rPr>
        <w:t>社保缴纳清单的须加盖相关社保部门的公章；</w:t>
      </w:r>
      <w:r>
        <w:rPr>
          <w:rFonts w:hint="eastAsia"/>
          <w:sz w:val="24"/>
          <w:szCs w:val="24"/>
        </w:rPr>
        <w:t>依法不需要缴纳社会保障资金的供应商，应提供相应文件证明其依法不需要缴纳社会保障资金。</w:t>
      </w:r>
    </w:p>
    <w:p>
      <w:pPr>
        <w:ind w:firstLine="480" w:firstLineChars="200"/>
        <w:rPr>
          <w:sz w:val="24"/>
          <w:szCs w:val="24"/>
        </w:rPr>
      </w:pPr>
      <w:r>
        <w:rPr>
          <w:sz w:val="24"/>
          <w:szCs w:val="24"/>
        </w:rPr>
        <w:br w:type="page"/>
      </w:r>
    </w:p>
    <w:p>
      <w:pPr>
        <w:spacing w:line="360" w:lineRule="auto"/>
        <w:rPr>
          <w:rFonts w:ascii="宋体" w:hAnsi="宋体"/>
          <w:b/>
          <w:color w:val="000000"/>
          <w:sz w:val="24"/>
          <w:szCs w:val="24"/>
        </w:rPr>
      </w:pPr>
      <w:r>
        <w:rPr>
          <w:rFonts w:hint="eastAsia" w:ascii="宋体" w:hAnsi="宋体"/>
          <w:b/>
          <w:color w:val="000000"/>
          <w:sz w:val="24"/>
          <w:szCs w:val="24"/>
        </w:rPr>
        <w:t>格式二十：</w:t>
      </w:r>
    </w:p>
    <w:p>
      <w:pPr>
        <w:rPr>
          <w:sz w:val="24"/>
          <w:szCs w:val="24"/>
        </w:rPr>
      </w:pPr>
    </w:p>
    <w:p>
      <w:pPr>
        <w:ind w:firstLine="1440" w:firstLineChars="600"/>
        <w:rPr>
          <w:rFonts w:ascii="宋体" w:hAnsi="宋体" w:cs="宋体"/>
          <w:kern w:val="0"/>
          <w:sz w:val="24"/>
          <w:szCs w:val="24"/>
        </w:rPr>
      </w:pPr>
      <w:r>
        <w:rPr>
          <w:rFonts w:hint="eastAsia" w:ascii="宋体" w:hAnsi="宋体" w:cs="宋体"/>
          <w:kern w:val="0"/>
          <w:sz w:val="24"/>
          <w:szCs w:val="24"/>
        </w:rPr>
        <w:t>十八、参加政府采购前三年内在经营活动中无重大违法记录书面声明</w:t>
      </w:r>
    </w:p>
    <w:p>
      <w:pPr>
        <w:ind w:firstLine="1440" w:firstLineChars="600"/>
        <w:rPr>
          <w:rFonts w:ascii="宋体" w:hAnsi="宋体" w:cs="宋体"/>
          <w:kern w:val="0"/>
          <w:sz w:val="24"/>
          <w:szCs w:val="24"/>
        </w:rPr>
      </w:pPr>
    </w:p>
    <w:p>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u w:val="single"/>
        </w:rPr>
        <w:t xml:space="preserve">（采购单位）     </w:t>
      </w:r>
      <w:r>
        <w:rPr>
          <w:rFonts w:hint="eastAsia" w:ascii="宋体" w:hAnsi="宋体" w:cs="宋体"/>
          <w:kern w:val="0"/>
          <w:sz w:val="24"/>
          <w:szCs w:val="24"/>
        </w:rPr>
        <w:t>：</w:t>
      </w:r>
    </w:p>
    <w:p>
      <w:pPr>
        <w:tabs>
          <w:tab w:val="left" w:pos="8820"/>
        </w:tabs>
        <w:autoSpaceDE w:val="0"/>
        <w:autoSpaceDN w:val="0"/>
        <w:spacing w:line="360" w:lineRule="auto"/>
        <w:ind w:firstLine="560"/>
        <w:rPr>
          <w:rFonts w:ascii="宋体" w:hAnsi="宋体" w:cs="宋体"/>
          <w:kern w:val="0"/>
          <w:sz w:val="24"/>
          <w:szCs w:val="24"/>
        </w:rPr>
      </w:pPr>
      <w:r>
        <w:rPr>
          <w:rFonts w:hint="eastAsia" w:ascii="宋体" w:hAnsi="宋体" w:cs="宋体"/>
          <w:kern w:val="0"/>
          <w:sz w:val="24"/>
          <w:szCs w:val="24"/>
        </w:rPr>
        <w:t>我公司自愿参加本次政府采购活动（项目名称</w:t>
      </w:r>
      <w:r>
        <w:rPr>
          <w:rFonts w:hint="eastAsia" w:ascii="宋体" w:hAnsi="宋体" w:cs="宋体"/>
          <w:kern w:val="0"/>
          <w:sz w:val="24"/>
          <w:szCs w:val="24"/>
          <w:u w:val="single"/>
        </w:rPr>
        <w:t xml:space="preserve">       </w:t>
      </w:r>
      <w:r>
        <w:rPr>
          <w:rFonts w:hint="eastAsia" w:ascii="宋体" w:hAnsi="宋体" w:cs="宋体"/>
          <w:kern w:val="0"/>
          <w:sz w:val="24"/>
          <w:szCs w:val="24"/>
        </w:rPr>
        <w:t>，项目编号：</w:t>
      </w:r>
      <w:r>
        <w:rPr>
          <w:rFonts w:hint="eastAsia" w:ascii="宋体" w:hAnsi="宋体" w:cs="宋体"/>
          <w:kern w:val="0"/>
          <w:sz w:val="24"/>
          <w:szCs w:val="24"/>
          <w:u w:val="single"/>
        </w:rPr>
        <w:t xml:space="preserve">        </w:t>
      </w:r>
      <w:r>
        <w:rPr>
          <w:rFonts w:hint="eastAsia" w:ascii="宋体" w:hAnsi="宋体" w:cs="宋体"/>
          <w:kern w:val="0"/>
          <w:sz w:val="24"/>
          <w:szCs w:val="24"/>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在参加此次政府采购活动前3年内，本公司在经营活动中无重大违法记录，并在企业工商注册所在地或项目所在地信用管理中心出具的《信用信息查询结果》、“中国政府采购网”网站（www.ccgp.gov.cn）上均无任何违法违规行为的纪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特此声明。</w:t>
      </w: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年  月  日</w:t>
      </w:r>
    </w:p>
    <w:p>
      <w:pPr>
        <w:spacing w:line="360" w:lineRule="auto"/>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 xml:space="preserve">            供应商名称（公章）：</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 xml:space="preserve">            法定代表或其授权人（签字）：</w:t>
      </w:r>
      <w:r>
        <w:rPr>
          <w:rFonts w:hint="eastAsia" w:ascii="宋体" w:hAnsi="宋体"/>
          <w:sz w:val="24"/>
          <w:szCs w:val="24"/>
          <w:u w:val="single"/>
        </w:rPr>
        <w:t xml:space="preserve">                    </w:t>
      </w:r>
    </w:p>
    <w:p>
      <w:pPr>
        <w:pStyle w:val="23"/>
        <w:rPr>
          <w:rFonts w:ascii="宋体" w:hAnsi="宋体"/>
          <w:color w:val="000000"/>
          <w:sz w:val="24"/>
          <w:szCs w:val="24"/>
        </w:rPr>
      </w:pPr>
      <w:r>
        <w:rPr>
          <w:rFonts w:hint="eastAsia" w:ascii="宋体" w:hAnsi="宋体"/>
          <w:color w:val="000000"/>
          <w:sz w:val="24"/>
          <w:szCs w:val="24"/>
        </w:rPr>
        <w:t>说明：供应商应提供《信用信息查询结果》和“中国政府采购网”查询截图。</w:t>
      </w:r>
    </w:p>
    <w:p>
      <w:pPr>
        <w:pStyle w:val="23"/>
        <w:rPr>
          <w:rFonts w:ascii="宋体" w:hAnsi="宋体"/>
          <w:color w:val="000000"/>
          <w:sz w:val="24"/>
          <w:szCs w:val="24"/>
        </w:rPr>
      </w:pPr>
      <w:r>
        <w:rPr>
          <w:rFonts w:hint="eastAsia" w:ascii="宋体" w:hAnsi="宋体"/>
          <w:color w:val="000000"/>
          <w:sz w:val="24"/>
          <w:szCs w:val="24"/>
        </w:rPr>
        <w:br w:type="page"/>
      </w:r>
    </w:p>
    <w:p>
      <w:pPr>
        <w:pStyle w:val="23"/>
        <w:rPr>
          <w:rFonts w:ascii="宋体" w:hAnsi="宋体"/>
          <w:color w:val="000000"/>
          <w:sz w:val="24"/>
          <w:szCs w:val="24"/>
        </w:rPr>
      </w:pPr>
    </w:p>
    <w:p>
      <w:pPr>
        <w:autoSpaceDE w:val="0"/>
        <w:autoSpaceDN w:val="0"/>
        <w:spacing w:line="500" w:lineRule="exact"/>
        <w:ind w:firstLine="602" w:firstLineChars="200"/>
        <w:jc w:val="center"/>
        <w:rPr>
          <w:rFonts w:ascii="宋体" w:hAnsi="宋体"/>
          <w:color w:val="000000"/>
          <w:sz w:val="24"/>
          <w:szCs w:val="24"/>
        </w:rPr>
      </w:pPr>
      <w:r>
        <w:rPr>
          <w:rFonts w:hint="eastAsia" w:ascii="宋体" w:hAnsi="宋体"/>
          <w:b/>
          <w:bCs/>
          <w:color w:val="000000"/>
          <w:sz w:val="30"/>
          <w:szCs w:val="30"/>
        </w:rPr>
        <w:t>《信用信息查询结果》</w:t>
      </w:r>
    </w:p>
    <w:p>
      <w:pPr>
        <w:autoSpaceDE w:val="0"/>
        <w:autoSpaceDN w:val="0"/>
        <w:spacing w:line="360" w:lineRule="auto"/>
        <w:rPr>
          <w:rFonts w:ascii="宋体" w:hAnsi="宋体"/>
          <w:b/>
          <w:bCs/>
          <w:color w:val="000000"/>
          <w:kern w:val="0"/>
          <w:sz w:val="24"/>
          <w:szCs w:val="24"/>
          <w:lang w:val="zh-CN"/>
        </w:rPr>
      </w:pPr>
    </w:p>
    <w:p>
      <w:pPr>
        <w:autoSpaceDE w:val="0"/>
        <w:autoSpaceDN w:val="0"/>
        <w:spacing w:line="360" w:lineRule="auto"/>
        <w:rPr>
          <w:rFonts w:ascii="宋体" w:hAnsi="宋体"/>
          <w:b/>
          <w:bCs/>
          <w:color w:val="000000"/>
          <w:kern w:val="0"/>
          <w:sz w:val="24"/>
          <w:szCs w:val="24"/>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华文中宋" w:eastAsia="黑体"/>
          <w:b/>
          <w:sz w:val="44"/>
          <w:szCs w:val="44"/>
        </w:rPr>
      </w:pPr>
      <w:r>
        <w:rPr>
          <w:rFonts w:hint="eastAsia" w:ascii="宋体" w:hAnsi="宋体"/>
          <w:b/>
          <w:bCs/>
          <w:color w:val="000000"/>
          <w:sz w:val="30"/>
          <w:szCs w:val="30"/>
        </w:rPr>
        <w:t>鄂托克前旗企业信用信息查询申请表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right"/>
        <w:rPr>
          <w:rFonts w:ascii="仿宋_GB2312" w:hAnsi="华文中宋" w:eastAsia="仿宋_GB2312"/>
          <w:szCs w:val="21"/>
        </w:rPr>
      </w:pPr>
      <w:r>
        <w:rPr>
          <w:rFonts w:hint="eastAsia" w:ascii="宋体" w:hAnsi="宋体" w:cs="Arial"/>
          <w:szCs w:val="21"/>
        </w:rPr>
        <w:t xml:space="preserve">编号：           </w:t>
      </w:r>
    </w:p>
    <w:tbl>
      <w:tblPr>
        <w:tblStyle w:val="26"/>
        <w:tblW w:w="108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98"/>
        <w:gridCol w:w="3009"/>
        <w:gridCol w:w="465"/>
        <w:gridCol w:w="1513"/>
        <w:gridCol w:w="288"/>
        <w:gridCol w:w="31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03" w:type="dxa"/>
            <w:gridSpan w:val="2"/>
            <w:tcBorders>
              <w:top w:val="single" w:color="auto" w:sz="8" w:space="0"/>
              <w:bottom w:val="single" w:color="auto" w:sz="8" w:space="0"/>
            </w:tcBorders>
            <w:vAlign w:val="center"/>
          </w:tcPr>
          <w:p>
            <w:pPr>
              <w:spacing w:line="360" w:lineRule="auto"/>
              <w:jc w:val="center"/>
              <w:rPr>
                <w:rFonts w:ascii="宋体" w:hAnsi="宋体"/>
                <w:sz w:val="24"/>
              </w:rPr>
            </w:pPr>
            <w:r>
              <w:rPr>
                <w:rFonts w:hint="eastAsia" w:ascii="宋体" w:hAnsi="宋体"/>
                <w:sz w:val="24"/>
              </w:rPr>
              <w:t>申请企业</w:t>
            </w:r>
          </w:p>
        </w:tc>
        <w:tc>
          <w:tcPr>
            <w:tcW w:w="8424" w:type="dxa"/>
            <w:gridSpan w:val="5"/>
            <w:tcBorders>
              <w:top w:val="single" w:color="auto" w:sz="8" w:space="0"/>
              <w:bottom w:val="single" w:color="auto" w:sz="8" w:space="0"/>
            </w:tcBorders>
            <w:vAlign w:val="center"/>
          </w:tcPr>
          <w:p>
            <w:pPr>
              <w:spacing w:line="360" w:lineRule="auto"/>
              <w:ind w:firstLine="360" w:firstLineChars="150"/>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705" w:type="dxa"/>
            <w:vMerge w:val="restart"/>
            <w:tcBorders>
              <w:top w:val="single" w:color="auto" w:sz="8" w:space="0"/>
            </w:tcBorders>
            <w:vAlign w:val="center"/>
          </w:tcPr>
          <w:p>
            <w:pPr>
              <w:spacing w:line="360" w:lineRule="auto"/>
              <w:jc w:val="center"/>
              <w:rPr>
                <w:rFonts w:ascii="宋体" w:hAnsi="宋体"/>
                <w:sz w:val="24"/>
              </w:rPr>
            </w:pPr>
            <w:r>
              <w:rPr>
                <w:rFonts w:hint="eastAsia" w:ascii="宋体" w:hAnsi="宋体"/>
                <w:sz w:val="24"/>
              </w:rPr>
              <w:t>查询企业</w:t>
            </w:r>
          </w:p>
        </w:tc>
        <w:tc>
          <w:tcPr>
            <w:tcW w:w="1698" w:type="dxa"/>
            <w:tcBorders>
              <w:top w:val="single" w:color="auto" w:sz="8" w:space="0"/>
              <w:bottom w:val="single" w:color="auto" w:sz="4" w:space="0"/>
            </w:tcBorders>
            <w:vAlign w:val="center"/>
          </w:tcPr>
          <w:p>
            <w:pPr>
              <w:spacing w:line="400" w:lineRule="exact"/>
              <w:jc w:val="left"/>
              <w:rPr>
                <w:rFonts w:ascii="宋体" w:hAnsi="宋体"/>
                <w:sz w:val="24"/>
              </w:rPr>
            </w:pPr>
            <w:r>
              <w:rPr>
                <w:rFonts w:hint="eastAsia" w:ascii="宋体" w:hAnsi="宋体"/>
                <w:sz w:val="24"/>
              </w:rPr>
              <w:t>所查询企业</w:t>
            </w:r>
          </w:p>
          <w:p>
            <w:pPr>
              <w:spacing w:line="400" w:lineRule="exact"/>
              <w:jc w:val="left"/>
              <w:rPr>
                <w:rFonts w:ascii="宋体" w:hAnsi="宋体"/>
                <w:sz w:val="24"/>
              </w:rPr>
            </w:pPr>
            <w:r>
              <w:rPr>
                <w:rFonts w:hint="eastAsia" w:ascii="宋体" w:hAnsi="宋体"/>
                <w:sz w:val="24"/>
              </w:rPr>
              <w:t>全称</w:t>
            </w:r>
          </w:p>
        </w:tc>
        <w:tc>
          <w:tcPr>
            <w:tcW w:w="8424" w:type="dxa"/>
            <w:gridSpan w:val="5"/>
            <w:tcBorders>
              <w:top w:val="single" w:color="auto" w:sz="8" w:space="0"/>
            </w:tcBorders>
            <w:vAlign w:val="center"/>
          </w:tcPr>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5" w:type="dxa"/>
            <w:vMerge w:val="continue"/>
            <w:vAlign w:val="center"/>
          </w:tcPr>
          <w:p>
            <w:pPr>
              <w:spacing w:line="360" w:lineRule="auto"/>
              <w:jc w:val="left"/>
            </w:pPr>
          </w:p>
        </w:tc>
        <w:tc>
          <w:tcPr>
            <w:tcW w:w="1698" w:type="dxa"/>
            <w:tcBorders>
              <w:top w:val="single" w:color="auto" w:sz="8" w:space="0"/>
              <w:bottom w:val="single" w:color="auto" w:sz="4" w:space="0"/>
            </w:tcBorders>
            <w:vAlign w:val="center"/>
          </w:tcPr>
          <w:p>
            <w:pPr>
              <w:spacing w:line="400" w:lineRule="exact"/>
              <w:jc w:val="left"/>
              <w:rPr>
                <w:rFonts w:ascii="宋体" w:hAnsi="宋体"/>
                <w:sz w:val="24"/>
              </w:rPr>
            </w:pPr>
            <w:r>
              <w:rPr>
                <w:rFonts w:hint="eastAsia" w:ascii="宋体" w:hAnsi="宋体"/>
                <w:sz w:val="24"/>
              </w:rPr>
              <w:t>企业统一社会信用代码</w:t>
            </w:r>
          </w:p>
        </w:tc>
        <w:tc>
          <w:tcPr>
            <w:tcW w:w="8424" w:type="dxa"/>
            <w:gridSpan w:val="5"/>
            <w:tcBorders>
              <w:bottom w:val="single" w:color="auto" w:sz="4"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05" w:type="dxa"/>
            <w:vMerge w:val="continue"/>
            <w:vAlign w:val="center"/>
          </w:tcPr>
          <w:p>
            <w:pPr>
              <w:spacing w:line="360" w:lineRule="auto"/>
              <w:jc w:val="center"/>
              <w:rPr>
                <w:rFonts w:ascii="宋体" w:hAnsi="宋体"/>
                <w:sz w:val="24"/>
              </w:rPr>
            </w:pPr>
          </w:p>
        </w:tc>
        <w:tc>
          <w:tcPr>
            <w:tcW w:w="1698" w:type="dxa"/>
            <w:tcBorders>
              <w:top w:val="single" w:color="auto" w:sz="8" w:space="0"/>
              <w:bottom w:val="single" w:color="auto" w:sz="4" w:space="0"/>
            </w:tcBorders>
            <w:vAlign w:val="center"/>
          </w:tcPr>
          <w:p>
            <w:pPr>
              <w:spacing w:line="360" w:lineRule="auto"/>
              <w:jc w:val="center"/>
              <w:rPr>
                <w:rFonts w:ascii="宋体" w:hAnsi="宋体"/>
                <w:sz w:val="24"/>
              </w:rPr>
            </w:pPr>
            <w:r>
              <w:rPr>
                <w:rFonts w:hint="eastAsia" w:ascii="宋体" w:hAnsi="宋体"/>
                <w:sz w:val="24"/>
              </w:rPr>
              <w:t>法人姓名</w:t>
            </w:r>
          </w:p>
        </w:tc>
        <w:tc>
          <w:tcPr>
            <w:tcW w:w="8424" w:type="dxa"/>
            <w:gridSpan w:val="5"/>
            <w:tcBorders>
              <w:top w:val="single" w:color="auto" w:sz="8" w:space="0"/>
            </w:tcBorders>
            <w:vAlign w:val="center"/>
          </w:tcPr>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05" w:type="dxa"/>
            <w:vMerge w:val="continue"/>
            <w:tcBorders>
              <w:bottom w:val="single" w:color="auto" w:sz="4" w:space="0"/>
            </w:tcBorders>
            <w:vAlign w:val="center"/>
          </w:tcPr>
          <w:p>
            <w:pPr>
              <w:spacing w:line="360" w:lineRule="auto"/>
              <w:jc w:val="center"/>
            </w:pPr>
          </w:p>
        </w:tc>
        <w:tc>
          <w:tcPr>
            <w:tcW w:w="1698" w:type="dxa"/>
            <w:tcBorders>
              <w:top w:val="single" w:color="auto" w:sz="8" w:space="0"/>
              <w:bottom w:val="single" w:color="auto" w:sz="4" w:space="0"/>
            </w:tcBorders>
            <w:vAlign w:val="center"/>
          </w:tcPr>
          <w:p>
            <w:pPr>
              <w:spacing w:line="360" w:lineRule="auto"/>
              <w:jc w:val="center"/>
              <w:rPr>
                <w:rFonts w:ascii="宋体" w:hAnsi="宋体"/>
                <w:sz w:val="24"/>
              </w:rPr>
            </w:pPr>
            <w:r>
              <w:rPr>
                <w:rFonts w:hint="eastAsia" w:ascii="宋体" w:hAnsi="宋体"/>
                <w:sz w:val="24"/>
              </w:rPr>
              <w:t>身份证号码</w:t>
            </w:r>
          </w:p>
        </w:tc>
        <w:tc>
          <w:tcPr>
            <w:tcW w:w="8424" w:type="dxa"/>
            <w:gridSpan w:val="5"/>
            <w:tcBorders>
              <w:bottom w:val="single" w:color="auto" w:sz="4" w:space="0"/>
            </w:tcBorders>
            <w:vAlign w:val="center"/>
          </w:tcPr>
          <w:tbl>
            <w:tblPr>
              <w:tblStyle w:val="26"/>
              <w:tblpPr w:leftFromText="180" w:rightFromText="180" w:vertAnchor="text" w:horzAnchor="page" w:tblpX="193" w:tblpY="172"/>
              <w:tblOverlap w:val="never"/>
              <w:tblW w:w="6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r>
          </w:tbl>
          <w:p>
            <w:pPr>
              <w:spacing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b/>
                <w:bCs/>
                <w:sz w:val="24"/>
              </w:rPr>
            </w:pPr>
            <w:r>
              <w:rPr>
                <w:rFonts w:hint="eastAsia" w:ascii="宋体" w:hAnsi="宋体"/>
                <w:sz w:val="24"/>
              </w:rPr>
              <w:t>电子邮箱</w:t>
            </w:r>
          </w:p>
        </w:tc>
        <w:tc>
          <w:tcPr>
            <w:tcW w:w="300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sz w:val="24"/>
              </w:rPr>
            </w:pPr>
          </w:p>
        </w:tc>
        <w:tc>
          <w:tcPr>
            <w:tcW w:w="226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sz w:val="24"/>
              </w:rPr>
            </w:pPr>
            <w:r>
              <w:rPr>
                <w:rFonts w:hint="eastAsia" w:ascii="宋体" w:hAnsi="宋体"/>
                <w:sz w:val="24"/>
              </w:rPr>
              <w:t>联系电话</w:t>
            </w:r>
          </w:p>
        </w:tc>
        <w:tc>
          <w:tcPr>
            <w:tcW w:w="314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bCs/>
                <w:sz w:val="24"/>
              </w:rPr>
            </w:pPr>
            <w:r>
              <w:rPr>
                <w:rFonts w:hint="eastAsia" w:ascii="宋体" w:hAnsi="宋体" w:cs="宋体"/>
                <w:kern w:val="0"/>
                <w:sz w:val="24"/>
              </w:rPr>
              <w:t>申请查询企业信用信息事由及用途</w:t>
            </w:r>
          </w:p>
        </w:tc>
        <w:tc>
          <w:tcPr>
            <w:tcW w:w="8424" w:type="dxa"/>
            <w:gridSpan w:val="5"/>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cs="宋体"/>
                <w:kern w:val="0"/>
                <w:sz w:val="24"/>
              </w:rPr>
            </w:pPr>
            <w:r>
              <w:rPr>
                <w:rFonts w:hint="eastAsia" w:ascii="宋体" w:hAnsi="宋体" w:cs="宋体"/>
                <w:kern w:val="0"/>
                <w:sz w:val="24"/>
              </w:rPr>
              <w:t>□办理相关业务。</w:t>
            </w:r>
          </w:p>
          <w:p>
            <w:pPr>
              <w:spacing w:line="360" w:lineRule="auto"/>
              <w:jc w:val="left"/>
              <w:rPr>
                <w:rFonts w:ascii="宋体" w:hAnsi="宋体"/>
                <w:bCs/>
                <w:sz w:val="24"/>
              </w:rPr>
            </w:pPr>
            <w:r>
              <w:rPr>
                <w:rFonts w:hint="eastAsia" w:ascii="宋体" w:hAnsi="宋体" w:cs="宋体"/>
                <w:kern w:val="0"/>
                <w:sz w:val="24"/>
              </w:rPr>
              <w:t>□</w:t>
            </w:r>
            <w:r>
              <w:rPr>
                <w:rFonts w:hint="eastAsia" w:ascii="宋体" w:hAnsi="宋体"/>
                <w:sz w:val="24"/>
              </w:rPr>
              <w:t>其他</w:t>
            </w:r>
            <w:r>
              <w:rPr>
                <w:rFonts w:hint="eastAsia" w:ascii="宋体" w:hAnsi="宋体" w:cs="宋体"/>
                <w:kern w:val="0"/>
                <w:sz w:val="24"/>
                <w:u w:val="single"/>
              </w:rPr>
              <w:t xml:space="preserve">                                             　　　 </w:t>
            </w:r>
            <w:r>
              <w:rPr>
                <w:rFonts w:hint="eastAsia" w:ascii="宋体" w:hAnsi="宋体" w:cs="宋体"/>
                <w:kern w:val="0"/>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0827" w:type="dxa"/>
            <w:gridSpan w:val="7"/>
            <w:tcBorders>
              <w:top w:val="single" w:color="auto" w:sz="8" w:space="0"/>
              <w:left w:val="single" w:color="auto" w:sz="8" w:space="0"/>
              <w:bottom w:val="single" w:color="auto" w:sz="8" w:space="0"/>
              <w:right w:val="single" w:color="auto" w:sz="8" w:space="0"/>
            </w:tcBorders>
            <w:vAlign w:val="center"/>
          </w:tcPr>
          <w:p>
            <w:pPr>
              <w:spacing w:line="360" w:lineRule="auto"/>
              <w:ind w:firstLine="5570" w:firstLineChars="2321"/>
              <w:rPr>
                <w:rFonts w:ascii="宋体" w:hAnsi="宋体"/>
                <w:sz w:val="24"/>
              </w:rPr>
            </w:pPr>
          </w:p>
          <w:p>
            <w:pPr>
              <w:spacing w:line="360" w:lineRule="auto"/>
              <w:jc w:val="right"/>
              <w:rPr>
                <w:rFonts w:ascii="宋体" w:hAnsi="宋体"/>
                <w:bCs/>
                <w:sz w:val="24"/>
              </w:rPr>
            </w:pPr>
            <w:r>
              <w:rPr>
                <w:rFonts w:hint="eastAsia" w:ascii="宋体" w:hAnsi="宋体"/>
                <w:sz w:val="24"/>
              </w:rPr>
              <w:t>申请人签名：</w:t>
            </w:r>
            <w:r>
              <w:rPr>
                <w:rFonts w:hint="eastAsia" w:ascii="宋体" w:hAnsi="宋体"/>
                <w:bCs/>
                <w:sz w:val="24"/>
              </w:rPr>
              <w:t xml:space="preserve">                       年      月    日</w:t>
            </w:r>
          </w:p>
          <w:p>
            <w:pPr>
              <w:spacing w:line="360" w:lineRule="auto"/>
              <w:jc w:val="right"/>
              <w:rPr>
                <w:rFonts w:ascii="宋体" w:hAnsi="宋体"/>
                <w:bCs/>
                <w:sz w:val="24"/>
              </w:rPr>
            </w:pPr>
          </w:p>
          <w:p>
            <w:pPr>
              <w:spacing w:line="360" w:lineRule="auto"/>
              <w:ind w:firstLine="4560" w:firstLineChars="1900"/>
              <w:rPr>
                <w:rFonts w:ascii="宋体" w:hAnsi="宋体" w:cs="宋体"/>
                <w:kern w:val="0"/>
                <w:sz w:val="24"/>
              </w:rPr>
            </w:pPr>
            <w:r>
              <w:rPr>
                <w:rFonts w:hint="eastAsia" w:ascii="宋体" w:hAnsi="宋体"/>
                <w:bCs/>
                <w:sz w:val="24"/>
              </w:rPr>
              <w:t>公     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rFonts w:ascii="宋体" w:hAnsi="宋体" w:cs="宋体"/>
                <w:kern w:val="0"/>
                <w:sz w:val="24"/>
              </w:rPr>
            </w:pPr>
            <w:r>
              <w:rPr>
                <w:rFonts w:hint="eastAsia" w:ascii="宋体" w:hAnsi="宋体" w:cs="宋体"/>
                <w:kern w:val="0"/>
                <w:sz w:val="24"/>
              </w:rPr>
              <w:t>受理人签名</w:t>
            </w:r>
          </w:p>
        </w:tc>
        <w:tc>
          <w:tcPr>
            <w:tcW w:w="3474"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rFonts w:ascii="宋体" w:hAnsi="宋体" w:cs="宋体"/>
                <w:kern w:val="0"/>
                <w:sz w:val="24"/>
              </w:rPr>
            </w:pPr>
          </w:p>
        </w:tc>
        <w:tc>
          <w:tcPr>
            <w:tcW w:w="1513"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kern w:val="0"/>
                <w:sz w:val="24"/>
              </w:rPr>
            </w:pPr>
            <w:r>
              <w:rPr>
                <w:rFonts w:hint="eastAsia" w:ascii="宋体" w:hAnsi="宋体" w:cs="宋体"/>
                <w:kern w:val="0"/>
                <w:sz w:val="24"/>
              </w:rPr>
              <w:t>审核人意见：</w:t>
            </w:r>
          </w:p>
        </w:tc>
        <w:tc>
          <w:tcPr>
            <w:tcW w:w="3437"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kern w:val="0"/>
                <w:sz w:val="24"/>
              </w:rPr>
            </w:pPr>
          </w:p>
          <w:p>
            <w:pPr>
              <w:spacing w:line="360" w:lineRule="auto"/>
              <w:rPr>
                <w:rFonts w:ascii="宋体" w:hAnsi="宋体" w:cs="宋体"/>
                <w:kern w:val="0"/>
                <w:sz w:val="24"/>
              </w:rPr>
            </w:pPr>
            <w:r>
              <w:rPr>
                <w:rFonts w:hint="eastAsia" w:ascii="宋体" w:hAnsi="宋体" w:cs="宋体"/>
                <w:kern w:val="0"/>
                <w:sz w:val="24"/>
              </w:rPr>
              <w:t>签名：</w:t>
            </w:r>
          </w:p>
        </w:tc>
      </w:tr>
    </w:tbl>
    <w:p>
      <w:pPr>
        <w:spacing w:line="0" w:lineRule="atLeast"/>
        <w:rPr>
          <w:rFonts w:ascii="宋体" w:hAnsi="宋体"/>
          <w:b/>
          <w:szCs w:val="21"/>
        </w:rPr>
      </w:pPr>
      <w:r>
        <w:rPr>
          <w:rFonts w:hint="eastAsia" w:ascii="宋体" w:hAnsi="宋体"/>
          <w:b/>
          <w:szCs w:val="21"/>
        </w:rPr>
        <w:t xml:space="preserve">　　　　　　　　　　　　　　　　　　　　 </w:t>
      </w:r>
    </w:p>
    <w:p>
      <w:pPr>
        <w:spacing w:line="0" w:lineRule="atLeast"/>
        <w:rPr>
          <w:rFonts w:ascii="宋体" w:hAnsi="宋体"/>
          <w:szCs w:val="21"/>
        </w:rPr>
      </w:pPr>
    </w:p>
    <w:p>
      <w:pPr>
        <w:spacing w:line="0" w:lineRule="atLeast"/>
        <w:rPr>
          <w:rFonts w:ascii="宋体" w:hAnsi="宋体"/>
          <w:szCs w:val="21"/>
          <w:lang w:val="zh-CN"/>
        </w:rPr>
      </w:pPr>
      <w:r>
        <w:rPr>
          <w:rFonts w:hint="eastAsia" w:ascii="宋体" w:hAnsi="宋体"/>
          <w:b/>
          <w:szCs w:val="21"/>
        </w:rPr>
        <w:t>注：</w:t>
      </w:r>
      <w:r>
        <w:rPr>
          <w:rFonts w:hint="eastAsia" w:ascii="宋体" w:hAnsi="宋体"/>
          <w:szCs w:val="21"/>
        </w:rPr>
        <w:t>1.请</w:t>
      </w:r>
      <w:r>
        <w:rPr>
          <w:rFonts w:hint="eastAsia" w:ascii="宋体" w:hAnsi="宋体"/>
          <w:szCs w:val="21"/>
          <w:lang w:val="zh-CN"/>
        </w:rPr>
        <w:t>如实、完整地填写有关内容。</w:t>
      </w:r>
    </w:p>
    <w:p>
      <w:pPr>
        <w:spacing w:line="0" w:lineRule="atLeast"/>
        <w:ind w:firstLine="420"/>
        <w:rPr>
          <w:rFonts w:ascii="宋体" w:hAnsi="宋体"/>
          <w:szCs w:val="21"/>
          <w:lang w:val="zh-CN"/>
        </w:rPr>
      </w:pPr>
      <w:r>
        <w:rPr>
          <w:rFonts w:hint="eastAsia" w:ascii="宋体" w:hAnsi="宋体"/>
          <w:szCs w:val="21"/>
        </w:rPr>
        <w:t>2.</w:t>
      </w:r>
      <w:r>
        <w:rPr>
          <w:rFonts w:hint="eastAsia" w:ascii="宋体" w:hAnsi="宋体"/>
          <w:szCs w:val="21"/>
          <w:lang w:val="zh-CN"/>
        </w:rPr>
        <w:t>请使用黑色钢笔、中性笔签字。</w:t>
      </w:r>
    </w:p>
    <w:p>
      <w:pPr>
        <w:spacing w:line="0" w:lineRule="atLeast"/>
        <w:ind w:firstLine="560" w:firstLineChars="200"/>
        <w:rPr>
          <w:rFonts w:ascii="宋体" w:hAnsi="宋体"/>
          <w:szCs w:val="21"/>
          <w:lang w:val="zh-CN"/>
        </w:rPr>
      </w:pPr>
      <w:r>
        <w:rPr>
          <w:rFonts w:hint="eastAsia" w:ascii="宋体" w:hAnsi="宋体"/>
          <w:szCs w:val="21"/>
        </w:rPr>
        <w:t>3.</w:t>
      </w:r>
      <w:r>
        <w:rPr>
          <w:rFonts w:hint="eastAsia" w:ascii="宋体" w:hAnsi="宋体"/>
          <w:szCs w:val="21"/>
          <w:lang w:val="zh-CN"/>
        </w:rPr>
        <w:t>受理查询后</w:t>
      </w:r>
      <w:r>
        <w:rPr>
          <w:rFonts w:hint="eastAsia" w:ascii="宋体" w:hAnsi="宋体"/>
          <w:szCs w:val="21"/>
        </w:rPr>
        <w:t>5个工作日</w:t>
      </w:r>
      <w:r>
        <w:rPr>
          <w:rFonts w:hint="eastAsia" w:ascii="宋体" w:hAnsi="宋体"/>
          <w:szCs w:val="21"/>
          <w:lang w:val="zh-CN"/>
        </w:rPr>
        <w:t>提供所申请的企业信用信息情况。</w:t>
      </w:r>
    </w:p>
    <w:p>
      <w:pPr>
        <w:spacing w:line="0" w:lineRule="atLeast"/>
        <w:rPr>
          <w:rFonts w:ascii="宋体" w:hAnsi="宋体"/>
          <w:szCs w:val="21"/>
          <w:lang w:val="zh-CN"/>
        </w:rPr>
      </w:pPr>
    </w:p>
    <w:p>
      <w:pPr>
        <w:pStyle w:val="23"/>
        <w:rPr>
          <w:rFonts w:ascii="宋体" w:hAnsi="宋体"/>
          <w:szCs w:val="21"/>
          <w:lang w:val="zh-CN"/>
        </w:rPr>
      </w:pPr>
    </w:p>
    <w:p>
      <w:pPr>
        <w:pStyle w:val="23"/>
        <w:rPr>
          <w:rFonts w:ascii="宋体" w:hAnsi="宋体"/>
          <w:szCs w:val="21"/>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华文中宋" w:eastAsia="黑体"/>
          <w:b/>
          <w:sz w:val="36"/>
          <w:szCs w:val="36"/>
        </w:rPr>
      </w:pPr>
      <w:r>
        <w:rPr>
          <w:rFonts w:hint="eastAsia" w:ascii="黑体" w:hAnsi="华文中宋" w:eastAsia="黑体"/>
          <w:b/>
          <w:sz w:val="32"/>
          <w:szCs w:val="32"/>
        </w:rPr>
        <w:t>鄂托克前旗社会信用管理中心制表</w:t>
      </w:r>
    </w:p>
    <w:p>
      <w:pPr>
        <w:autoSpaceDE w:val="0"/>
        <w:autoSpaceDN w:val="0"/>
        <w:spacing w:line="500" w:lineRule="exact"/>
        <w:ind w:firstLine="480" w:firstLineChars="200"/>
        <w:rPr>
          <w:rFonts w:ascii="宋体" w:hAnsi="宋体"/>
          <w:color w:val="000000"/>
          <w:sz w:val="24"/>
          <w:szCs w:val="24"/>
        </w:rPr>
      </w:pPr>
    </w:p>
    <w:p>
      <w:pPr>
        <w:autoSpaceDE w:val="0"/>
        <w:autoSpaceDN w:val="0"/>
        <w:spacing w:line="500" w:lineRule="exact"/>
        <w:ind w:firstLine="480" w:firstLineChars="200"/>
        <w:rPr>
          <w:rFonts w:ascii="宋体" w:hAnsi="宋体"/>
          <w:b/>
          <w:bCs/>
          <w:kern w:val="0"/>
          <w:sz w:val="24"/>
          <w:szCs w:val="24"/>
        </w:rPr>
      </w:pPr>
      <w:r>
        <w:rPr>
          <w:rFonts w:hint="eastAsia" w:ascii="宋体" w:hAnsi="宋体"/>
          <w:sz w:val="24"/>
          <w:szCs w:val="24"/>
        </w:rPr>
        <w:t>供应商须在投标文件中提供企业工商注册所在地或项目所在地信用管理中心出具的《信用信息查询结果》且在有效期范围内（注：鄂托克前旗社会信用管理中心：地址．鄂托克前旗城川镇综合办公楼7003房间；　电话：0477-7625899）。</w:t>
      </w:r>
    </w:p>
    <w:p>
      <w:pPr>
        <w:autoSpaceDE w:val="0"/>
        <w:autoSpaceDN w:val="0"/>
        <w:spacing w:line="500" w:lineRule="exact"/>
        <w:rPr>
          <w:rFonts w:ascii="宋体" w:hAnsi="宋体"/>
          <w:sz w:val="24"/>
          <w:szCs w:val="24"/>
        </w:rPr>
      </w:pPr>
      <w:r>
        <w:rPr>
          <w:rFonts w:hint="eastAsia" w:ascii="宋体" w:hAnsi="宋体"/>
          <w:sz w:val="24"/>
          <w:szCs w:val="24"/>
        </w:rPr>
        <w:t>办理步骤：</w:t>
      </w:r>
    </w:p>
    <w:p>
      <w:pPr>
        <w:autoSpaceDE w:val="0"/>
        <w:autoSpaceDN w:val="0"/>
        <w:spacing w:line="500" w:lineRule="exact"/>
        <w:rPr>
          <w:rFonts w:ascii="宋体" w:hAnsi="宋体"/>
          <w:sz w:val="24"/>
          <w:szCs w:val="24"/>
        </w:rPr>
      </w:pPr>
      <w:r>
        <w:rPr>
          <w:rFonts w:hint="eastAsia" w:ascii="宋体" w:hAnsi="宋体"/>
          <w:sz w:val="24"/>
          <w:szCs w:val="24"/>
        </w:rPr>
        <w:t>1.营业执照彩色扫描件jpeg图片格式。（必须能够清楚的分辨统一社会信用代码以及企业名称）。</w:t>
      </w:r>
    </w:p>
    <w:p>
      <w:pPr>
        <w:autoSpaceDE w:val="0"/>
        <w:autoSpaceDN w:val="0"/>
        <w:spacing w:line="500" w:lineRule="exact"/>
        <w:rPr>
          <w:rFonts w:ascii="宋体" w:hAnsi="宋体"/>
          <w:sz w:val="24"/>
          <w:szCs w:val="24"/>
        </w:rPr>
      </w:pPr>
      <w:r>
        <w:rPr>
          <w:rFonts w:hint="eastAsia" w:ascii="宋体" w:hAnsi="宋体"/>
          <w:sz w:val="24"/>
          <w:szCs w:val="24"/>
        </w:rPr>
        <w:t>2.法人身份证彩色扫描件jpeg图片格式（A4纸，正反面左右对齐，必须能够清楚的分辨出身份证及姓名）。</w:t>
      </w:r>
    </w:p>
    <w:p>
      <w:pPr>
        <w:autoSpaceDE w:val="0"/>
        <w:autoSpaceDN w:val="0"/>
        <w:spacing w:line="500" w:lineRule="exact"/>
        <w:rPr>
          <w:rFonts w:ascii="宋体" w:hAnsi="宋体"/>
          <w:sz w:val="24"/>
          <w:szCs w:val="24"/>
        </w:rPr>
      </w:pPr>
      <w:r>
        <w:rPr>
          <w:rFonts w:hint="eastAsia" w:ascii="宋体" w:hAnsi="宋体"/>
          <w:sz w:val="24"/>
          <w:szCs w:val="24"/>
        </w:rPr>
        <w:t>3.鄂托克前旗企业信用信息查询申请表盖章彩色扫描件jpeg图片格式。</w:t>
      </w:r>
    </w:p>
    <w:p>
      <w:pPr>
        <w:autoSpaceDE w:val="0"/>
        <w:autoSpaceDN w:val="0"/>
        <w:spacing w:line="500" w:lineRule="exact"/>
        <w:rPr>
          <w:rFonts w:ascii="宋体" w:hAnsi="宋体"/>
          <w:sz w:val="24"/>
          <w:szCs w:val="24"/>
        </w:rPr>
      </w:pPr>
      <w:r>
        <w:rPr>
          <w:rFonts w:hint="eastAsia" w:ascii="宋体" w:hAnsi="宋体"/>
          <w:sz w:val="24"/>
          <w:szCs w:val="24"/>
        </w:rPr>
        <w:t xml:space="preserve">申请材料发送到  </w:t>
      </w:r>
      <w:r>
        <w:fldChar w:fldCharType="begin"/>
      </w:r>
      <w:r>
        <w:instrText xml:space="preserve"> HYPERLINK "mailto:eqqfgjxyglzx@163.com" </w:instrText>
      </w:r>
      <w:r>
        <w:fldChar w:fldCharType="separate"/>
      </w:r>
      <w:r>
        <w:rPr>
          <w:rStyle w:val="33"/>
          <w:rFonts w:hint="eastAsia" w:ascii="宋体" w:hAnsi="宋体"/>
          <w:sz w:val="24"/>
          <w:szCs w:val="24"/>
        </w:rPr>
        <w:t>eqqfgjxyglzx@163.com</w:t>
      </w:r>
      <w:r>
        <w:rPr>
          <w:rStyle w:val="33"/>
          <w:rFonts w:hint="eastAsia" w:ascii="宋体" w:hAnsi="宋体"/>
          <w:sz w:val="24"/>
          <w:szCs w:val="24"/>
        </w:rPr>
        <w:fldChar w:fldCharType="end"/>
      </w:r>
    </w:p>
    <w:p>
      <w:pPr>
        <w:pStyle w:val="23"/>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bCs/>
          <w:color w:val="000000"/>
          <w:sz w:val="30"/>
          <w:szCs w:val="30"/>
        </w:rPr>
      </w:pPr>
      <w:r>
        <w:rPr>
          <w:rFonts w:ascii="宋体" w:hAnsi="宋体"/>
          <w:b/>
          <w:bCs/>
          <w:color w:val="000000"/>
          <w:kern w:val="0"/>
          <w:sz w:val="24"/>
          <w:szCs w:val="24"/>
        </w:rPr>
        <w:br w:type="page"/>
      </w:r>
      <w:r>
        <w:rPr>
          <w:rFonts w:hint="eastAsia" w:ascii="宋体" w:hAnsi="宋体"/>
          <w:b/>
          <w:bCs/>
          <w:color w:val="000000"/>
          <w:sz w:val="30"/>
          <w:szCs w:val="30"/>
        </w:rPr>
        <w:t>二、查询记录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2" w:firstLineChars="200"/>
        <w:rPr>
          <w:rFonts w:ascii="宋体" w:hAnsi="宋体"/>
          <w:b/>
          <w:bCs/>
          <w:color w:val="000000"/>
          <w:sz w:val="30"/>
          <w:szCs w:val="30"/>
        </w:rPr>
      </w:pPr>
      <w:r>
        <w:rPr>
          <w:rFonts w:hint="eastAsia" w:ascii="宋体" w:hAnsi="宋体"/>
          <w:b/>
          <w:bCs/>
          <w:color w:val="000000"/>
          <w:sz w:val="30"/>
          <w:szCs w:val="30"/>
        </w:rPr>
        <w:t>供应商需登录“中国政府采购网”网站（www.ccgp.gov.cn）查询，并提供近一个月内的任意一天的查询截图。</w:t>
      </w:r>
    </w:p>
    <w:p>
      <w:pPr>
        <w:autoSpaceDE w:val="0"/>
        <w:autoSpaceDN w:val="0"/>
        <w:spacing w:line="500" w:lineRule="exact"/>
        <w:rPr>
          <w:rFonts w:ascii="宋体" w:hAnsi="宋体"/>
          <w:sz w:val="24"/>
          <w:szCs w:val="24"/>
          <w:u w:val="single"/>
        </w:rPr>
      </w:pPr>
      <w:r>
        <w:rPr>
          <w:rFonts w:hint="eastAsia" w:ascii="宋体" w:hAnsi="宋体"/>
          <w:bCs/>
          <w:color w:val="000000"/>
          <w:kern w:val="0"/>
          <w:sz w:val="24"/>
          <w:szCs w:val="24"/>
          <w:lang w:val="zh-CN"/>
        </w:rPr>
        <w:t>说明：</w:t>
      </w:r>
      <w:r>
        <w:rPr>
          <w:rFonts w:hint="eastAsia" w:ascii="宋体" w:hAnsi="宋体" w:cs="宋体"/>
          <w:bCs/>
          <w:kern w:val="36"/>
          <w:sz w:val="24"/>
          <w:szCs w:val="24"/>
        </w:rPr>
        <w:t>如有不提供、失效的、弄虚作假等行为的，评标委员会有权否决其投标资格</w:t>
      </w:r>
    </w:p>
    <w:p>
      <w:pPr>
        <w:autoSpaceDE w:val="0"/>
        <w:autoSpaceDN w:val="0"/>
        <w:spacing w:line="360" w:lineRule="auto"/>
        <w:rPr>
          <w:rFonts w:ascii="宋体" w:hAnsi="宋体"/>
          <w:b/>
          <w:bCs/>
          <w:color w:val="000000"/>
          <w:kern w:val="0"/>
          <w:sz w:val="24"/>
          <w:szCs w:val="24"/>
          <w:lang w:val="zh-CN"/>
        </w:rPr>
      </w:pPr>
      <w:r>
        <w:rPr>
          <w:rFonts w:hint="eastAsia" w:ascii="宋体" w:hAnsi="宋体"/>
          <w:b/>
          <w:bCs/>
          <w:color w:val="000000"/>
          <w:kern w:val="0"/>
          <w:sz w:val="24"/>
          <w:szCs w:val="24"/>
          <w:lang w:val="zh-CN"/>
        </w:rPr>
        <w:br w:type="page"/>
      </w:r>
    </w:p>
    <w:p>
      <w:pPr>
        <w:autoSpaceDE w:val="0"/>
        <w:autoSpaceDN w:val="0"/>
        <w:spacing w:line="360" w:lineRule="auto"/>
        <w:rPr>
          <w:rFonts w:ascii="宋体" w:hAnsi="宋体"/>
          <w:b/>
          <w:bCs/>
          <w:color w:val="000000"/>
          <w:kern w:val="0"/>
          <w:sz w:val="24"/>
          <w:szCs w:val="24"/>
          <w:lang w:val="zh-CN"/>
        </w:rPr>
      </w:pPr>
      <w:r>
        <w:rPr>
          <w:rFonts w:hint="eastAsia" w:ascii="宋体" w:hAnsi="宋体"/>
          <w:b/>
          <w:bCs/>
          <w:color w:val="000000"/>
          <w:kern w:val="0"/>
          <w:sz w:val="24"/>
          <w:szCs w:val="24"/>
          <w:lang w:val="zh-CN"/>
        </w:rPr>
        <w:t>格式二十一：</w:t>
      </w:r>
    </w:p>
    <w:p>
      <w:pPr>
        <w:autoSpaceDE w:val="0"/>
        <w:autoSpaceDN w:val="0"/>
        <w:spacing w:line="360" w:lineRule="auto"/>
        <w:jc w:val="center"/>
        <w:rPr>
          <w:rFonts w:ascii="宋体" w:hAnsi="宋体"/>
          <w:bCs/>
          <w:color w:val="000000"/>
          <w:kern w:val="0"/>
          <w:sz w:val="24"/>
          <w:szCs w:val="24"/>
          <w:lang w:val="zh-CN"/>
        </w:rPr>
      </w:pPr>
      <w:r>
        <w:rPr>
          <w:rFonts w:hint="eastAsia" w:ascii="宋体" w:hAnsi="宋体"/>
          <w:sz w:val="21"/>
          <w:szCs w:val="21"/>
        </w:rPr>
        <w:t>十九、政府采购政策情况表</w:t>
      </w:r>
    </w:p>
    <w:tbl>
      <w:tblPr>
        <w:tblStyle w:val="26"/>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7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shd w:val="clear" w:color="auto" w:fill="auto"/>
            <w:vAlign w:val="center"/>
          </w:tcPr>
          <w:p>
            <w:pPr>
              <w:pStyle w:val="57"/>
              <w:tabs>
                <w:tab w:val="left" w:pos="1260"/>
              </w:tabs>
              <w:spacing w:before="156" w:after="156"/>
              <w:rPr>
                <w:rFonts w:ascii="宋体" w:hAnsi="宋体" w:cs="宋体"/>
                <w:kern w:val="0"/>
                <w:sz w:val="24"/>
              </w:rPr>
            </w:pPr>
            <w:r>
              <w:rPr>
                <w:rFonts w:hint="eastAsia" w:ascii="宋体" w:hAnsi="宋体" w:cs="宋体"/>
                <w:kern w:val="0"/>
                <w:sz w:val="24"/>
              </w:rPr>
              <w:t>中小企业扶持政策</w:t>
            </w:r>
          </w:p>
        </w:tc>
        <w:tc>
          <w:tcPr>
            <w:tcW w:w="7898" w:type="dxa"/>
            <w:shd w:val="clear" w:color="auto" w:fill="auto"/>
            <w:vAlign w:val="center"/>
          </w:tcPr>
          <w:p>
            <w:pPr>
              <w:pStyle w:val="57"/>
              <w:tabs>
                <w:tab w:val="left" w:pos="1260"/>
              </w:tabs>
              <w:spacing w:before="40" w:after="40" w:line="360" w:lineRule="auto"/>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小微企业</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中小企业声明函</w:t>
            </w:r>
            <w:r>
              <w:rPr>
                <w:rFonts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tabs>
                <w:tab w:val="left" w:pos="1260"/>
              </w:tabs>
              <w:spacing w:before="156" w:after="156"/>
              <w:rPr>
                <w:rFonts w:ascii="宋体" w:hAnsi="宋体" w:cs="宋体"/>
                <w:kern w:val="0"/>
                <w:sz w:val="24"/>
              </w:rPr>
            </w:pPr>
            <w:r>
              <w:rPr>
                <w:rFonts w:ascii="宋体" w:hAnsi="宋体" w:cs="宋体"/>
                <w:kern w:val="0"/>
                <w:sz w:val="24"/>
              </w:rPr>
              <w:t>监狱企业</w:t>
            </w:r>
          </w:p>
        </w:tc>
        <w:tc>
          <w:tcPr>
            <w:tcW w:w="78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tabs>
                <w:tab w:val="left" w:pos="1260"/>
              </w:tabs>
              <w:spacing w:before="40" w:after="40"/>
              <w:rPr>
                <w:rFonts w:ascii="宋体" w:hAnsi="宋体" w:cs="宋体"/>
                <w:kern w:val="0"/>
                <w:sz w:val="24"/>
              </w:rPr>
            </w:pPr>
            <w:r>
              <w:rPr>
                <w:rFonts w:ascii="宋体" w:hAnsi="宋体" w:cs="宋体"/>
                <w:kern w:val="0"/>
                <w:sz w:val="24"/>
              </w:rPr>
              <w:t>（  ）我公司属于监狱企业，</w:t>
            </w:r>
            <w:r>
              <w:rPr>
                <w:rFonts w:hint="eastAsia" w:ascii="宋体" w:hAnsi="宋体" w:cs="宋体"/>
                <w:kern w:val="0"/>
                <w:sz w:val="24"/>
              </w:rPr>
              <w:t>并</w:t>
            </w:r>
            <w:r>
              <w:rPr>
                <w:rFonts w:ascii="宋体" w:hAnsi="宋体" w:cs="宋体"/>
                <w:kern w:val="0"/>
                <w:sz w:val="24"/>
              </w:rPr>
              <w:t>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tabs>
                <w:tab w:val="left" w:pos="1260"/>
              </w:tabs>
              <w:spacing w:before="156" w:after="156"/>
              <w:rPr>
                <w:rFonts w:ascii="宋体" w:hAnsi="宋体" w:cs="宋体"/>
                <w:kern w:val="0"/>
                <w:sz w:val="24"/>
              </w:rPr>
            </w:pPr>
            <w:r>
              <w:rPr>
                <w:rFonts w:hint="eastAsia" w:ascii="宋体" w:hAnsi="宋体" w:cs="宋体"/>
                <w:kern w:val="0"/>
                <w:sz w:val="24"/>
              </w:rPr>
              <w:t>残疾人福利性单位</w:t>
            </w:r>
          </w:p>
        </w:tc>
        <w:tc>
          <w:tcPr>
            <w:tcW w:w="78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tabs>
                <w:tab w:val="left" w:pos="1260"/>
              </w:tabs>
              <w:spacing w:before="40" w:after="40"/>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残疾人福利性单位</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残疾人福利性单位声明函</w:t>
            </w:r>
            <w:r>
              <w:rPr>
                <w:rFonts w:ascii="宋体" w:hAnsi="宋体" w:cs="宋体"/>
                <w:kern w:val="0"/>
                <w:sz w:val="24"/>
              </w:rPr>
              <w:t>。</w:t>
            </w:r>
          </w:p>
        </w:tc>
      </w:tr>
    </w:tbl>
    <w:p>
      <w:pPr>
        <w:spacing w:line="360" w:lineRule="auto"/>
        <w:ind w:firstLine="480" w:firstLineChars="200"/>
        <w:rPr>
          <w:sz w:val="24"/>
        </w:rPr>
      </w:pPr>
      <w:r>
        <w:rPr>
          <w:rFonts w:hint="eastAsia"/>
          <w:sz w:val="24"/>
        </w:rPr>
        <w:t>填报要求：</w:t>
      </w:r>
      <w:r>
        <w:rPr>
          <w:rFonts w:hint="eastAsia" w:ascii="宋体" w:hAnsi="宋体" w:cs="宋体"/>
          <w:kern w:val="0"/>
          <w:sz w:val="24"/>
        </w:rPr>
        <w:t>如属所列情形的，请在括号内打“√”</w:t>
      </w:r>
    </w:p>
    <w:p>
      <w:pPr>
        <w:autoSpaceDE w:val="0"/>
        <w:autoSpaceDN w:val="0"/>
        <w:spacing w:line="360" w:lineRule="auto"/>
        <w:ind w:firstLine="2168" w:firstLineChars="900"/>
        <w:rPr>
          <w:rFonts w:ascii="宋体" w:hAnsi="宋体"/>
          <w:b/>
          <w:bCs/>
          <w:color w:val="000000"/>
          <w:kern w:val="0"/>
          <w:sz w:val="24"/>
          <w:szCs w:val="24"/>
        </w:rPr>
      </w:pPr>
      <w:r>
        <w:rPr>
          <w:rFonts w:ascii="宋体" w:hAnsi="宋体"/>
          <w:b/>
          <w:bCs/>
          <w:color w:val="000000"/>
          <w:kern w:val="0"/>
          <w:sz w:val="24"/>
          <w:szCs w:val="24"/>
        </w:rPr>
        <w:br w:type="page"/>
      </w:r>
    </w:p>
    <w:p>
      <w:pPr>
        <w:autoSpaceDN w:val="0"/>
        <w:spacing w:line="360" w:lineRule="auto"/>
        <w:rPr>
          <w:b/>
          <w:bCs/>
          <w:sz w:val="24"/>
        </w:rPr>
      </w:pPr>
      <w:r>
        <w:rPr>
          <w:rFonts w:hint="eastAsia"/>
          <w:b/>
          <w:bCs/>
          <w:sz w:val="24"/>
        </w:rPr>
        <w:t>格式二十二：</w:t>
      </w:r>
    </w:p>
    <w:p>
      <w:pPr>
        <w:spacing w:line="588" w:lineRule="exact"/>
        <w:jc w:val="center"/>
        <w:rPr>
          <w:rFonts w:ascii="宋体" w:hAnsi="宋体" w:cs="宋体"/>
          <w:kern w:val="0"/>
          <w:sz w:val="24"/>
          <w:szCs w:val="24"/>
        </w:rPr>
      </w:pPr>
      <w:r>
        <w:rPr>
          <w:rFonts w:hint="eastAsia" w:ascii="宋体" w:hAnsi="宋体" w:cs="宋体"/>
          <w:kern w:val="0"/>
          <w:sz w:val="24"/>
          <w:szCs w:val="24"/>
        </w:rPr>
        <w:t>二十、中小企业声明函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本公司郑重声明，根据《政府采购促进中小企业发展暂行办法》（财库[2011]181号）的规定，本公司为</w:t>
      </w:r>
      <w:bookmarkStart w:id="135" w:name="OLE_LINK2"/>
      <w:bookmarkStart w:id="136" w:name="OLE_LINK5"/>
      <w:r>
        <w:rPr>
          <w:rFonts w:hint="eastAsia" w:ascii="宋体" w:hAnsi="宋体" w:cs="宋体"/>
          <w:kern w:val="0"/>
          <w:sz w:val="24"/>
          <w:szCs w:val="24"/>
        </w:rPr>
        <w:t>______（请填写：中型、小型、微型）企业</w:t>
      </w:r>
      <w:bookmarkEnd w:id="135"/>
      <w:bookmarkEnd w:id="136"/>
      <w:r>
        <w:rPr>
          <w:rFonts w:hint="eastAsia" w:ascii="宋体" w:hAnsi="宋体" w:cs="宋体"/>
          <w:kern w:val="0"/>
          <w:sz w:val="24"/>
          <w:szCs w:val="24"/>
        </w:rPr>
        <w:t>。即，本公司同时满足以下条件：</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企业名称（盖章）： </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说明：供应商不按要求填写、盖章的将不享受中小微企业有关政策。</w:t>
      </w:r>
      <w:r>
        <w:rPr>
          <w:rFonts w:ascii="宋体" w:hAnsi="宋体" w:cs="宋体"/>
          <w:kern w:val="0"/>
          <w:sz w:val="24"/>
          <w:szCs w:val="24"/>
        </w:rPr>
        <w:br w:type="page"/>
      </w:r>
    </w:p>
    <w:p>
      <w:pPr>
        <w:spacing w:line="588" w:lineRule="exact"/>
        <w:rPr>
          <w:rFonts w:ascii="宋体" w:hAnsi="宋体"/>
          <w:b/>
          <w:bCs/>
          <w:color w:val="000000"/>
          <w:kern w:val="0"/>
          <w:sz w:val="24"/>
          <w:szCs w:val="24"/>
          <w:lang w:val="zh-CN"/>
        </w:rPr>
      </w:pPr>
      <w:r>
        <w:rPr>
          <w:rFonts w:hint="eastAsia" w:ascii="宋体" w:hAnsi="宋体"/>
          <w:b/>
          <w:bCs/>
          <w:color w:val="000000"/>
          <w:kern w:val="0"/>
          <w:sz w:val="24"/>
          <w:szCs w:val="24"/>
          <w:lang w:val="zh-CN"/>
        </w:rPr>
        <w:t>格式二十三：</w:t>
      </w:r>
    </w:p>
    <w:p>
      <w:pPr>
        <w:spacing w:line="588" w:lineRule="exact"/>
        <w:ind w:firstLine="2760" w:firstLineChars="1150"/>
        <w:rPr>
          <w:rFonts w:ascii="宋体" w:hAnsi="宋体" w:cs="宋体"/>
          <w:kern w:val="0"/>
          <w:sz w:val="24"/>
          <w:szCs w:val="24"/>
        </w:rPr>
      </w:pPr>
      <w:r>
        <w:rPr>
          <w:rFonts w:hint="eastAsia" w:ascii="宋体" w:hAnsi="宋体" w:cs="宋体"/>
          <w:kern w:val="0"/>
          <w:sz w:val="24"/>
          <w:szCs w:val="24"/>
        </w:rPr>
        <w:t>二十一、残疾人福利性单位声明函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单位名称（盖章）：</w:t>
      </w: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ind w:firstLine="480" w:firstLineChars="200"/>
        <w:rPr>
          <w:sz w:val="24"/>
        </w:rPr>
      </w:pPr>
      <w:r>
        <w:rPr>
          <w:rFonts w:hint="eastAsia"/>
          <w:sz w:val="24"/>
        </w:rPr>
        <w:t>说明：供应商不按要求填写、盖章的将不享受残疾人企业有关政策。</w:t>
      </w:r>
      <w:r>
        <w:rPr>
          <w:sz w:val="24"/>
        </w:rPr>
        <w:br w:type="page"/>
      </w:r>
    </w:p>
    <w:p>
      <w:pPr>
        <w:autoSpaceDE w:val="0"/>
        <w:autoSpaceDN w:val="0"/>
        <w:spacing w:line="360" w:lineRule="auto"/>
        <w:ind w:left="3132" w:hanging="3132" w:hangingChars="1300"/>
        <w:rPr>
          <w:rFonts w:ascii="宋体" w:hAnsi="宋体"/>
          <w:color w:val="000000"/>
          <w:sz w:val="24"/>
          <w:szCs w:val="24"/>
          <w:lang w:val="zh-CN"/>
        </w:rPr>
      </w:pPr>
      <w:r>
        <w:rPr>
          <w:rFonts w:hint="eastAsia" w:ascii="宋体" w:hAnsi="宋体"/>
          <w:b/>
          <w:bCs/>
          <w:color w:val="000000"/>
          <w:kern w:val="0"/>
          <w:sz w:val="24"/>
          <w:szCs w:val="24"/>
          <w:lang w:val="zh-CN"/>
        </w:rPr>
        <w:t>格式二十四：</w:t>
      </w:r>
      <w:r>
        <w:rPr>
          <w:rFonts w:ascii="宋体" w:hAnsi="宋体"/>
          <w:bCs/>
          <w:color w:val="000000"/>
          <w:kern w:val="0"/>
          <w:sz w:val="24"/>
          <w:szCs w:val="24"/>
          <w:lang w:val="zh-CN"/>
        </w:rPr>
        <w:br w:type="textWrapping"/>
      </w:r>
      <w:r>
        <w:rPr>
          <w:rFonts w:hint="eastAsia" w:ascii="宋体" w:hAnsi="宋体"/>
          <w:bCs/>
          <w:color w:val="000000"/>
          <w:kern w:val="0"/>
          <w:sz w:val="24"/>
          <w:szCs w:val="24"/>
          <w:lang w:val="zh-CN"/>
        </w:rPr>
        <w:t>二十二、</w:t>
      </w:r>
      <w:r>
        <w:rPr>
          <w:rFonts w:hint="eastAsia" w:ascii="宋体" w:hAnsi="宋体"/>
          <w:color w:val="000000"/>
          <w:sz w:val="24"/>
          <w:szCs w:val="24"/>
        </w:rPr>
        <w:t>各类</w:t>
      </w:r>
      <w:r>
        <w:rPr>
          <w:rFonts w:hint="eastAsia" w:ascii="宋体" w:hAnsi="宋体"/>
          <w:color w:val="000000"/>
          <w:sz w:val="24"/>
          <w:szCs w:val="24"/>
          <w:lang w:val="zh-CN"/>
        </w:rPr>
        <w:t>证明材料</w:t>
      </w:r>
    </w:p>
    <w:p>
      <w:pPr>
        <w:spacing w:line="360" w:lineRule="auto"/>
        <w:rPr>
          <w:rFonts w:ascii="宋体" w:hAnsi="宋体"/>
          <w:sz w:val="24"/>
          <w:szCs w:val="24"/>
        </w:rPr>
      </w:pPr>
      <w:r>
        <w:rPr>
          <w:rFonts w:hint="eastAsia" w:ascii="宋体" w:hAnsi="宋体"/>
          <w:sz w:val="24"/>
          <w:szCs w:val="24"/>
        </w:rPr>
        <w:t>1.磋商文件要求提供的其他资料。</w:t>
      </w:r>
    </w:p>
    <w:p>
      <w:pPr>
        <w:spacing w:line="360" w:lineRule="auto"/>
        <w:rPr>
          <w:rFonts w:ascii="宋体" w:hAnsi="宋体"/>
          <w:sz w:val="24"/>
          <w:szCs w:val="24"/>
        </w:rPr>
      </w:pPr>
      <w:r>
        <w:rPr>
          <w:rFonts w:hint="eastAsia" w:ascii="宋体" w:hAnsi="宋体"/>
          <w:sz w:val="24"/>
          <w:szCs w:val="24"/>
        </w:rPr>
        <w:t>2.供应商认为需提供的其他资料。</w:t>
      </w:r>
    </w:p>
    <w:p>
      <w:pPr>
        <w:pStyle w:val="4"/>
        <w:keepNext w:val="0"/>
        <w:keepLines w:val="0"/>
        <w:spacing w:line="360" w:lineRule="auto"/>
        <w:ind w:firstLine="2650" w:firstLineChars="1100"/>
        <w:rPr>
          <w:rFonts w:ascii="宋体" w:hAnsi="宋体" w:eastAsia="宋体"/>
          <w:bCs w:val="0"/>
          <w:color w:val="000000"/>
          <w:kern w:val="2"/>
          <w:sz w:val="24"/>
          <w:szCs w:val="24"/>
          <w:lang w:val="en-US"/>
        </w:rPr>
      </w:pPr>
      <w:r>
        <w:rPr>
          <w:rFonts w:ascii="宋体" w:hAnsi="宋体" w:eastAsia="宋体"/>
          <w:bCs w:val="0"/>
          <w:color w:val="000000"/>
          <w:kern w:val="2"/>
          <w:sz w:val="24"/>
          <w:szCs w:val="24"/>
          <w:lang w:val="en-US"/>
        </w:rPr>
        <w:br w:type="page"/>
      </w:r>
    </w:p>
    <w:p>
      <w:pPr>
        <w:pStyle w:val="3"/>
        <w:keepNext w:val="0"/>
        <w:keepLines w:val="0"/>
        <w:spacing w:line="360" w:lineRule="auto"/>
        <w:rPr>
          <w:rFonts w:ascii="宋体" w:hAnsi="宋体"/>
          <w:color w:val="000000"/>
          <w:sz w:val="24"/>
          <w:szCs w:val="24"/>
        </w:rPr>
      </w:pPr>
      <w:bookmarkStart w:id="137" w:name="_Toc497290562"/>
      <w:bookmarkStart w:id="138" w:name="_Toc497408598"/>
      <w:r>
        <w:rPr>
          <w:rFonts w:hint="eastAsia" w:ascii="宋体" w:hAnsi="宋体"/>
          <w:color w:val="000000"/>
          <w:sz w:val="24"/>
          <w:szCs w:val="24"/>
        </w:rPr>
        <w:t>温馨提示</w:t>
      </w:r>
      <w:bookmarkEnd w:id="137"/>
      <w:bookmarkEnd w:id="138"/>
    </w:p>
    <w:p>
      <w:pPr>
        <w:spacing w:line="360" w:lineRule="auto"/>
        <w:rPr>
          <w:rFonts w:ascii="宋体" w:hAnsi="宋体"/>
          <w:b/>
          <w:color w:val="000000"/>
          <w:sz w:val="24"/>
          <w:szCs w:val="24"/>
          <w:lang w:val="zh-CN"/>
        </w:rPr>
      </w:pPr>
      <w:r>
        <w:rPr>
          <w:rFonts w:hint="eastAsia" w:ascii="宋体" w:hAnsi="宋体"/>
          <w:b/>
          <w:color w:val="000000"/>
          <w:sz w:val="24"/>
          <w:szCs w:val="24"/>
          <w:lang w:val="zh-CN"/>
        </w:rPr>
        <w:t>各位供应商:</w:t>
      </w:r>
    </w:p>
    <w:p>
      <w:pPr>
        <w:widowControl/>
        <w:jc w:val="left"/>
        <w:rPr>
          <w:rFonts w:ascii="宋体" w:hAnsi="宋体" w:cs="宋体"/>
          <w:kern w:val="0"/>
          <w:sz w:val="24"/>
          <w:szCs w:val="24"/>
          <w:lang w:bidi="ar"/>
        </w:rPr>
      </w:pPr>
    </w:p>
    <w:p>
      <w:pPr>
        <w:widowControl/>
        <w:jc w:val="left"/>
        <w:rPr>
          <w:rFonts w:ascii="宋体" w:hAnsi="宋体" w:cs="宋体"/>
          <w:kern w:val="0"/>
          <w:sz w:val="24"/>
          <w:szCs w:val="24"/>
          <w:lang w:bidi="ar"/>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请在编制响应文件前请认真阅读并理解磋商文件。现就容易导致废标或无效投标的条款特别提示如下：</w:t>
      </w:r>
      <w:r>
        <w:rPr>
          <w:rFonts w:hint="eastAsia" w:ascii="宋体" w:hAnsi="宋体" w:cs="宋体"/>
          <w:kern w:val="0"/>
          <w:sz w:val="24"/>
          <w:szCs w:val="24"/>
        </w:rPr>
        <w:br w:type="textWrapping"/>
      </w:r>
      <w:r>
        <w:rPr>
          <w:rFonts w:hint="eastAsia" w:ascii="宋体" w:hAnsi="宋体" w:cs="宋体"/>
          <w:kern w:val="0"/>
          <w:sz w:val="24"/>
          <w:szCs w:val="24"/>
        </w:rPr>
        <w:t>1. 及时查看投标项目的相关信息公告，如磋商公告、变更公告、废标公告等。</w:t>
      </w:r>
      <w:r>
        <w:rPr>
          <w:rFonts w:hint="eastAsia" w:ascii="宋体" w:hAnsi="宋体" w:cs="宋体"/>
          <w:kern w:val="0"/>
          <w:sz w:val="24"/>
          <w:szCs w:val="24"/>
        </w:rPr>
        <w:br w:type="textWrapping"/>
      </w:r>
      <w:r>
        <w:rPr>
          <w:rFonts w:hint="eastAsia" w:ascii="宋体" w:hAnsi="宋体" w:cs="宋体"/>
          <w:kern w:val="0"/>
          <w:sz w:val="24"/>
          <w:szCs w:val="24"/>
        </w:rPr>
        <w:t xml:space="preserve">2. 认真填写报名信息，在递交响应文件截止时间前核对保证金缴纳情况，若报名成功、       </w:t>
      </w:r>
    </w:p>
    <w:p>
      <w:pPr>
        <w:spacing w:line="588" w:lineRule="exact"/>
        <w:rPr>
          <w:rFonts w:ascii="宋体" w:hAnsi="宋体" w:cs="宋体"/>
          <w:kern w:val="0"/>
          <w:sz w:val="24"/>
          <w:szCs w:val="24"/>
          <w:lang w:bidi="ar"/>
        </w:rPr>
      </w:pPr>
      <w:r>
        <w:rPr>
          <w:rFonts w:hint="eastAsia" w:ascii="宋体" w:hAnsi="宋体" w:cs="宋体"/>
          <w:kern w:val="0"/>
          <w:sz w:val="24"/>
          <w:szCs w:val="24"/>
        </w:rPr>
        <w:t>保证金缴纳之后，如保证金状态仍显示“未缴纳”，请及时与我单位联系。</w:t>
      </w:r>
      <w:r>
        <w:rPr>
          <w:rFonts w:hint="eastAsia" w:ascii="宋体" w:hAnsi="宋体" w:cs="宋体"/>
          <w:kern w:val="0"/>
          <w:sz w:val="24"/>
          <w:szCs w:val="24"/>
        </w:rPr>
        <w:br w:type="textWrapping"/>
      </w:r>
      <w:r>
        <w:rPr>
          <w:rFonts w:hint="eastAsia" w:ascii="宋体" w:hAnsi="宋体" w:cs="宋体"/>
          <w:kern w:val="0"/>
          <w:sz w:val="24"/>
          <w:szCs w:val="24"/>
        </w:rPr>
        <w:t>3. 注意响应文件的密封、装订及签署、盖章，如项目分包，响应文件务必分包、分别编制。</w:t>
      </w:r>
      <w:r>
        <w:rPr>
          <w:rFonts w:hint="eastAsia" w:ascii="宋体" w:hAnsi="宋体" w:cs="宋体"/>
          <w:kern w:val="0"/>
          <w:sz w:val="24"/>
          <w:szCs w:val="24"/>
        </w:rPr>
        <w:br w:type="textWrapping"/>
      </w:r>
      <w:r>
        <w:rPr>
          <w:rFonts w:hint="eastAsia" w:ascii="宋体" w:hAnsi="宋体" w:cs="宋体"/>
          <w:kern w:val="0"/>
          <w:sz w:val="24"/>
          <w:szCs w:val="24"/>
        </w:rPr>
        <w:t>4. 注意《开标一览表》应单独密封、单独递交一份，用于唱标之用。</w:t>
      </w:r>
      <w:r>
        <w:rPr>
          <w:rFonts w:hint="eastAsia" w:ascii="宋体" w:hAnsi="宋体" w:cs="宋体"/>
          <w:kern w:val="0"/>
          <w:sz w:val="24"/>
          <w:szCs w:val="24"/>
        </w:rPr>
        <w:br w:type="textWrapping"/>
      </w:r>
      <w:r>
        <w:rPr>
          <w:rFonts w:hint="eastAsia" w:ascii="宋体" w:hAnsi="宋体" w:cs="宋体"/>
          <w:kern w:val="0"/>
          <w:sz w:val="24"/>
          <w:szCs w:val="24"/>
        </w:rPr>
        <w:t>5. 注意响应文件中相关证明材料的完整性及有效期限。</w:t>
      </w:r>
      <w:r>
        <w:rPr>
          <w:rFonts w:ascii="宋体" w:hAnsi="宋体" w:cs="宋体"/>
          <w:kern w:val="0"/>
          <w:sz w:val="24"/>
          <w:szCs w:val="24"/>
          <w:lang w:bidi="ar"/>
        </w:rPr>
        <w:br w:type="textWrapping"/>
      </w:r>
    </w:p>
    <w:p>
      <w:pPr>
        <w:widowControl/>
        <w:spacing w:line="360" w:lineRule="auto"/>
        <w:ind w:firstLine="480"/>
        <w:jc w:val="left"/>
        <w:rPr>
          <w:rFonts w:ascii="宋体" w:hAnsi="宋体" w:cs="宋体"/>
          <w:kern w:val="0"/>
          <w:sz w:val="24"/>
          <w:szCs w:val="24"/>
          <w:lang w:bidi="ar"/>
        </w:rPr>
      </w:pPr>
    </w:p>
    <w:p>
      <w:pPr>
        <w:pStyle w:val="3"/>
        <w:keepNext w:val="0"/>
        <w:keepLines w:val="0"/>
        <w:spacing w:line="360" w:lineRule="auto"/>
        <w:jc w:val="both"/>
        <w:rPr>
          <w:sz w:val="24"/>
          <w:szCs w:val="24"/>
          <w:lang w:val="en-US"/>
        </w:rPr>
      </w:pPr>
      <w:r>
        <w:rPr>
          <w:rFonts w:ascii="宋体" w:hAnsi="宋体" w:cs="宋体"/>
          <w:kern w:val="0"/>
          <w:sz w:val="24"/>
          <w:szCs w:val="24"/>
          <w:lang w:val="en-US" w:bidi="ar"/>
        </w:rPr>
        <w:t>请各供应商严格遵守《中华人民共和国政府采购法》及其条例，如出现违法、违规行为，将承担响应法律责任。</w:t>
      </w:r>
    </w:p>
    <w:p>
      <w:pPr>
        <w:pStyle w:val="3"/>
        <w:keepNext w:val="0"/>
        <w:keepLines w:val="0"/>
        <w:spacing w:line="360" w:lineRule="auto"/>
        <w:ind w:firstLine="482" w:firstLineChars="200"/>
        <w:jc w:val="both"/>
        <w:rPr>
          <w:sz w:val="24"/>
          <w:szCs w:val="24"/>
          <w:lang w:val="en-US"/>
        </w:rPr>
      </w:pPr>
    </w:p>
    <w:sectPr>
      <w:headerReference r:id="rId4" w:type="default"/>
      <w:footerReference r:id="rId5" w:type="default"/>
      <w:pgSz w:w="11906" w:h="16838"/>
      <w:pgMar w:top="737" w:right="1247" w:bottom="737" w:left="124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楷体简体">
    <w:altName w:val="黑体"/>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align>top</wp:align>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5010743"/>
                          </w:sdtPr>
                          <w:sdtContent>
                            <w:p>
                              <w:pPr>
                                <w:pStyle w:val="18"/>
                                <w:jc w:val="center"/>
                              </w:pPr>
                              <w:r>
                                <w:fldChar w:fldCharType="begin"/>
                              </w:r>
                              <w:r>
                                <w:instrText xml:space="preserve">PAGE   \* MERGEFORMAT</w:instrText>
                              </w:r>
                              <w:r>
                                <w:fldChar w:fldCharType="separate"/>
                              </w:r>
                              <w:r>
                                <w:rPr>
                                  <w:lang w:val="zh-CN"/>
                                </w:rPr>
                                <w:t>58</w:t>
                              </w:r>
                              <w:r>
                                <w:rPr>
                                  <w:lang w:val="zh-CN"/>
                                </w:rPr>
                                <w:fldChar w:fldCharType="end"/>
                              </w:r>
                            </w:p>
                          </w:sdtContent>
                        </w:sdt>
                        <w:p>
                          <w:pPr>
                            <w:pStyle w:val="2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1525010743"/>
                    </w:sdtPr>
                    <w:sdtContent>
                      <w:p>
                        <w:pPr>
                          <w:pStyle w:val="18"/>
                          <w:jc w:val="center"/>
                        </w:pPr>
                        <w:r>
                          <w:fldChar w:fldCharType="begin"/>
                        </w:r>
                        <w:r>
                          <w:instrText xml:space="preserve">PAGE   \* MERGEFORMAT</w:instrText>
                        </w:r>
                        <w:r>
                          <w:fldChar w:fldCharType="separate"/>
                        </w:r>
                        <w:r>
                          <w:rPr>
                            <w:lang w:val="zh-CN"/>
                          </w:rPr>
                          <w:t>58</w:t>
                        </w:r>
                        <w:r>
                          <w:rPr>
                            <w:lang w:val="zh-CN"/>
                          </w:rPr>
                          <w:fldChar w:fldCharType="end"/>
                        </w:r>
                      </w:p>
                    </w:sdtContent>
                  </w:sdt>
                  <w:p>
                    <w:pPr>
                      <w:pStyle w:val="23"/>
                    </w:pP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2"/>
      <w:numFmt w:val="japaneseCounting"/>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pStyle w:val="7"/>
      <w:lvlText w:val="%5)"/>
      <w:lvlJc w:val="left"/>
      <w:pPr>
        <w:tabs>
          <w:tab w:val="left" w:pos="2649"/>
        </w:tabs>
        <w:ind w:left="2649" w:hanging="420"/>
      </w:pPr>
    </w:lvl>
    <w:lvl w:ilvl="5" w:tentative="0">
      <w:start w:val="1"/>
      <w:numFmt w:val="lowerRoman"/>
      <w:pStyle w:val="8"/>
      <w:lvlText w:val="%6."/>
      <w:lvlJc w:val="right"/>
      <w:pPr>
        <w:tabs>
          <w:tab w:val="left" w:pos="3069"/>
        </w:tabs>
        <w:ind w:left="3069" w:hanging="420"/>
      </w:pPr>
    </w:lvl>
    <w:lvl w:ilvl="6" w:tentative="0">
      <w:start w:val="1"/>
      <w:numFmt w:val="decimal"/>
      <w:pStyle w:val="9"/>
      <w:lvlText w:val="%7."/>
      <w:lvlJc w:val="left"/>
      <w:pPr>
        <w:tabs>
          <w:tab w:val="left" w:pos="3489"/>
        </w:tabs>
        <w:ind w:left="3489" w:hanging="420"/>
      </w:pPr>
    </w:lvl>
    <w:lvl w:ilvl="7" w:tentative="0">
      <w:start w:val="1"/>
      <w:numFmt w:val="lowerLetter"/>
      <w:pStyle w:val="10"/>
      <w:lvlText w:val="%8)"/>
      <w:lvlJc w:val="left"/>
      <w:pPr>
        <w:tabs>
          <w:tab w:val="left" w:pos="3909"/>
        </w:tabs>
        <w:ind w:left="3909" w:hanging="420"/>
      </w:pPr>
    </w:lvl>
    <w:lvl w:ilvl="8" w:tentative="0">
      <w:start w:val="1"/>
      <w:numFmt w:val="lowerRoman"/>
      <w:pStyle w:val="11"/>
      <w:lvlText w:val="%9."/>
      <w:lvlJc w:val="right"/>
      <w:pPr>
        <w:tabs>
          <w:tab w:val="left" w:pos="4329"/>
        </w:tabs>
        <w:ind w:left="4329" w:hanging="420"/>
      </w:pPr>
    </w:lvl>
  </w:abstractNum>
  <w:abstractNum w:abstractNumId="1">
    <w:nsid w:val="03F74DEB"/>
    <w:multiLevelType w:val="singleLevel"/>
    <w:tmpl w:val="03F74DEB"/>
    <w:lvl w:ilvl="0" w:tentative="0">
      <w:start w:val="2"/>
      <w:numFmt w:val="chineseCounting"/>
      <w:lvlText w:val="%1."/>
      <w:lvlJc w:val="left"/>
      <w:pPr>
        <w:tabs>
          <w:tab w:val="left" w:pos="312"/>
        </w:tabs>
      </w:pPr>
      <w:rPr>
        <w:rFonts w:hint="eastAsia"/>
      </w:rPr>
    </w:lvl>
  </w:abstractNum>
  <w:abstractNum w:abstractNumId="2">
    <w:nsid w:val="0D346384"/>
    <w:multiLevelType w:val="singleLevel"/>
    <w:tmpl w:val="0D346384"/>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01"/>
    <w:rsid w:val="000019B5"/>
    <w:rsid w:val="00001E33"/>
    <w:rsid w:val="000037F2"/>
    <w:rsid w:val="0000526C"/>
    <w:rsid w:val="00005FCE"/>
    <w:rsid w:val="000064F9"/>
    <w:rsid w:val="00010FBE"/>
    <w:rsid w:val="000124B7"/>
    <w:rsid w:val="00015A02"/>
    <w:rsid w:val="00015B44"/>
    <w:rsid w:val="000217ED"/>
    <w:rsid w:val="00021C1D"/>
    <w:rsid w:val="00022CDF"/>
    <w:rsid w:val="00024348"/>
    <w:rsid w:val="00024DB1"/>
    <w:rsid w:val="000275BE"/>
    <w:rsid w:val="000277B6"/>
    <w:rsid w:val="00030745"/>
    <w:rsid w:val="000314D8"/>
    <w:rsid w:val="0003153C"/>
    <w:rsid w:val="00032217"/>
    <w:rsid w:val="00032340"/>
    <w:rsid w:val="00032A72"/>
    <w:rsid w:val="00032C24"/>
    <w:rsid w:val="00035A5E"/>
    <w:rsid w:val="00035AB0"/>
    <w:rsid w:val="0003623F"/>
    <w:rsid w:val="00040454"/>
    <w:rsid w:val="0004101F"/>
    <w:rsid w:val="0004149A"/>
    <w:rsid w:val="00042767"/>
    <w:rsid w:val="00043181"/>
    <w:rsid w:val="00044995"/>
    <w:rsid w:val="00044B0F"/>
    <w:rsid w:val="000501AD"/>
    <w:rsid w:val="000521B0"/>
    <w:rsid w:val="0005338C"/>
    <w:rsid w:val="000545A4"/>
    <w:rsid w:val="0005504F"/>
    <w:rsid w:val="000554EC"/>
    <w:rsid w:val="000555A7"/>
    <w:rsid w:val="000558A5"/>
    <w:rsid w:val="00060357"/>
    <w:rsid w:val="00060549"/>
    <w:rsid w:val="000629DD"/>
    <w:rsid w:val="00063168"/>
    <w:rsid w:val="0006359A"/>
    <w:rsid w:val="0006757D"/>
    <w:rsid w:val="00071A78"/>
    <w:rsid w:val="000750A4"/>
    <w:rsid w:val="00076D91"/>
    <w:rsid w:val="00077EEC"/>
    <w:rsid w:val="00082D2C"/>
    <w:rsid w:val="00083CDD"/>
    <w:rsid w:val="000841B6"/>
    <w:rsid w:val="00086144"/>
    <w:rsid w:val="00086FD7"/>
    <w:rsid w:val="00087037"/>
    <w:rsid w:val="00087150"/>
    <w:rsid w:val="000876AB"/>
    <w:rsid w:val="0008773A"/>
    <w:rsid w:val="000900FC"/>
    <w:rsid w:val="00090186"/>
    <w:rsid w:val="00090F39"/>
    <w:rsid w:val="000912B9"/>
    <w:rsid w:val="00091D78"/>
    <w:rsid w:val="0009262E"/>
    <w:rsid w:val="000944D7"/>
    <w:rsid w:val="00096C31"/>
    <w:rsid w:val="000971DF"/>
    <w:rsid w:val="0009744B"/>
    <w:rsid w:val="000A0964"/>
    <w:rsid w:val="000A0F1D"/>
    <w:rsid w:val="000A132A"/>
    <w:rsid w:val="000A1428"/>
    <w:rsid w:val="000A3313"/>
    <w:rsid w:val="000A5AB3"/>
    <w:rsid w:val="000A5DA4"/>
    <w:rsid w:val="000A5E27"/>
    <w:rsid w:val="000A6071"/>
    <w:rsid w:val="000B18EE"/>
    <w:rsid w:val="000B1DD4"/>
    <w:rsid w:val="000B2D92"/>
    <w:rsid w:val="000B4FD6"/>
    <w:rsid w:val="000B5551"/>
    <w:rsid w:val="000B57D8"/>
    <w:rsid w:val="000B7161"/>
    <w:rsid w:val="000C01A6"/>
    <w:rsid w:val="000C1341"/>
    <w:rsid w:val="000C19EE"/>
    <w:rsid w:val="000C3A16"/>
    <w:rsid w:val="000C3E86"/>
    <w:rsid w:val="000C4079"/>
    <w:rsid w:val="000C5C82"/>
    <w:rsid w:val="000C612E"/>
    <w:rsid w:val="000C6D84"/>
    <w:rsid w:val="000D02AA"/>
    <w:rsid w:val="000D0A17"/>
    <w:rsid w:val="000D17C6"/>
    <w:rsid w:val="000D515C"/>
    <w:rsid w:val="000D5C01"/>
    <w:rsid w:val="000D7557"/>
    <w:rsid w:val="000D7A79"/>
    <w:rsid w:val="000E15BD"/>
    <w:rsid w:val="000E51AB"/>
    <w:rsid w:val="000E550B"/>
    <w:rsid w:val="000E6319"/>
    <w:rsid w:val="000F082D"/>
    <w:rsid w:val="000F2095"/>
    <w:rsid w:val="000F333E"/>
    <w:rsid w:val="000F422E"/>
    <w:rsid w:val="000F4763"/>
    <w:rsid w:val="000F6D0F"/>
    <w:rsid w:val="001016F2"/>
    <w:rsid w:val="00103E0C"/>
    <w:rsid w:val="00104530"/>
    <w:rsid w:val="001066A5"/>
    <w:rsid w:val="00107117"/>
    <w:rsid w:val="0010792E"/>
    <w:rsid w:val="001117FE"/>
    <w:rsid w:val="00111FA5"/>
    <w:rsid w:val="00117038"/>
    <w:rsid w:val="00117F1A"/>
    <w:rsid w:val="00120A63"/>
    <w:rsid w:val="001246B6"/>
    <w:rsid w:val="001247E2"/>
    <w:rsid w:val="00126F44"/>
    <w:rsid w:val="00127E2F"/>
    <w:rsid w:val="00130354"/>
    <w:rsid w:val="00131C8E"/>
    <w:rsid w:val="00132AC3"/>
    <w:rsid w:val="00134349"/>
    <w:rsid w:val="00137FFA"/>
    <w:rsid w:val="00141011"/>
    <w:rsid w:val="00141C9F"/>
    <w:rsid w:val="0014232F"/>
    <w:rsid w:val="00142373"/>
    <w:rsid w:val="00143F98"/>
    <w:rsid w:val="0014459C"/>
    <w:rsid w:val="00146DBB"/>
    <w:rsid w:val="00147FB1"/>
    <w:rsid w:val="001523A9"/>
    <w:rsid w:val="00154774"/>
    <w:rsid w:val="00155388"/>
    <w:rsid w:val="001556DC"/>
    <w:rsid w:val="00156723"/>
    <w:rsid w:val="00156A89"/>
    <w:rsid w:val="00157C1F"/>
    <w:rsid w:val="00160171"/>
    <w:rsid w:val="00160C4C"/>
    <w:rsid w:val="00161123"/>
    <w:rsid w:val="001611B8"/>
    <w:rsid w:val="00161328"/>
    <w:rsid w:val="00161331"/>
    <w:rsid w:val="00161CC8"/>
    <w:rsid w:val="00162B44"/>
    <w:rsid w:val="00164422"/>
    <w:rsid w:val="00165EB9"/>
    <w:rsid w:val="00166437"/>
    <w:rsid w:val="001669A9"/>
    <w:rsid w:val="00170333"/>
    <w:rsid w:val="00171AA8"/>
    <w:rsid w:val="001740A1"/>
    <w:rsid w:val="00176355"/>
    <w:rsid w:val="00177528"/>
    <w:rsid w:val="00180D8E"/>
    <w:rsid w:val="0018304A"/>
    <w:rsid w:val="00183D05"/>
    <w:rsid w:val="00183F40"/>
    <w:rsid w:val="00186AFA"/>
    <w:rsid w:val="00190BA3"/>
    <w:rsid w:val="00194A15"/>
    <w:rsid w:val="001955F0"/>
    <w:rsid w:val="00196723"/>
    <w:rsid w:val="001A0A5F"/>
    <w:rsid w:val="001A0B92"/>
    <w:rsid w:val="001A22C1"/>
    <w:rsid w:val="001A3186"/>
    <w:rsid w:val="001A3257"/>
    <w:rsid w:val="001A45B1"/>
    <w:rsid w:val="001A4ADD"/>
    <w:rsid w:val="001A5910"/>
    <w:rsid w:val="001A6850"/>
    <w:rsid w:val="001A69EF"/>
    <w:rsid w:val="001B2547"/>
    <w:rsid w:val="001B5F8B"/>
    <w:rsid w:val="001B631D"/>
    <w:rsid w:val="001C4C6E"/>
    <w:rsid w:val="001C620B"/>
    <w:rsid w:val="001C66C5"/>
    <w:rsid w:val="001C7085"/>
    <w:rsid w:val="001C780A"/>
    <w:rsid w:val="001C7988"/>
    <w:rsid w:val="001D1224"/>
    <w:rsid w:val="001D128E"/>
    <w:rsid w:val="001D3AE5"/>
    <w:rsid w:val="001D44B5"/>
    <w:rsid w:val="001D470F"/>
    <w:rsid w:val="001D5189"/>
    <w:rsid w:val="001D7C35"/>
    <w:rsid w:val="001E0168"/>
    <w:rsid w:val="001E146C"/>
    <w:rsid w:val="001E2F8C"/>
    <w:rsid w:val="001E3E6E"/>
    <w:rsid w:val="001E6B2B"/>
    <w:rsid w:val="001F0A48"/>
    <w:rsid w:val="001F3324"/>
    <w:rsid w:val="001F38E6"/>
    <w:rsid w:val="001F3A9C"/>
    <w:rsid w:val="001F3CF4"/>
    <w:rsid w:val="001F46E4"/>
    <w:rsid w:val="001F50D5"/>
    <w:rsid w:val="00200C69"/>
    <w:rsid w:val="002024F8"/>
    <w:rsid w:val="00203A97"/>
    <w:rsid w:val="00203C57"/>
    <w:rsid w:val="00204D35"/>
    <w:rsid w:val="00205A07"/>
    <w:rsid w:val="002134E7"/>
    <w:rsid w:val="00213704"/>
    <w:rsid w:val="002138E0"/>
    <w:rsid w:val="002141C4"/>
    <w:rsid w:val="0021704B"/>
    <w:rsid w:val="00217885"/>
    <w:rsid w:val="00217F36"/>
    <w:rsid w:val="00220C2D"/>
    <w:rsid w:val="002216D2"/>
    <w:rsid w:val="002309C7"/>
    <w:rsid w:val="00233EB5"/>
    <w:rsid w:val="002349C2"/>
    <w:rsid w:val="002359DD"/>
    <w:rsid w:val="00236BF6"/>
    <w:rsid w:val="00236FE0"/>
    <w:rsid w:val="00241C9F"/>
    <w:rsid w:val="00243EC4"/>
    <w:rsid w:val="00246923"/>
    <w:rsid w:val="00247981"/>
    <w:rsid w:val="00247D3C"/>
    <w:rsid w:val="002520A9"/>
    <w:rsid w:val="002523A4"/>
    <w:rsid w:val="00252A85"/>
    <w:rsid w:val="00252E75"/>
    <w:rsid w:val="002531F7"/>
    <w:rsid w:val="002618B9"/>
    <w:rsid w:val="00262286"/>
    <w:rsid w:val="00263625"/>
    <w:rsid w:val="00264652"/>
    <w:rsid w:val="00267255"/>
    <w:rsid w:val="002677C5"/>
    <w:rsid w:val="0026789F"/>
    <w:rsid w:val="002706A8"/>
    <w:rsid w:val="00273036"/>
    <w:rsid w:val="00274A75"/>
    <w:rsid w:val="002758D1"/>
    <w:rsid w:val="00275B60"/>
    <w:rsid w:val="00276325"/>
    <w:rsid w:val="00276D08"/>
    <w:rsid w:val="00277A59"/>
    <w:rsid w:val="00280DF6"/>
    <w:rsid w:val="002813D5"/>
    <w:rsid w:val="00283220"/>
    <w:rsid w:val="002833E4"/>
    <w:rsid w:val="00283570"/>
    <w:rsid w:val="002847EC"/>
    <w:rsid w:val="00285F7D"/>
    <w:rsid w:val="00286176"/>
    <w:rsid w:val="002900C6"/>
    <w:rsid w:val="00290210"/>
    <w:rsid w:val="00290AF1"/>
    <w:rsid w:val="00290EA5"/>
    <w:rsid w:val="00291B09"/>
    <w:rsid w:val="0029262E"/>
    <w:rsid w:val="00292903"/>
    <w:rsid w:val="00293351"/>
    <w:rsid w:val="00294C80"/>
    <w:rsid w:val="002954F1"/>
    <w:rsid w:val="00297645"/>
    <w:rsid w:val="002A033D"/>
    <w:rsid w:val="002A0B4D"/>
    <w:rsid w:val="002A1E57"/>
    <w:rsid w:val="002A3538"/>
    <w:rsid w:val="002A3C54"/>
    <w:rsid w:val="002A5FA3"/>
    <w:rsid w:val="002B07D2"/>
    <w:rsid w:val="002B086D"/>
    <w:rsid w:val="002B46C2"/>
    <w:rsid w:val="002B5D5C"/>
    <w:rsid w:val="002B6555"/>
    <w:rsid w:val="002B6ACB"/>
    <w:rsid w:val="002C0752"/>
    <w:rsid w:val="002C0BE8"/>
    <w:rsid w:val="002C1118"/>
    <w:rsid w:val="002C179F"/>
    <w:rsid w:val="002C1AB6"/>
    <w:rsid w:val="002C2541"/>
    <w:rsid w:val="002C435A"/>
    <w:rsid w:val="002C5CB7"/>
    <w:rsid w:val="002C5EBE"/>
    <w:rsid w:val="002C7284"/>
    <w:rsid w:val="002C72B3"/>
    <w:rsid w:val="002D18D1"/>
    <w:rsid w:val="002D274A"/>
    <w:rsid w:val="002D27A1"/>
    <w:rsid w:val="002D2ABF"/>
    <w:rsid w:val="002D3A79"/>
    <w:rsid w:val="002D3B81"/>
    <w:rsid w:val="002D4130"/>
    <w:rsid w:val="002D5A33"/>
    <w:rsid w:val="002D5B54"/>
    <w:rsid w:val="002D6C15"/>
    <w:rsid w:val="002E38DF"/>
    <w:rsid w:val="002E3D50"/>
    <w:rsid w:val="002E4F95"/>
    <w:rsid w:val="002E5B7A"/>
    <w:rsid w:val="002E5EAB"/>
    <w:rsid w:val="002E5EDD"/>
    <w:rsid w:val="002E6E32"/>
    <w:rsid w:val="002E7061"/>
    <w:rsid w:val="002E7AC9"/>
    <w:rsid w:val="002F14A2"/>
    <w:rsid w:val="002F15B6"/>
    <w:rsid w:val="002F4D72"/>
    <w:rsid w:val="002F4ECE"/>
    <w:rsid w:val="002F5648"/>
    <w:rsid w:val="002F692A"/>
    <w:rsid w:val="002F6E44"/>
    <w:rsid w:val="002F6F9E"/>
    <w:rsid w:val="002F7057"/>
    <w:rsid w:val="002F7ADE"/>
    <w:rsid w:val="002F7E87"/>
    <w:rsid w:val="003028A1"/>
    <w:rsid w:val="003036D1"/>
    <w:rsid w:val="00305086"/>
    <w:rsid w:val="0030511C"/>
    <w:rsid w:val="00305EF3"/>
    <w:rsid w:val="00307C6D"/>
    <w:rsid w:val="0031146F"/>
    <w:rsid w:val="003166E1"/>
    <w:rsid w:val="003175DD"/>
    <w:rsid w:val="00317A60"/>
    <w:rsid w:val="00322C67"/>
    <w:rsid w:val="0032346F"/>
    <w:rsid w:val="00323C62"/>
    <w:rsid w:val="003252DF"/>
    <w:rsid w:val="00330DC1"/>
    <w:rsid w:val="00330FBC"/>
    <w:rsid w:val="00331EF4"/>
    <w:rsid w:val="0033413C"/>
    <w:rsid w:val="0034009B"/>
    <w:rsid w:val="00340152"/>
    <w:rsid w:val="00342063"/>
    <w:rsid w:val="00343DE1"/>
    <w:rsid w:val="00343EA9"/>
    <w:rsid w:val="003453A3"/>
    <w:rsid w:val="003456D5"/>
    <w:rsid w:val="00346797"/>
    <w:rsid w:val="00350415"/>
    <w:rsid w:val="00351A42"/>
    <w:rsid w:val="00354113"/>
    <w:rsid w:val="00354D79"/>
    <w:rsid w:val="00355D59"/>
    <w:rsid w:val="003562A9"/>
    <w:rsid w:val="00356C8B"/>
    <w:rsid w:val="0035724C"/>
    <w:rsid w:val="00357BB1"/>
    <w:rsid w:val="003601BC"/>
    <w:rsid w:val="003605DA"/>
    <w:rsid w:val="00360873"/>
    <w:rsid w:val="00361AFB"/>
    <w:rsid w:val="00361E13"/>
    <w:rsid w:val="003620B6"/>
    <w:rsid w:val="00363A25"/>
    <w:rsid w:val="00363FBE"/>
    <w:rsid w:val="00364753"/>
    <w:rsid w:val="0036589D"/>
    <w:rsid w:val="00366FF7"/>
    <w:rsid w:val="00367583"/>
    <w:rsid w:val="00372CDD"/>
    <w:rsid w:val="00374800"/>
    <w:rsid w:val="0037604A"/>
    <w:rsid w:val="00377304"/>
    <w:rsid w:val="0037796F"/>
    <w:rsid w:val="00381798"/>
    <w:rsid w:val="003850C1"/>
    <w:rsid w:val="0038661D"/>
    <w:rsid w:val="00386C41"/>
    <w:rsid w:val="00386F2E"/>
    <w:rsid w:val="00387C9F"/>
    <w:rsid w:val="00387FA9"/>
    <w:rsid w:val="00391691"/>
    <w:rsid w:val="0039586D"/>
    <w:rsid w:val="003962BB"/>
    <w:rsid w:val="00396A34"/>
    <w:rsid w:val="0039754F"/>
    <w:rsid w:val="003978E6"/>
    <w:rsid w:val="003A0038"/>
    <w:rsid w:val="003A059F"/>
    <w:rsid w:val="003A1A29"/>
    <w:rsid w:val="003A231E"/>
    <w:rsid w:val="003A5489"/>
    <w:rsid w:val="003A585F"/>
    <w:rsid w:val="003A60CE"/>
    <w:rsid w:val="003A7970"/>
    <w:rsid w:val="003A7FDC"/>
    <w:rsid w:val="003B5C3F"/>
    <w:rsid w:val="003C24C3"/>
    <w:rsid w:val="003C4C9F"/>
    <w:rsid w:val="003C57A9"/>
    <w:rsid w:val="003C62D0"/>
    <w:rsid w:val="003C719D"/>
    <w:rsid w:val="003C76CA"/>
    <w:rsid w:val="003D175D"/>
    <w:rsid w:val="003D1807"/>
    <w:rsid w:val="003D198A"/>
    <w:rsid w:val="003D305F"/>
    <w:rsid w:val="003D3113"/>
    <w:rsid w:val="003D3190"/>
    <w:rsid w:val="003D5B83"/>
    <w:rsid w:val="003D7194"/>
    <w:rsid w:val="003D73A0"/>
    <w:rsid w:val="003E303A"/>
    <w:rsid w:val="003E309A"/>
    <w:rsid w:val="003E3399"/>
    <w:rsid w:val="003E4CA7"/>
    <w:rsid w:val="003E53CD"/>
    <w:rsid w:val="003E61FE"/>
    <w:rsid w:val="003E6776"/>
    <w:rsid w:val="003E6A63"/>
    <w:rsid w:val="003E6B9C"/>
    <w:rsid w:val="003E7A65"/>
    <w:rsid w:val="003F1BED"/>
    <w:rsid w:val="003F1EF2"/>
    <w:rsid w:val="003F43DD"/>
    <w:rsid w:val="003F6293"/>
    <w:rsid w:val="0040058C"/>
    <w:rsid w:val="004010B1"/>
    <w:rsid w:val="0040126E"/>
    <w:rsid w:val="004023C0"/>
    <w:rsid w:val="00404152"/>
    <w:rsid w:val="00406E46"/>
    <w:rsid w:val="0040743F"/>
    <w:rsid w:val="00410D25"/>
    <w:rsid w:val="004115E2"/>
    <w:rsid w:val="004117C1"/>
    <w:rsid w:val="00411877"/>
    <w:rsid w:val="004127CA"/>
    <w:rsid w:val="00414241"/>
    <w:rsid w:val="00414662"/>
    <w:rsid w:val="00414951"/>
    <w:rsid w:val="00415F8D"/>
    <w:rsid w:val="00417D84"/>
    <w:rsid w:val="00420B58"/>
    <w:rsid w:val="004223BB"/>
    <w:rsid w:val="004230C7"/>
    <w:rsid w:val="00425C9D"/>
    <w:rsid w:val="00425DB7"/>
    <w:rsid w:val="004261E5"/>
    <w:rsid w:val="00426A2D"/>
    <w:rsid w:val="00431475"/>
    <w:rsid w:val="00431F27"/>
    <w:rsid w:val="00432AB7"/>
    <w:rsid w:val="00432F40"/>
    <w:rsid w:val="00433011"/>
    <w:rsid w:val="00433E74"/>
    <w:rsid w:val="004352F5"/>
    <w:rsid w:val="00435D31"/>
    <w:rsid w:val="00435D5B"/>
    <w:rsid w:val="004374BE"/>
    <w:rsid w:val="0043759A"/>
    <w:rsid w:val="00437EBB"/>
    <w:rsid w:val="00440E33"/>
    <w:rsid w:val="00441C6D"/>
    <w:rsid w:val="00441CA8"/>
    <w:rsid w:val="004431F8"/>
    <w:rsid w:val="00443247"/>
    <w:rsid w:val="00445BD5"/>
    <w:rsid w:val="00446442"/>
    <w:rsid w:val="00447B3B"/>
    <w:rsid w:val="00450BD2"/>
    <w:rsid w:val="00452F0B"/>
    <w:rsid w:val="00456764"/>
    <w:rsid w:val="004575B1"/>
    <w:rsid w:val="004607BE"/>
    <w:rsid w:val="00461B30"/>
    <w:rsid w:val="00461F1F"/>
    <w:rsid w:val="0046293D"/>
    <w:rsid w:val="0046308F"/>
    <w:rsid w:val="00473067"/>
    <w:rsid w:val="004755C8"/>
    <w:rsid w:val="00475A7A"/>
    <w:rsid w:val="004771B0"/>
    <w:rsid w:val="00477F94"/>
    <w:rsid w:val="00481182"/>
    <w:rsid w:val="00481B1C"/>
    <w:rsid w:val="004825C2"/>
    <w:rsid w:val="004827A6"/>
    <w:rsid w:val="00482AEC"/>
    <w:rsid w:val="00482DE0"/>
    <w:rsid w:val="00483816"/>
    <w:rsid w:val="004842AA"/>
    <w:rsid w:val="004857AE"/>
    <w:rsid w:val="00486BCF"/>
    <w:rsid w:val="0049094E"/>
    <w:rsid w:val="00491598"/>
    <w:rsid w:val="00493B4C"/>
    <w:rsid w:val="00493C31"/>
    <w:rsid w:val="0049481A"/>
    <w:rsid w:val="004A044D"/>
    <w:rsid w:val="004A17D2"/>
    <w:rsid w:val="004A2179"/>
    <w:rsid w:val="004A32E9"/>
    <w:rsid w:val="004A6F4D"/>
    <w:rsid w:val="004A7401"/>
    <w:rsid w:val="004B1CE0"/>
    <w:rsid w:val="004B22B2"/>
    <w:rsid w:val="004B24B8"/>
    <w:rsid w:val="004B565B"/>
    <w:rsid w:val="004B6B8B"/>
    <w:rsid w:val="004B6BB2"/>
    <w:rsid w:val="004C28F6"/>
    <w:rsid w:val="004C331A"/>
    <w:rsid w:val="004C336B"/>
    <w:rsid w:val="004C362D"/>
    <w:rsid w:val="004C3BB3"/>
    <w:rsid w:val="004C4646"/>
    <w:rsid w:val="004C4D09"/>
    <w:rsid w:val="004C4F15"/>
    <w:rsid w:val="004C6544"/>
    <w:rsid w:val="004C658C"/>
    <w:rsid w:val="004C6E43"/>
    <w:rsid w:val="004C759F"/>
    <w:rsid w:val="004C76F9"/>
    <w:rsid w:val="004D011C"/>
    <w:rsid w:val="004D01A9"/>
    <w:rsid w:val="004D1A36"/>
    <w:rsid w:val="004D2924"/>
    <w:rsid w:val="004D2C93"/>
    <w:rsid w:val="004D3DB3"/>
    <w:rsid w:val="004D57AF"/>
    <w:rsid w:val="004D5A44"/>
    <w:rsid w:val="004D6BA9"/>
    <w:rsid w:val="004E0D0E"/>
    <w:rsid w:val="004E19E1"/>
    <w:rsid w:val="004E37D1"/>
    <w:rsid w:val="004E3BE0"/>
    <w:rsid w:val="004F0876"/>
    <w:rsid w:val="004F0A5E"/>
    <w:rsid w:val="004F1447"/>
    <w:rsid w:val="004F5583"/>
    <w:rsid w:val="00500436"/>
    <w:rsid w:val="00500D74"/>
    <w:rsid w:val="0050117C"/>
    <w:rsid w:val="005049B8"/>
    <w:rsid w:val="005055B0"/>
    <w:rsid w:val="005064F0"/>
    <w:rsid w:val="005109E3"/>
    <w:rsid w:val="00510CE7"/>
    <w:rsid w:val="00511267"/>
    <w:rsid w:val="00511FC6"/>
    <w:rsid w:val="00517A47"/>
    <w:rsid w:val="00517F41"/>
    <w:rsid w:val="0052071C"/>
    <w:rsid w:val="00520A53"/>
    <w:rsid w:val="005214EC"/>
    <w:rsid w:val="00521F2A"/>
    <w:rsid w:val="0052378F"/>
    <w:rsid w:val="00523827"/>
    <w:rsid w:val="00523AF4"/>
    <w:rsid w:val="00525B1D"/>
    <w:rsid w:val="0052688C"/>
    <w:rsid w:val="005269E2"/>
    <w:rsid w:val="00526A3E"/>
    <w:rsid w:val="005275B1"/>
    <w:rsid w:val="00531038"/>
    <w:rsid w:val="005323F9"/>
    <w:rsid w:val="00532CEC"/>
    <w:rsid w:val="005351EA"/>
    <w:rsid w:val="0053557A"/>
    <w:rsid w:val="00535A01"/>
    <w:rsid w:val="00535BD1"/>
    <w:rsid w:val="00536ACA"/>
    <w:rsid w:val="00536CC2"/>
    <w:rsid w:val="0053771F"/>
    <w:rsid w:val="00540583"/>
    <w:rsid w:val="00541140"/>
    <w:rsid w:val="00542B4D"/>
    <w:rsid w:val="005441BD"/>
    <w:rsid w:val="00544F6C"/>
    <w:rsid w:val="00545552"/>
    <w:rsid w:val="0054733A"/>
    <w:rsid w:val="00552AF4"/>
    <w:rsid w:val="00552C27"/>
    <w:rsid w:val="00556CAB"/>
    <w:rsid w:val="00557212"/>
    <w:rsid w:val="005611C9"/>
    <w:rsid w:val="005655C3"/>
    <w:rsid w:val="0056676F"/>
    <w:rsid w:val="00566FEB"/>
    <w:rsid w:val="00570A65"/>
    <w:rsid w:val="00571223"/>
    <w:rsid w:val="00572B6C"/>
    <w:rsid w:val="00575115"/>
    <w:rsid w:val="0057590C"/>
    <w:rsid w:val="00575C09"/>
    <w:rsid w:val="005771EF"/>
    <w:rsid w:val="00577D22"/>
    <w:rsid w:val="0058246C"/>
    <w:rsid w:val="00584B37"/>
    <w:rsid w:val="00585EC9"/>
    <w:rsid w:val="00586746"/>
    <w:rsid w:val="00587E08"/>
    <w:rsid w:val="00587FA2"/>
    <w:rsid w:val="00591026"/>
    <w:rsid w:val="005937B4"/>
    <w:rsid w:val="00594B92"/>
    <w:rsid w:val="00594ECC"/>
    <w:rsid w:val="00595358"/>
    <w:rsid w:val="00595AC9"/>
    <w:rsid w:val="0059662E"/>
    <w:rsid w:val="00596711"/>
    <w:rsid w:val="0059698F"/>
    <w:rsid w:val="005969F9"/>
    <w:rsid w:val="00597732"/>
    <w:rsid w:val="005A2315"/>
    <w:rsid w:val="005A30D6"/>
    <w:rsid w:val="005A5BF4"/>
    <w:rsid w:val="005A63BF"/>
    <w:rsid w:val="005A75B9"/>
    <w:rsid w:val="005B275E"/>
    <w:rsid w:val="005B37A7"/>
    <w:rsid w:val="005B37DC"/>
    <w:rsid w:val="005B51C7"/>
    <w:rsid w:val="005B72CA"/>
    <w:rsid w:val="005C02F2"/>
    <w:rsid w:val="005C0AAB"/>
    <w:rsid w:val="005C1201"/>
    <w:rsid w:val="005C24D1"/>
    <w:rsid w:val="005C46EF"/>
    <w:rsid w:val="005C597A"/>
    <w:rsid w:val="005C70A7"/>
    <w:rsid w:val="005C7788"/>
    <w:rsid w:val="005C7BB8"/>
    <w:rsid w:val="005D1575"/>
    <w:rsid w:val="005D18E5"/>
    <w:rsid w:val="005D20F2"/>
    <w:rsid w:val="005D31AF"/>
    <w:rsid w:val="005D3ABE"/>
    <w:rsid w:val="005D450D"/>
    <w:rsid w:val="005D49D6"/>
    <w:rsid w:val="005D6E75"/>
    <w:rsid w:val="005D7B0E"/>
    <w:rsid w:val="005E0C34"/>
    <w:rsid w:val="005E1B00"/>
    <w:rsid w:val="005E1E22"/>
    <w:rsid w:val="005E28DB"/>
    <w:rsid w:val="005E31CC"/>
    <w:rsid w:val="005E3EC1"/>
    <w:rsid w:val="005E40D6"/>
    <w:rsid w:val="005E4F1E"/>
    <w:rsid w:val="005E78F1"/>
    <w:rsid w:val="005E7B84"/>
    <w:rsid w:val="005F01D8"/>
    <w:rsid w:val="005F04AE"/>
    <w:rsid w:val="005F1AFD"/>
    <w:rsid w:val="005F221E"/>
    <w:rsid w:val="005F26AF"/>
    <w:rsid w:val="005F461F"/>
    <w:rsid w:val="005F4751"/>
    <w:rsid w:val="005F5051"/>
    <w:rsid w:val="005F5965"/>
    <w:rsid w:val="005F62DF"/>
    <w:rsid w:val="005F639F"/>
    <w:rsid w:val="005F6C1D"/>
    <w:rsid w:val="005F6C97"/>
    <w:rsid w:val="005F72B5"/>
    <w:rsid w:val="00601AED"/>
    <w:rsid w:val="006033B9"/>
    <w:rsid w:val="00603405"/>
    <w:rsid w:val="0061529A"/>
    <w:rsid w:val="00615A8D"/>
    <w:rsid w:val="00616936"/>
    <w:rsid w:val="00616A52"/>
    <w:rsid w:val="00620B2E"/>
    <w:rsid w:val="006215ED"/>
    <w:rsid w:val="0062221E"/>
    <w:rsid w:val="0062246E"/>
    <w:rsid w:val="00622B32"/>
    <w:rsid w:val="00624825"/>
    <w:rsid w:val="00624BAD"/>
    <w:rsid w:val="00625939"/>
    <w:rsid w:val="00633946"/>
    <w:rsid w:val="00633E76"/>
    <w:rsid w:val="006356FD"/>
    <w:rsid w:val="006370B3"/>
    <w:rsid w:val="00637903"/>
    <w:rsid w:val="00637E93"/>
    <w:rsid w:val="00637F2E"/>
    <w:rsid w:val="00641217"/>
    <w:rsid w:val="006414FE"/>
    <w:rsid w:val="00645BC8"/>
    <w:rsid w:val="0064782F"/>
    <w:rsid w:val="00650FB0"/>
    <w:rsid w:val="0065161B"/>
    <w:rsid w:val="006530CE"/>
    <w:rsid w:val="0065564E"/>
    <w:rsid w:val="0065785E"/>
    <w:rsid w:val="00657D10"/>
    <w:rsid w:val="00657D1A"/>
    <w:rsid w:val="00660E62"/>
    <w:rsid w:val="00661376"/>
    <w:rsid w:val="006615E5"/>
    <w:rsid w:val="00663483"/>
    <w:rsid w:val="00663B6F"/>
    <w:rsid w:val="00663DD3"/>
    <w:rsid w:val="0066477C"/>
    <w:rsid w:val="00666A3E"/>
    <w:rsid w:val="0066731C"/>
    <w:rsid w:val="00670FAA"/>
    <w:rsid w:val="006718B0"/>
    <w:rsid w:val="006719FE"/>
    <w:rsid w:val="00673EB8"/>
    <w:rsid w:val="0067569A"/>
    <w:rsid w:val="006820F4"/>
    <w:rsid w:val="00682E13"/>
    <w:rsid w:val="00683D35"/>
    <w:rsid w:val="00685872"/>
    <w:rsid w:val="006869C4"/>
    <w:rsid w:val="0068719C"/>
    <w:rsid w:val="00687D18"/>
    <w:rsid w:val="0069019B"/>
    <w:rsid w:val="00694C2F"/>
    <w:rsid w:val="006974C8"/>
    <w:rsid w:val="00697604"/>
    <w:rsid w:val="00697B24"/>
    <w:rsid w:val="00697EA9"/>
    <w:rsid w:val="006A06EE"/>
    <w:rsid w:val="006A25CE"/>
    <w:rsid w:val="006A3281"/>
    <w:rsid w:val="006A4BA2"/>
    <w:rsid w:val="006A4C44"/>
    <w:rsid w:val="006A7FBB"/>
    <w:rsid w:val="006B0E96"/>
    <w:rsid w:val="006B1ADB"/>
    <w:rsid w:val="006B3C71"/>
    <w:rsid w:val="006B4252"/>
    <w:rsid w:val="006B4351"/>
    <w:rsid w:val="006B46E3"/>
    <w:rsid w:val="006C0054"/>
    <w:rsid w:val="006C0F1D"/>
    <w:rsid w:val="006C2162"/>
    <w:rsid w:val="006C227A"/>
    <w:rsid w:val="006C344B"/>
    <w:rsid w:val="006C3C87"/>
    <w:rsid w:val="006C3D88"/>
    <w:rsid w:val="006C480E"/>
    <w:rsid w:val="006C5F7E"/>
    <w:rsid w:val="006D30BE"/>
    <w:rsid w:val="006D567A"/>
    <w:rsid w:val="006D58D2"/>
    <w:rsid w:val="006D5943"/>
    <w:rsid w:val="006D5ACF"/>
    <w:rsid w:val="006E010B"/>
    <w:rsid w:val="006E16A8"/>
    <w:rsid w:val="006E382F"/>
    <w:rsid w:val="006E3A9E"/>
    <w:rsid w:val="006E6765"/>
    <w:rsid w:val="006E6953"/>
    <w:rsid w:val="006F04D9"/>
    <w:rsid w:val="006F1AAC"/>
    <w:rsid w:val="006F2097"/>
    <w:rsid w:val="006F344D"/>
    <w:rsid w:val="006F5052"/>
    <w:rsid w:val="006F5776"/>
    <w:rsid w:val="006F63B1"/>
    <w:rsid w:val="006F7539"/>
    <w:rsid w:val="00700CD9"/>
    <w:rsid w:val="00701BA9"/>
    <w:rsid w:val="00701EF4"/>
    <w:rsid w:val="007020B5"/>
    <w:rsid w:val="007029E6"/>
    <w:rsid w:val="00702AB7"/>
    <w:rsid w:val="007055F3"/>
    <w:rsid w:val="0070594F"/>
    <w:rsid w:val="00706DA6"/>
    <w:rsid w:val="007071EB"/>
    <w:rsid w:val="00710463"/>
    <w:rsid w:val="00710837"/>
    <w:rsid w:val="00710B71"/>
    <w:rsid w:val="00710CD0"/>
    <w:rsid w:val="00711612"/>
    <w:rsid w:val="00712A3E"/>
    <w:rsid w:val="00713350"/>
    <w:rsid w:val="00714859"/>
    <w:rsid w:val="00714F92"/>
    <w:rsid w:val="00717FD3"/>
    <w:rsid w:val="00720C41"/>
    <w:rsid w:val="00722FBA"/>
    <w:rsid w:val="0072313F"/>
    <w:rsid w:val="00724F07"/>
    <w:rsid w:val="0072792D"/>
    <w:rsid w:val="00727F36"/>
    <w:rsid w:val="0073012D"/>
    <w:rsid w:val="00732742"/>
    <w:rsid w:val="0073370C"/>
    <w:rsid w:val="00733A3B"/>
    <w:rsid w:val="00744479"/>
    <w:rsid w:val="007444F9"/>
    <w:rsid w:val="00744FCC"/>
    <w:rsid w:val="0075190A"/>
    <w:rsid w:val="00752753"/>
    <w:rsid w:val="00752854"/>
    <w:rsid w:val="00753180"/>
    <w:rsid w:val="00754E54"/>
    <w:rsid w:val="00755E9B"/>
    <w:rsid w:val="00756C4C"/>
    <w:rsid w:val="00757E08"/>
    <w:rsid w:val="00765CFE"/>
    <w:rsid w:val="007667D9"/>
    <w:rsid w:val="00766ADF"/>
    <w:rsid w:val="007676EF"/>
    <w:rsid w:val="00770711"/>
    <w:rsid w:val="00772676"/>
    <w:rsid w:val="007726C3"/>
    <w:rsid w:val="00773D9F"/>
    <w:rsid w:val="00774571"/>
    <w:rsid w:val="00780E8E"/>
    <w:rsid w:val="007812FA"/>
    <w:rsid w:val="0078207C"/>
    <w:rsid w:val="00782676"/>
    <w:rsid w:val="007830D7"/>
    <w:rsid w:val="0078499E"/>
    <w:rsid w:val="007854C9"/>
    <w:rsid w:val="0078591F"/>
    <w:rsid w:val="0078611D"/>
    <w:rsid w:val="0078682A"/>
    <w:rsid w:val="00786E67"/>
    <w:rsid w:val="00786E7B"/>
    <w:rsid w:val="00787879"/>
    <w:rsid w:val="0079071B"/>
    <w:rsid w:val="00791867"/>
    <w:rsid w:val="007919E4"/>
    <w:rsid w:val="0079216A"/>
    <w:rsid w:val="00792D96"/>
    <w:rsid w:val="00793656"/>
    <w:rsid w:val="00794032"/>
    <w:rsid w:val="00795189"/>
    <w:rsid w:val="007969EF"/>
    <w:rsid w:val="007A0737"/>
    <w:rsid w:val="007A1182"/>
    <w:rsid w:val="007A341B"/>
    <w:rsid w:val="007A40A7"/>
    <w:rsid w:val="007A5951"/>
    <w:rsid w:val="007A5D58"/>
    <w:rsid w:val="007A6419"/>
    <w:rsid w:val="007A7335"/>
    <w:rsid w:val="007B06C6"/>
    <w:rsid w:val="007B16B5"/>
    <w:rsid w:val="007B4372"/>
    <w:rsid w:val="007B50EE"/>
    <w:rsid w:val="007B79A8"/>
    <w:rsid w:val="007C0FB3"/>
    <w:rsid w:val="007C17CD"/>
    <w:rsid w:val="007C17F7"/>
    <w:rsid w:val="007C1873"/>
    <w:rsid w:val="007C1EAB"/>
    <w:rsid w:val="007C2177"/>
    <w:rsid w:val="007C3E96"/>
    <w:rsid w:val="007C4F12"/>
    <w:rsid w:val="007C6D29"/>
    <w:rsid w:val="007C6DE3"/>
    <w:rsid w:val="007C7806"/>
    <w:rsid w:val="007C7D9A"/>
    <w:rsid w:val="007D0240"/>
    <w:rsid w:val="007D064F"/>
    <w:rsid w:val="007D06D2"/>
    <w:rsid w:val="007D06EA"/>
    <w:rsid w:val="007D16B3"/>
    <w:rsid w:val="007D1ACE"/>
    <w:rsid w:val="007D2830"/>
    <w:rsid w:val="007D2F8A"/>
    <w:rsid w:val="007D4AB8"/>
    <w:rsid w:val="007D4FF0"/>
    <w:rsid w:val="007D6050"/>
    <w:rsid w:val="007D63C9"/>
    <w:rsid w:val="007E1654"/>
    <w:rsid w:val="007E1922"/>
    <w:rsid w:val="007E4109"/>
    <w:rsid w:val="007E6083"/>
    <w:rsid w:val="007E6348"/>
    <w:rsid w:val="007E7BC7"/>
    <w:rsid w:val="007E7F1E"/>
    <w:rsid w:val="007F425A"/>
    <w:rsid w:val="007F5F08"/>
    <w:rsid w:val="007F5FD5"/>
    <w:rsid w:val="007F6127"/>
    <w:rsid w:val="007F6812"/>
    <w:rsid w:val="007F7180"/>
    <w:rsid w:val="007F7A75"/>
    <w:rsid w:val="00803208"/>
    <w:rsid w:val="00804218"/>
    <w:rsid w:val="00807358"/>
    <w:rsid w:val="00810769"/>
    <w:rsid w:val="0081336F"/>
    <w:rsid w:val="008151FE"/>
    <w:rsid w:val="008160B8"/>
    <w:rsid w:val="008175B3"/>
    <w:rsid w:val="008209C0"/>
    <w:rsid w:val="0082268F"/>
    <w:rsid w:val="008237E0"/>
    <w:rsid w:val="00823D48"/>
    <w:rsid w:val="008244AF"/>
    <w:rsid w:val="00825E02"/>
    <w:rsid w:val="00825F3D"/>
    <w:rsid w:val="008261CD"/>
    <w:rsid w:val="00827211"/>
    <w:rsid w:val="00827C96"/>
    <w:rsid w:val="008305B2"/>
    <w:rsid w:val="008314C9"/>
    <w:rsid w:val="00831F79"/>
    <w:rsid w:val="00833423"/>
    <w:rsid w:val="008342B6"/>
    <w:rsid w:val="0083503B"/>
    <w:rsid w:val="00836F57"/>
    <w:rsid w:val="0083719D"/>
    <w:rsid w:val="008372F3"/>
    <w:rsid w:val="00837C3F"/>
    <w:rsid w:val="00840E26"/>
    <w:rsid w:val="00841F9C"/>
    <w:rsid w:val="00842A8E"/>
    <w:rsid w:val="00844F0C"/>
    <w:rsid w:val="00845391"/>
    <w:rsid w:val="00846755"/>
    <w:rsid w:val="00847B72"/>
    <w:rsid w:val="00852B2F"/>
    <w:rsid w:val="00853159"/>
    <w:rsid w:val="00855499"/>
    <w:rsid w:val="0085576F"/>
    <w:rsid w:val="00856B60"/>
    <w:rsid w:val="00857D31"/>
    <w:rsid w:val="00860870"/>
    <w:rsid w:val="0086264D"/>
    <w:rsid w:val="00862DFA"/>
    <w:rsid w:val="00863D3F"/>
    <w:rsid w:val="008640A9"/>
    <w:rsid w:val="00864A68"/>
    <w:rsid w:val="0086561A"/>
    <w:rsid w:val="00867A66"/>
    <w:rsid w:val="00867D40"/>
    <w:rsid w:val="00871360"/>
    <w:rsid w:val="008714CE"/>
    <w:rsid w:val="0087161E"/>
    <w:rsid w:val="00872F54"/>
    <w:rsid w:val="00874F1E"/>
    <w:rsid w:val="00874F94"/>
    <w:rsid w:val="008759F2"/>
    <w:rsid w:val="00876D6E"/>
    <w:rsid w:val="0088080F"/>
    <w:rsid w:val="0088134E"/>
    <w:rsid w:val="00881C7A"/>
    <w:rsid w:val="00881CC4"/>
    <w:rsid w:val="008820EB"/>
    <w:rsid w:val="0088395D"/>
    <w:rsid w:val="0088652E"/>
    <w:rsid w:val="00887695"/>
    <w:rsid w:val="00887B1A"/>
    <w:rsid w:val="00890105"/>
    <w:rsid w:val="008920CE"/>
    <w:rsid w:val="008A090F"/>
    <w:rsid w:val="008A1B4C"/>
    <w:rsid w:val="008A3F3D"/>
    <w:rsid w:val="008A4B18"/>
    <w:rsid w:val="008B2560"/>
    <w:rsid w:val="008B4F77"/>
    <w:rsid w:val="008B58CB"/>
    <w:rsid w:val="008B6131"/>
    <w:rsid w:val="008B773A"/>
    <w:rsid w:val="008B7839"/>
    <w:rsid w:val="008B7C2B"/>
    <w:rsid w:val="008C069A"/>
    <w:rsid w:val="008C0BB8"/>
    <w:rsid w:val="008C141C"/>
    <w:rsid w:val="008C2460"/>
    <w:rsid w:val="008C61E1"/>
    <w:rsid w:val="008C7CCE"/>
    <w:rsid w:val="008C7EF5"/>
    <w:rsid w:val="008D03BD"/>
    <w:rsid w:val="008D1CB0"/>
    <w:rsid w:val="008D4577"/>
    <w:rsid w:val="008D4B46"/>
    <w:rsid w:val="008D51C7"/>
    <w:rsid w:val="008D6598"/>
    <w:rsid w:val="008D6D39"/>
    <w:rsid w:val="008D6E21"/>
    <w:rsid w:val="008D7F22"/>
    <w:rsid w:val="008E1103"/>
    <w:rsid w:val="008E3AA7"/>
    <w:rsid w:val="008E5FD0"/>
    <w:rsid w:val="008E64B5"/>
    <w:rsid w:val="008E6CB3"/>
    <w:rsid w:val="008F1E56"/>
    <w:rsid w:val="008F23DD"/>
    <w:rsid w:val="008F6418"/>
    <w:rsid w:val="008F66DE"/>
    <w:rsid w:val="008F70B1"/>
    <w:rsid w:val="008F7C65"/>
    <w:rsid w:val="00900237"/>
    <w:rsid w:val="009023CD"/>
    <w:rsid w:val="00903251"/>
    <w:rsid w:val="009035CB"/>
    <w:rsid w:val="0090439C"/>
    <w:rsid w:val="00904D56"/>
    <w:rsid w:val="00904F9C"/>
    <w:rsid w:val="00907078"/>
    <w:rsid w:val="00907B49"/>
    <w:rsid w:val="009101B9"/>
    <w:rsid w:val="00910961"/>
    <w:rsid w:val="0091105D"/>
    <w:rsid w:val="009132A8"/>
    <w:rsid w:val="00913BC2"/>
    <w:rsid w:val="00913F0D"/>
    <w:rsid w:val="009149DE"/>
    <w:rsid w:val="0091581B"/>
    <w:rsid w:val="009169B4"/>
    <w:rsid w:val="00916B94"/>
    <w:rsid w:val="0091754C"/>
    <w:rsid w:val="009175DE"/>
    <w:rsid w:val="00920046"/>
    <w:rsid w:val="00920A46"/>
    <w:rsid w:val="00923416"/>
    <w:rsid w:val="00924D6A"/>
    <w:rsid w:val="00925DCD"/>
    <w:rsid w:val="00925EC5"/>
    <w:rsid w:val="00927B96"/>
    <w:rsid w:val="009303B7"/>
    <w:rsid w:val="0093237F"/>
    <w:rsid w:val="00934288"/>
    <w:rsid w:val="0093717B"/>
    <w:rsid w:val="00942C3B"/>
    <w:rsid w:val="00943FF4"/>
    <w:rsid w:val="00945EC2"/>
    <w:rsid w:val="009464E6"/>
    <w:rsid w:val="0095029C"/>
    <w:rsid w:val="00950A42"/>
    <w:rsid w:val="009510CA"/>
    <w:rsid w:val="00953BAA"/>
    <w:rsid w:val="00954B1F"/>
    <w:rsid w:val="00954CD1"/>
    <w:rsid w:val="00957FDA"/>
    <w:rsid w:val="00964157"/>
    <w:rsid w:val="009654D6"/>
    <w:rsid w:val="0096721B"/>
    <w:rsid w:val="00967439"/>
    <w:rsid w:val="00970AEB"/>
    <w:rsid w:val="0097254D"/>
    <w:rsid w:val="00972E53"/>
    <w:rsid w:val="0097461E"/>
    <w:rsid w:val="00974ADC"/>
    <w:rsid w:val="00974D6B"/>
    <w:rsid w:val="00975CFC"/>
    <w:rsid w:val="00976EEF"/>
    <w:rsid w:val="00977590"/>
    <w:rsid w:val="00977707"/>
    <w:rsid w:val="00977DF3"/>
    <w:rsid w:val="0098116C"/>
    <w:rsid w:val="00982532"/>
    <w:rsid w:val="009836C4"/>
    <w:rsid w:val="0098497D"/>
    <w:rsid w:val="009854E2"/>
    <w:rsid w:val="00986A6C"/>
    <w:rsid w:val="00987331"/>
    <w:rsid w:val="00987443"/>
    <w:rsid w:val="00991D87"/>
    <w:rsid w:val="009923B4"/>
    <w:rsid w:val="009939F1"/>
    <w:rsid w:val="009943FA"/>
    <w:rsid w:val="00994A54"/>
    <w:rsid w:val="00996755"/>
    <w:rsid w:val="00997359"/>
    <w:rsid w:val="009A0BCB"/>
    <w:rsid w:val="009A53E3"/>
    <w:rsid w:val="009C2E57"/>
    <w:rsid w:val="009C401C"/>
    <w:rsid w:val="009C4254"/>
    <w:rsid w:val="009D1A5A"/>
    <w:rsid w:val="009D2091"/>
    <w:rsid w:val="009D3425"/>
    <w:rsid w:val="009D37AC"/>
    <w:rsid w:val="009D3A35"/>
    <w:rsid w:val="009D3D2E"/>
    <w:rsid w:val="009D3EA9"/>
    <w:rsid w:val="009D54CB"/>
    <w:rsid w:val="009D6F8D"/>
    <w:rsid w:val="009D799E"/>
    <w:rsid w:val="009E0628"/>
    <w:rsid w:val="009E1506"/>
    <w:rsid w:val="009E391F"/>
    <w:rsid w:val="009E4F61"/>
    <w:rsid w:val="009E55D8"/>
    <w:rsid w:val="009E66B3"/>
    <w:rsid w:val="009E68E2"/>
    <w:rsid w:val="009E6BCD"/>
    <w:rsid w:val="009F074C"/>
    <w:rsid w:val="009F204C"/>
    <w:rsid w:val="009F31F8"/>
    <w:rsid w:val="009F354C"/>
    <w:rsid w:val="009F49BA"/>
    <w:rsid w:val="009F4F17"/>
    <w:rsid w:val="009F63E3"/>
    <w:rsid w:val="00A00403"/>
    <w:rsid w:val="00A031CD"/>
    <w:rsid w:val="00A03B8F"/>
    <w:rsid w:val="00A04AB7"/>
    <w:rsid w:val="00A04F9A"/>
    <w:rsid w:val="00A05DF3"/>
    <w:rsid w:val="00A07D1A"/>
    <w:rsid w:val="00A10757"/>
    <w:rsid w:val="00A10B3D"/>
    <w:rsid w:val="00A13C8B"/>
    <w:rsid w:val="00A153E9"/>
    <w:rsid w:val="00A177BC"/>
    <w:rsid w:val="00A17933"/>
    <w:rsid w:val="00A17C95"/>
    <w:rsid w:val="00A2085E"/>
    <w:rsid w:val="00A21494"/>
    <w:rsid w:val="00A2176D"/>
    <w:rsid w:val="00A21819"/>
    <w:rsid w:val="00A22C5E"/>
    <w:rsid w:val="00A23968"/>
    <w:rsid w:val="00A277B8"/>
    <w:rsid w:val="00A27998"/>
    <w:rsid w:val="00A32952"/>
    <w:rsid w:val="00A342F7"/>
    <w:rsid w:val="00A34CA2"/>
    <w:rsid w:val="00A3579C"/>
    <w:rsid w:val="00A35E73"/>
    <w:rsid w:val="00A3653F"/>
    <w:rsid w:val="00A36877"/>
    <w:rsid w:val="00A37132"/>
    <w:rsid w:val="00A41B11"/>
    <w:rsid w:val="00A43596"/>
    <w:rsid w:val="00A4479C"/>
    <w:rsid w:val="00A463C5"/>
    <w:rsid w:val="00A46519"/>
    <w:rsid w:val="00A467CB"/>
    <w:rsid w:val="00A472B6"/>
    <w:rsid w:val="00A47C96"/>
    <w:rsid w:val="00A524BA"/>
    <w:rsid w:val="00A5438D"/>
    <w:rsid w:val="00A54921"/>
    <w:rsid w:val="00A553D4"/>
    <w:rsid w:val="00A5679A"/>
    <w:rsid w:val="00A570F3"/>
    <w:rsid w:val="00A57517"/>
    <w:rsid w:val="00A579B0"/>
    <w:rsid w:val="00A57FBF"/>
    <w:rsid w:val="00A6030F"/>
    <w:rsid w:val="00A6233D"/>
    <w:rsid w:val="00A639B9"/>
    <w:rsid w:val="00A70302"/>
    <w:rsid w:val="00A70CD9"/>
    <w:rsid w:val="00A70F46"/>
    <w:rsid w:val="00A7112C"/>
    <w:rsid w:val="00A71C5A"/>
    <w:rsid w:val="00A744A6"/>
    <w:rsid w:val="00A75A4D"/>
    <w:rsid w:val="00A770AD"/>
    <w:rsid w:val="00A801A7"/>
    <w:rsid w:val="00A847DE"/>
    <w:rsid w:val="00A84B75"/>
    <w:rsid w:val="00A8522A"/>
    <w:rsid w:val="00A85806"/>
    <w:rsid w:val="00A858E6"/>
    <w:rsid w:val="00A8750F"/>
    <w:rsid w:val="00A90680"/>
    <w:rsid w:val="00A90976"/>
    <w:rsid w:val="00A90D02"/>
    <w:rsid w:val="00A9329E"/>
    <w:rsid w:val="00A93EE5"/>
    <w:rsid w:val="00A97F0E"/>
    <w:rsid w:val="00AA02D4"/>
    <w:rsid w:val="00AA1B71"/>
    <w:rsid w:val="00AA2404"/>
    <w:rsid w:val="00AA31B0"/>
    <w:rsid w:val="00AA4062"/>
    <w:rsid w:val="00AA56A4"/>
    <w:rsid w:val="00AB019D"/>
    <w:rsid w:val="00AB33A7"/>
    <w:rsid w:val="00AB4EF5"/>
    <w:rsid w:val="00AB6D27"/>
    <w:rsid w:val="00AB6FD5"/>
    <w:rsid w:val="00AC08EC"/>
    <w:rsid w:val="00AC1C33"/>
    <w:rsid w:val="00AC445C"/>
    <w:rsid w:val="00AC5CD4"/>
    <w:rsid w:val="00AC7611"/>
    <w:rsid w:val="00AD0D4D"/>
    <w:rsid w:val="00AD23D0"/>
    <w:rsid w:val="00AD2B93"/>
    <w:rsid w:val="00AD3D67"/>
    <w:rsid w:val="00AD497A"/>
    <w:rsid w:val="00AD5BBB"/>
    <w:rsid w:val="00AD6104"/>
    <w:rsid w:val="00AD63F6"/>
    <w:rsid w:val="00AD6F69"/>
    <w:rsid w:val="00AD7033"/>
    <w:rsid w:val="00AD7399"/>
    <w:rsid w:val="00AE4E5E"/>
    <w:rsid w:val="00AE731A"/>
    <w:rsid w:val="00AE7FD2"/>
    <w:rsid w:val="00AF0EC5"/>
    <w:rsid w:val="00AF15E2"/>
    <w:rsid w:val="00AF1E0E"/>
    <w:rsid w:val="00AF23DE"/>
    <w:rsid w:val="00AF3A3E"/>
    <w:rsid w:val="00AF45AC"/>
    <w:rsid w:val="00AF5290"/>
    <w:rsid w:val="00AF594A"/>
    <w:rsid w:val="00AF5E5E"/>
    <w:rsid w:val="00AF6ADB"/>
    <w:rsid w:val="00B035D1"/>
    <w:rsid w:val="00B03A28"/>
    <w:rsid w:val="00B06E77"/>
    <w:rsid w:val="00B07498"/>
    <w:rsid w:val="00B075FF"/>
    <w:rsid w:val="00B10A94"/>
    <w:rsid w:val="00B1130E"/>
    <w:rsid w:val="00B1143D"/>
    <w:rsid w:val="00B11984"/>
    <w:rsid w:val="00B11D81"/>
    <w:rsid w:val="00B1296E"/>
    <w:rsid w:val="00B12A12"/>
    <w:rsid w:val="00B12C31"/>
    <w:rsid w:val="00B1362E"/>
    <w:rsid w:val="00B142E0"/>
    <w:rsid w:val="00B15F39"/>
    <w:rsid w:val="00B16ACB"/>
    <w:rsid w:val="00B1742A"/>
    <w:rsid w:val="00B204A1"/>
    <w:rsid w:val="00B21F10"/>
    <w:rsid w:val="00B22517"/>
    <w:rsid w:val="00B2465D"/>
    <w:rsid w:val="00B2713A"/>
    <w:rsid w:val="00B27C5F"/>
    <w:rsid w:val="00B31F5D"/>
    <w:rsid w:val="00B32CDD"/>
    <w:rsid w:val="00B33034"/>
    <w:rsid w:val="00B33BD3"/>
    <w:rsid w:val="00B34FEA"/>
    <w:rsid w:val="00B401C4"/>
    <w:rsid w:val="00B402A9"/>
    <w:rsid w:val="00B41184"/>
    <w:rsid w:val="00B4234F"/>
    <w:rsid w:val="00B423FA"/>
    <w:rsid w:val="00B4289E"/>
    <w:rsid w:val="00B434A7"/>
    <w:rsid w:val="00B44434"/>
    <w:rsid w:val="00B452D0"/>
    <w:rsid w:val="00B45571"/>
    <w:rsid w:val="00B46FB3"/>
    <w:rsid w:val="00B51B8B"/>
    <w:rsid w:val="00B51D74"/>
    <w:rsid w:val="00B5229B"/>
    <w:rsid w:val="00B54ADE"/>
    <w:rsid w:val="00B55C34"/>
    <w:rsid w:val="00B56F75"/>
    <w:rsid w:val="00B57F03"/>
    <w:rsid w:val="00B619EA"/>
    <w:rsid w:val="00B61A7F"/>
    <w:rsid w:val="00B63244"/>
    <w:rsid w:val="00B636AC"/>
    <w:rsid w:val="00B64C82"/>
    <w:rsid w:val="00B65A95"/>
    <w:rsid w:val="00B66062"/>
    <w:rsid w:val="00B66D42"/>
    <w:rsid w:val="00B66E41"/>
    <w:rsid w:val="00B712A6"/>
    <w:rsid w:val="00B71CB3"/>
    <w:rsid w:val="00B721FD"/>
    <w:rsid w:val="00B7294E"/>
    <w:rsid w:val="00B72BAF"/>
    <w:rsid w:val="00B73AB7"/>
    <w:rsid w:val="00B74AEE"/>
    <w:rsid w:val="00B75348"/>
    <w:rsid w:val="00B762DB"/>
    <w:rsid w:val="00B76FD5"/>
    <w:rsid w:val="00B815FD"/>
    <w:rsid w:val="00B81725"/>
    <w:rsid w:val="00B82DAE"/>
    <w:rsid w:val="00B83520"/>
    <w:rsid w:val="00B858AE"/>
    <w:rsid w:val="00B8697F"/>
    <w:rsid w:val="00B86BC8"/>
    <w:rsid w:val="00B90A9E"/>
    <w:rsid w:val="00B941A6"/>
    <w:rsid w:val="00B95A1E"/>
    <w:rsid w:val="00B97AC6"/>
    <w:rsid w:val="00BA4166"/>
    <w:rsid w:val="00BA55A8"/>
    <w:rsid w:val="00BA6AF0"/>
    <w:rsid w:val="00BA74C6"/>
    <w:rsid w:val="00BA7A10"/>
    <w:rsid w:val="00BB1479"/>
    <w:rsid w:val="00BB1844"/>
    <w:rsid w:val="00BB1D5E"/>
    <w:rsid w:val="00BB216F"/>
    <w:rsid w:val="00BB3DB9"/>
    <w:rsid w:val="00BB407C"/>
    <w:rsid w:val="00BB4686"/>
    <w:rsid w:val="00BB4B11"/>
    <w:rsid w:val="00BB7E3F"/>
    <w:rsid w:val="00BC1EC4"/>
    <w:rsid w:val="00BC256F"/>
    <w:rsid w:val="00BC356E"/>
    <w:rsid w:val="00BC362E"/>
    <w:rsid w:val="00BC671A"/>
    <w:rsid w:val="00BC7718"/>
    <w:rsid w:val="00BC7CB0"/>
    <w:rsid w:val="00BD24D1"/>
    <w:rsid w:val="00BD2DF6"/>
    <w:rsid w:val="00BD404C"/>
    <w:rsid w:val="00BD4981"/>
    <w:rsid w:val="00BD5066"/>
    <w:rsid w:val="00BD545C"/>
    <w:rsid w:val="00BD7D7A"/>
    <w:rsid w:val="00BE0D1F"/>
    <w:rsid w:val="00BE2A8C"/>
    <w:rsid w:val="00BE328A"/>
    <w:rsid w:val="00BE371B"/>
    <w:rsid w:val="00BE3FD8"/>
    <w:rsid w:val="00BE64FC"/>
    <w:rsid w:val="00BE7999"/>
    <w:rsid w:val="00BF2325"/>
    <w:rsid w:val="00BF2A58"/>
    <w:rsid w:val="00BF31CC"/>
    <w:rsid w:val="00BF379A"/>
    <w:rsid w:val="00BF5677"/>
    <w:rsid w:val="00BF6A75"/>
    <w:rsid w:val="00BF7B2E"/>
    <w:rsid w:val="00C025F2"/>
    <w:rsid w:val="00C03E0E"/>
    <w:rsid w:val="00C04324"/>
    <w:rsid w:val="00C04E1A"/>
    <w:rsid w:val="00C06133"/>
    <w:rsid w:val="00C06595"/>
    <w:rsid w:val="00C10324"/>
    <w:rsid w:val="00C1035C"/>
    <w:rsid w:val="00C105D7"/>
    <w:rsid w:val="00C107EE"/>
    <w:rsid w:val="00C11493"/>
    <w:rsid w:val="00C14B78"/>
    <w:rsid w:val="00C16510"/>
    <w:rsid w:val="00C20838"/>
    <w:rsid w:val="00C2217B"/>
    <w:rsid w:val="00C223CD"/>
    <w:rsid w:val="00C23E02"/>
    <w:rsid w:val="00C24386"/>
    <w:rsid w:val="00C25776"/>
    <w:rsid w:val="00C27AE9"/>
    <w:rsid w:val="00C27E3E"/>
    <w:rsid w:val="00C325DA"/>
    <w:rsid w:val="00C327F3"/>
    <w:rsid w:val="00C3556B"/>
    <w:rsid w:val="00C3609F"/>
    <w:rsid w:val="00C36118"/>
    <w:rsid w:val="00C36337"/>
    <w:rsid w:val="00C3696F"/>
    <w:rsid w:val="00C37D9B"/>
    <w:rsid w:val="00C413E4"/>
    <w:rsid w:val="00C41917"/>
    <w:rsid w:val="00C426E9"/>
    <w:rsid w:val="00C4548B"/>
    <w:rsid w:val="00C50596"/>
    <w:rsid w:val="00C51ABB"/>
    <w:rsid w:val="00C53BB6"/>
    <w:rsid w:val="00C57BDD"/>
    <w:rsid w:val="00C60605"/>
    <w:rsid w:val="00C60D33"/>
    <w:rsid w:val="00C61528"/>
    <w:rsid w:val="00C61E6E"/>
    <w:rsid w:val="00C64F93"/>
    <w:rsid w:val="00C66124"/>
    <w:rsid w:val="00C667AE"/>
    <w:rsid w:val="00C70C7A"/>
    <w:rsid w:val="00C73054"/>
    <w:rsid w:val="00C733D3"/>
    <w:rsid w:val="00C73BF4"/>
    <w:rsid w:val="00C7527E"/>
    <w:rsid w:val="00C7685A"/>
    <w:rsid w:val="00C76C70"/>
    <w:rsid w:val="00C7707E"/>
    <w:rsid w:val="00C80D9D"/>
    <w:rsid w:val="00C854C5"/>
    <w:rsid w:val="00C85B2E"/>
    <w:rsid w:val="00C90015"/>
    <w:rsid w:val="00C90333"/>
    <w:rsid w:val="00C90685"/>
    <w:rsid w:val="00C90A41"/>
    <w:rsid w:val="00C93B88"/>
    <w:rsid w:val="00C94759"/>
    <w:rsid w:val="00C94EE5"/>
    <w:rsid w:val="00C95166"/>
    <w:rsid w:val="00CA08FD"/>
    <w:rsid w:val="00CA11E5"/>
    <w:rsid w:val="00CA172D"/>
    <w:rsid w:val="00CA335D"/>
    <w:rsid w:val="00CA4C51"/>
    <w:rsid w:val="00CA58E1"/>
    <w:rsid w:val="00CA5ADB"/>
    <w:rsid w:val="00CA68E7"/>
    <w:rsid w:val="00CB0EA5"/>
    <w:rsid w:val="00CB0FCE"/>
    <w:rsid w:val="00CB513A"/>
    <w:rsid w:val="00CB53F8"/>
    <w:rsid w:val="00CB5EE9"/>
    <w:rsid w:val="00CB6153"/>
    <w:rsid w:val="00CB6C02"/>
    <w:rsid w:val="00CC1280"/>
    <w:rsid w:val="00CC3A13"/>
    <w:rsid w:val="00CC3A49"/>
    <w:rsid w:val="00CC4D5E"/>
    <w:rsid w:val="00CC5132"/>
    <w:rsid w:val="00CC6071"/>
    <w:rsid w:val="00CC7248"/>
    <w:rsid w:val="00CD0605"/>
    <w:rsid w:val="00CD1436"/>
    <w:rsid w:val="00CD22F9"/>
    <w:rsid w:val="00CD2825"/>
    <w:rsid w:val="00CD343A"/>
    <w:rsid w:val="00CD3648"/>
    <w:rsid w:val="00CD462C"/>
    <w:rsid w:val="00CD48EE"/>
    <w:rsid w:val="00CD5687"/>
    <w:rsid w:val="00CD6EC2"/>
    <w:rsid w:val="00CD75C7"/>
    <w:rsid w:val="00CD7DE1"/>
    <w:rsid w:val="00CE19FA"/>
    <w:rsid w:val="00CE1B16"/>
    <w:rsid w:val="00CE1E0A"/>
    <w:rsid w:val="00CE24FB"/>
    <w:rsid w:val="00CE75AC"/>
    <w:rsid w:val="00CF0668"/>
    <w:rsid w:val="00CF1ABC"/>
    <w:rsid w:val="00CF21D8"/>
    <w:rsid w:val="00CF32FA"/>
    <w:rsid w:val="00CF3AA6"/>
    <w:rsid w:val="00CF3B7F"/>
    <w:rsid w:val="00CF4FC4"/>
    <w:rsid w:val="00CF5117"/>
    <w:rsid w:val="00CF5E1C"/>
    <w:rsid w:val="00CF5ECB"/>
    <w:rsid w:val="00CF6383"/>
    <w:rsid w:val="00CF653E"/>
    <w:rsid w:val="00CF6F9E"/>
    <w:rsid w:val="00CF7BE0"/>
    <w:rsid w:val="00D013FD"/>
    <w:rsid w:val="00D02798"/>
    <w:rsid w:val="00D02BE8"/>
    <w:rsid w:val="00D040DA"/>
    <w:rsid w:val="00D04195"/>
    <w:rsid w:val="00D046D6"/>
    <w:rsid w:val="00D05CEF"/>
    <w:rsid w:val="00D10303"/>
    <w:rsid w:val="00D12282"/>
    <w:rsid w:val="00D13446"/>
    <w:rsid w:val="00D13817"/>
    <w:rsid w:val="00D13A24"/>
    <w:rsid w:val="00D15A4A"/>
    <w:rsid w:val="00D201DA"/>
    <w:rsid w:val="00D215CB"/>
    <w:rsid w:val="00D22056"/>
    <w:rsid w:val="00D220E2"/>
    <w:rsid w:val="00D222A1"/>
    <w:rsid w:val="00D243A5"/>
    <w:rsid w:val="00D2526B"/>
    <w:rsid w:val="00D264BE"/>
    <w:rsid w:val="00D26B73"/>
    <w:rsid w:val="00D2726D"/>
    <w:rsid w:val="00D274DC"/>
    <w:rsid w:val="00D30BF3"/>
    <w:rsid w:val="00D31203"/>
    <w:rsid w:val="00D31B6C"/>
    <w:rsid w:val="00D33F5B"/>
    <w:rsid w:val="00D356CC"/>
    <w:rsid w:val="00D367A9"/>
    <w:rsid w:val="00D3768D"/>
    <w:rsid w:val="00D37A5C"/>
    <w:rsid w:val="00D4093A"/>
    <w:rsid w:val="00D426BF"/>
    <w:rsid w:val="00D4281E"/>
    <w:rsid w:val="00D42BC6"/>
    <w:rsid w:val="00D4301E"/>
    <w:rsid w:val="00D4525A"/>
    <w:rsid w:val="00D506E9"/>
    <w:rsid w:val="00D519D1"/>
    <w:rsid w:val="00D553E5"/>
    <w:rsid w:val="00D5774E"/>
    <w:rsid w:val="00D60913"/>
    <w:rsid w:val="00D61B3A"/>
    <w:rsid w:val="00D62D47"/>
    <w:rsid w:val="00D64FD0"/>
    <w:rsid w:val="00D66013"/>
    <w:rsid w:val="00D67284"/>
    <w:rsid w:val="00D67679"/>
    <w:rsid w:val="00D67C8B"/>
    <w:rsid w:val="00D70AA6"/>
    <w:rsid w:val="00D7189B"/>
    <w:rsid w:val="00D72E41"/>
    <w:rsid w:val="00D73960"/>
    <w:rsid w:val="00D7398D"/>
    <w:rsid w:val="00D740A7"/>
    <w:rsid w:val="00D74E38"/>
    <w:rsid w:val="00D7522F"/>
    <w:rsid w:val="00D758EC"/>
    <w:rsid w:val="00D773D8"/>
    <w:rsid w:val="00D77699"/>
    <w:rsid w:val="00D77A17"/>
    <w:rsid w:val="00D77B3F"/>
    <w:rsid w:val="00D80224"/>
    <w:rsid w:val="00D8071D"/>
    <w:rsid w:val="00D82A8B"/>
    <w:rsid w:val="00D83AF5"/>
    <w:rsid w:val="00D84F53"/>
    <w:rsid w:val="00D85920"/>
    <w:rsid w:val="00D85D82"/>
    <w:rsid w:val="00D85FAA"/>
    <w:rsid w:val="00D865BB"/>
    <w:rsid w:val="00D877C3"/>
    <w:rsid w:val="00D9048A"/>
    <w:rsid w:val="00D92142"/>
    <w:rsid w:val="00D94A7B"/>
    <w:rsid w:val="00D95D5D"/>
    <w:rsid w:val="00DA1FCB"/>
    <w:rsid w:val="00DA397E"/>
    <w:rsid w:val="00DA4E92"/>
    <w:rsid w:val="00DB1635"/>
    <w:rsid w:val="00DB1BF7"/>
    <w:rsid w:val="00DB4E19"/>
    <w:rsid w:val="00DB5509"/>
    <w:rsid w:val="00DB5848"/>
    <w:rsid w:val="00DC1103"/>
    <w:rsid w:val="00DC46B8"/>
    <w:rsid w:val="00DC53EC"/>
    <w:rsid w:val="00DC5610"/>
    <w:rsid w:val="00DC59F9"/>
    <w:rsid w:val="00DC5EDB"/>
    <w:rsid w:val="00DC6D9D"/>
    <w:rsid w:val="00DC7CF8"/>
    <w:rsid w:val="00DD0764"/>
    <w:rsid w:val="00DD3477"/>
    <w:rsid w:val="00DD3D93"/>
    <w:rsid w:val="00DD5AAA"/>
    <w:rsid w:val="00DD6928"/>
    <w:rsid w:val="00DE042B"/>
    <w:rsid w:val="00DE0BE2"/>
    <w:rsid w:val="00DE1CF8"/>
    <w:rsid w:val="00DE2DEA"/>
    <w:rsid w:val="00DE3F40"/>
    <w:rsid w:val="00DE4AD2"/>
    <w:rsid w:val="00DE5B64"/>
    <w:rsid w:val="00DE5B7E"/>
    <w:rsid w:val="00DE61A4"/>
    <w:rsid w:val="00DE6E2C"/>
    <w:rsid w:val="00DE74E0"/>
    <w:rsid w:val="00DE75C5"/>
    <w:rsid w:val="00DF002B"/>
    <w:rsid w:val="00DF2AE4"/>
    <w:rsid w:val="00DF42DE"/>
    <w:rsid w:val="00DF47E7"/>
    <w:rsid w:val="00DF49C8"/>
    <w:rsid w:val="00DF53E5"/>
    <w:rsid w:val="00DF767C"/>
    <w:rsid w:val="00E00781"/>
    <w:rsid w:val="00E01BC1"/>
    <w:rsid w:val="00E01BEC"/>
    <w:rsid w:val="00E026DC"/>
    <w:rsid w:val="00E02E0C"/>
    <w:rsid w:val="00E036B1"/>
    <w:rsid w:val="00E04FDA"/>
    <w:rsid w:val="00E06326"/>
    <w:rsid w:val="00E06C1A"/>
    <w:rsid w:val="00E06F24"/>
    <w:rsid w:val="00E13B0E"/>
    <w:rsid w:val="00E15C59"/>
    <w:rsid w:val="00E15D7F"/>
    <w:rsid w:val="00E16261"/>
    <w:rsid w:val="00E16651"/>
    <w:rsid w:val="00E16D06"/>
    <w:rsid w:val="00E20312"/>
    <w:rsid w:val="00E20403"/>
    <w:rsid w:val="00E209B5"/>
    <w:rsid w:val="00E20DB7"/>
    <w:rsid w:val="00E2232F"/>
    <w:rsid w:val="00E2425E"/>
    <w:rsid w:val="00E26544"/>
    <w:rsid w:val="00E302BE"/>
    <w:rsid w:val="00E3075F"/>
    <w:rsid w:val="00E319E6"/>
    <w:rsid w:val="00E31F3F"/>
    <w:rsid w:val="00E321C8"/>
    <w:rsid w:val="00E32815"/>
    <w:rsid w:val="00E33AAC"/>
    <w:rsid w:val="00E40203"/>
    <w:rsid w:val="00E40D51"/>
    <w:rsid w:val="00E415A3"/>
    <w:rsid w:val="00E41A31"/>
    <w:rsid w:val="00E41AAA"/>
    <w:rsid w:val="00E443DE"/>
    <w:rsid w:val="00E46A38"/>
    <w:rsid w:val="00E4722B"/>
    <w:rsid w:val="00E50C23"/>
    <w:rsid w:val="00E52314"/>
    <w:rsid w:val="00E52942"/>
    <w:rsid w:val="00E52AE4"/>
    <w:rsid w:val="00E54F51"/>
    <w:rsid w:val="00E611A0"/>
    <w:rsid w:val="00E61AC7"/>
    <w:rsid w:val="00E631C1"/>
    <w:rsid w:val="00E638CF"/>
    <w:rsid w:val="00E64DBF"/>
    <w:rsid w:val="00E66D37"/>
    <w:rsid w:val="00E67310"/>
    <w:rsid w:val="00E71663"/>
    <w:rsid w:val="00E72050"/>
    <w:rsid w:val="00E7366F"/>
    <w:rsid w:val="00E74A9C"/>
    <w:rsid w:val="00E74CD6"/>
    <w:rsid w:val="00E751D0"/>
    <w:rsid w:val="00E8218C"/>
    <w:rsid w:val="00E8244F"/>
    <w:rsid w:val="00E8295B"/>
    <w:rsid w:val="00E83A0B"/>
    <w:rsid w:val="00E83B6C"/>
    <w:rsid w:val="00E83C20"/>
    <w:rsid w:val="00E877D7"/>
    <w:rsid w:val="00E87BF0"/>
    <w:rsid w:val="00E91FB2"/>
    <w:rsid w:val="00E9217E"/>
    <w:rsid w:val="00E93B3E"/>
    <w:rsid w:val="00E93C4D"/>
    <w:rsid w:val="00E93F42"/>
    <w:rsid w:val="00E95506"/>
    <w:rsid w:val="00E9604D"/>
    <w:rsid w:val="00E966AC"/>
    <w:rsid w:val="00E96B0E"/>
    <w:rsid w:val="00E96F9A"/>
    <w:rsid w:val="00E97B7D"/>
    <w:rsid w:val="00EA00D9"/>
    <w:rsid w:val="00EA076E"/>
    <w:rsid w:val="00EA0B15"/>
    <w:rsid w:val="00EA167E"/>
    <w:rsid w:val="00EA16B2"/>
    <w:rsid w:val="00EA3CB8"/>
    <w:rsid w:val="00EA4914"/>
    <w:rsid w:val="00EA7570"/>
    <w:rsid w:val="00EA7E87"/>
    <w:rsid w:val="00EB0871"/>
    <w:rsid w:val="00EB0B22"/>
    <w:rsid w:val="00EB1045"/>
    <w:rsid w:val="00EB18A9"/>
    <w:rsid w:val="00EB18D5"/>
    <w:rsid w:val="00EB1ADC"/>
    <w:rsid w:val="00EB36C9"/>
    <w:rsid w:val="00EB6A35"/>
    <w:rsid w:val="00EB6FF5"/>
    <w:rsid w:val="00EC30C5"/>
    <w:rsid w:val="00EC47C9"/>
    <w:rsid w:val="00EC61C4"/>
    <w:rsid w:val="00EC6461"/>
    <w:rsid w:val="00EC6A69"/>
    <w:rsid w:val="00ED0367"/>
    <w:rsid w:val="00ED1E24"/>
    <w:rsid w:val="00ED2A12"/>
    <w:rsid w:val="00ED3ACC"/>
    <w:rsid w:val="00ED4CDC"/>
    <w:rsid w:val="00ED67BD"/>
    <w:rsid w:val="00EE10D5"/>
    <w:rsid w:val="00EE1CC5"/>
    <w:rsid w:val="00EE22EE"/>
    <w:rsid w:val="00EE2FF5"/>
    <w:rsid w:val="00EE337A"/>
    <w:rsid w:val="00EE6B97"/>
    <w:rsid w:val="00EE6FBC"/>
    <w:rsid w:val="00EE7EB4"/>
    <w:rsid w:val="00EF149F"/>
    <w:rsid w:val="00EF1D9D"/>
    <w:rsid w:val="00EF52FD"/>
    <w:rsid w:val="00EF56C0"/>
    <w:rsid w:val="00EF731B"/>
    <w:rsid w:val="00EF7E88"/>
    <w:rsid w:val="00F009C1"/>
    <w:rsid w:val="00F023B2"/>
    <w:rsid w:val="00F025D4"/>
    <w:rsid w:val="00F037F8"/>
    <w:rsid w:val="00F03E93"/>
    <w:rsid w:val="00F041A6"/>
    <w:rsid w:val="00F0437A"/>
    <w:rsid w:val="00F05B2F"/>
    <w:rsid w:val="00F05F49"/>
    <w:rsid w:val="00F11341"/>
    <w:rsid w:val="00F11819"/>
    <w:rsid w:val="00F11B46"/>
    <w:rsid w:val="00F12D43"/>
    <w:rsid w:val="00F13062"/>
    <w:rsid w:val="00F1328B"/>
    <w:rsid w:val="00F146D7"/>
    <w:rsid w:val="00F14EC6"/>
    <w:rsid w:val="00F14EF2"/>
    <w:rsid w:val="00F1665D"/>
    <w:rsid w:val="00F17582"/>
    <w:rsid w:val="00F20CD4"/>
    <w:rsid w:val="00F236A0"/>
    <w:rsid w:val="00F24C7C"/>
    <w:rsid w:val="00F26503"/>
    <w:rsid w:val="00F26B75"/>
    <w:rsid w:val="00F277E6"/>
    <w:rsid w:val="00F278D2"/>
    <w:rsid w:val="00F31131"/>
    <w:rsid w:val="00F313D5"/>
    <w:rsid w:val="00F31E1E"/>
    <w:rsid w:val="00F348AE"/>
    <w:rsid w:val="00F3543A"/>
    <w:rsid w:val="00F35761"/>
    <w:rsid w:val="00F35C6B"/>
    <w:rsid w:val="00F416FF"/>
    <w:rsid w:val="00F4353D"/>
    <w:rsid w:val="00F43B30"/>
    <w:rsid w:val="00F44352"/>
    <w:rsid w:val="00F44AF7"/>
    <w:rsid w:val="00F44E60"/>
    <w:rsid w:val="00F46A1D"/>
    <w:rsid w:val="00F46DA2"/>
    <w:rsid w:val="00F5021A"/>
    <w:rsid w:val="00F511C1"/>
    <w:rsid w:val="00F52D81"/>
    <w:rsid w:val="00F54D93"/>
    <w:rsid w:val="00F56BC9"/>
    <w:rsid w:val="00F56C79"/>
    <w:rsid w:val="00F57598"/>
    <w:rsid w:val="00F57C43"/>
    <w:rsid w:val="00F61401"/>
    <w:rsid w:val="00F618D9"/>
    <w:rsid w:val="00F6248E"/>
    <w:rsid w:val="00F63C33"/>
    <w:rsid w:val="00F63F80"/>
    <w:rsid w:val="00F64437"/>
    <w:rsid w:val="00F64578"/>
    <w:rsid w:val="00F64AF9"/>
    <w:rsid w:val="00F64B41"/>
    <w:rsid w:val="00F64E90"/>
    <w:rsid w:val="00F65EEF"/>
    <w:rsid w:val="00F664EB"/>
    <w:rsid w:val="00F665F5"/>
    <w:rsid w:val="00F70136"/>
    <w:rsid w:val="00F703A6"/>
    <w:rsid w:val="00F70E7C"/>
    <w:rsid w:val="00F70FE2"/>
    <w:rsid w:val="00F71348"/>
    <w:rsid w:val="00F724A8"/>
    <w:rsid w:val="00F73151"/>
    <w:rsid w:val="00F737D0"/>
    <w:rsid w:val="00F74504"/>
    <w:rsid w:val="00F75BE7"/>
    <w:rsid w:val="00F765FE"/>
    <w:rsid w:val="00F76F26"/>
    <w:rsid w:val="00F77442"/>
    <w:rsid w:val="00F77737"/>
    <w:rsid w:val="00F82BC4"/>
    <w:rsid w:val="00F8489B"/>
    <w:rsid w:val="00F85BC6"/>
    <w:rsid w:val="00F8666A"/>
    <w:rsid w:val="00F86941"/>
    <w:rsid w:val="00F86E63"/>
    <w:rsid w:val="00F90A2B"/>
    <w:rsid w:val="00F93CC9"/>
    <w:rsid w:val="00F964B8"/>
    <w:rsid w:val="00F9750D"/>
    <w:rsid w:val="00F97F19"/>
    <w:rsid w:val="00FA0B1C"/>
    <w:rsid w:val="00FA1723"/>
    <w:rsid w:val="00FA2730"/>
    <w:rsid w:val="00FA477A"/>
    <w:rsid w:val="00FA4E3B"/>
    <w:rsid w:val="00FA59B2"/>
    <w:rsid w:val="00FA6128"/>
    <w:rsid w:val="00FA691C"/>
    <w:rsid w:val="00FA6FF9"/>
    <w:rsid w:val="00FA7683"/>
    <w:rsid w:val="00FA7E4C"/>
    <w:rsid w:val="00FB0E65"/>
    <w:rsid w:val="00FB380D"/>
    <w:rsid w:val="00FB4A30"/>
    <w:rsid w:val="00FC08BE"/>
    <w:rsid w:val="00FC375D"/>
    <w:rsid w:val="00FC5551"/>
    <w:rsid w:val="00FC5C1A"/>
    <w:rsid w:val="00FC5D48"/>
    <w:rsid w:val="00FC751A"/>
    <w:rsid w:val="00FD0A07"/>
    <w:rsid w:val="00FD0F69"/>
    <w:rsid w:val="00FD1490"/>
    <w:rsid w:val="00FD6052"/>
    <w:rsid w:val="00FD71B1"/>
    <w:rsid w:val="00FE04C4"/>
    <w:rsid w:val="00FE0938"/>
    <w:rsid w:val="00FE0C24"/>
    <w:rsid w:val="00FE22B0"/>
    <w:rsid w:val="00FE2B9B"/>
    <w:rsid w:val="00FE6E59"/>
    <w:rsid w:val="00FE6E67"/>
    <w:rsid w:val="00FF17AC"/>
    <w:rsid w:val="00FF1D02"/>
    <w:rsid w:val="00FF2A96"/>
    <w:rsid w:val="00FF306B"/>
    <w:rsid w:val="00FF4262"/>
    <w:rsid w:val="00FF64D3"/>
    <w:rsid w:val="00FF6919"/>
    <w:rsid w:val="00FF71FD"/>
    <w:rsid w:val="018D4D8B"/>
    <w:rsid w:val="01CE0CC4"/>
    <w:rsid w:val="02494520"/>
    <w:rsid w:val="03545522"/>
    <w:rsid w:val="03A0220E"/>
    <w:rsid w:val="04837950"/>
    <w:rsid w:val="04E100E2"/>
    <w:rsid w:val="05F97E20"/>
    <w:rsid w:val="08A77385"/>
    <w:rsid w:val="093A1FEB"/>
    <w:rsid w:val="09ED7B9B"/>
    <w:rsid w:val="0B3027E5"/>
    <w:rsid w:val="0BF6023B"/>
    <w:rsid w:val="0BF87840"/>
    <w:rsid w:val="0CF83475"/>
    <w:rsid w:val="0D82232A"/>
    <w:rsid w:val="0D8A269A"/>
    <w:rsid w:val="0E112789"/>
    <w:rsid w:val="0E7D56EA"/>
    <w:rsid w:val="0ED53D4E"/>
    <w:rsid w:val="0F6567F4"/>
    <w:rsid w:val="0FC450F7"/>
    <w:rsid w:val="0FCD65AD"/>
    <w:rsid w:val="102E2AAA"/>
    <w:rsid w:val="1038510C"/>
    <w:rsid w:val="10787AF5"/>
    <w:rsid w:val="107C1EDF"/>
    <w:rsid w:val="10910BDD"/>
    <w:rsid w:val="10E3104E"/>
    <w:rsid w:val="11B86CE7"/>
    <w:rsid w:val="11CC229E"/>
    <w:rsid w:val="12286E83"/>
    <w:rsid w:val="141244A9"/>
    <w:rsid w:val="147B4342"/>
    <w:rsid w:val="15E41115"/>
    <w:rsid w:val="170236F8"/>
    <w:rsid w:val="17F8711D"/>
    <w:rsid w:val="18733031"/>
    <w:rsid w:val="1938108A"/>
    <w:rsid w:val="19DC2839"/>
    <w:rsid w:val="19DD1868"/>
    <w:rsid w:val="19DE0442"/>
    <w:rsid w:val="1A785927"/>
    <w:rsid w:val="1B5951D6"/>
    <w:rsid w:val="1B970846"/>
    <w:rsid w:val="1BF75023"/>
    <w:rsid w:val="1CE976DC"/>
    <w:rsid w:val="1DD97C85"/>
    <w:rsid w:val="1E380C03"/>
    <w:rsid w:val="1E403484"/>
    <w:rsid w:val="1E8339C3"/>
    <w:rsid w:val="1E843B82"/>
    <w:rsid w:val="1F4E19BE"/>
    <w:rsid w:val="1FC451E2"/>
    <w:rsid w:val="20D243C3"/>
    <w:rsid w:val="212E48B5"/>
    <w:rsid w:val="222728ED"/>
    <w:rsid w:val="22577A8F"/>
    <w:rsid w:val="229630FF"/>
    <w:rsid w:val="2354517E"/>
    <w:rsid w:val="24211192"/>
    <w:rsid w:val="264C5B57"/>
    <w:rsid w:val="270D459A"/>
    <w:rsid w:val="275E609C"/>
    <w:rsid w:val="27983313"/>
    <w:rsid w:val="27E30039"/>
    <w:rsid w:val="28C77F98"/>
    <w:rsid w:val="292620AD"/>
    <w:rsid w:val="29734254"/>
    <w:rsid w:val="29FF5B5D"/>
    <w:rsid w:val="2A9657C0"/>
    <w:rsid w:val="2AE35478"/>
    <w:rsid w:val="2EAB2FB5"/>
    <w:rsid w:val="2EFC27EA"/>
    <w:rsid w:val="2F1B602B"/>
    <w:rsid w:val="2F2B2C0C"/>
    <w:rsid w:val="30CE650F"/>
    <w:rsid w:val="315B683E"/>
    <w:rsid w:val="33952891"/>
    <w:rsid w:val="33D45371"/>
    <w:rsid w:val="344D0F52"/>
    <w:rsid w:val="3495225E"/>
    <w:rsid w:val="34E66ADC"/>
    <w:rsid w:val="34F22B78"/>
    <w:rsid w:val="3523755E"/>
    <w:rsid w:val="352763C1"/>
    <w:rsid w:val="35781FCC"/>
    <w:rsid w:val="361F16EC"/>
    <w:rsid w:val="36D00D3C"/>
    <w:rsid w:val="373134D9"/>
    <w:rsid w:val="381E1B2E"/>
    <w:rsid w:val="3830152F"/>
    <w:rsid w:val="38565E57"/>
    <w:rsid w:val="38C46DE2"/>
    <w:rsid w:val="39401E50"/>
    <w:rsid w:val="3955612F"/>
    <w:rsid w:val="39E1261C"/>
    <w:rsid w:val="3B197E93"/>
    <w:rsid w:val="3C1828B5"/>
    <w:rsid w:val="3C5661D4"/>
    <w:rsid w:val="3D9759B3"/>
    <w:rsid w:val="3DA06EF1"/>
    <w:rsid w:val="3DC60D66"/>
    <w:rsid w:val="3E7954C9"/>
    <w:rsid w:val="3E7E565D"/>
    <w:rsid w:val="41E11A9A"/>
    <w:rsid w:val="42033A2F"/>
    <w:rsid w:val="42B56B65"/>
    <w:rsid w:val="42EE03E6"/>
    <w:rsid w:val="432C580D"/>
    <w:rsid w:val="438023E1"/>
    <w:rsid w:val="443E0938"/>
    <w:rsid w:val="44936E77"/>
    <w:rsid w:val="44A90D46"/>
    <w:rsid w:val="44D41630"/>
    <w:rsid w:val="44E239FE"/>
    <w:rsid w:val="4557474C"/>
    <w:rsid w:val="45B92952"/>
    <w:rsid w:val="46C900BA"/>
    <w:rsid w:val="470A230D"/>
    <w:rsid w:val="48BF30B0"/>
    <w:rsid w:val="48D017AD"/>
    <w:rsid w:val="4A203E98"/>
    <w:rsid w:val="4BD729A6"/>
    <w:rsid w:val="4BD73FEC"/>
    <w:rsid w:val="4CF60ECC"/>
    <w:rsid w:val="4D574027"/>
    <w:rsid w:val="4E213562"/>
    <w:rsid w:val="4E521CD2"/>
    <w:rsid w:val="4E866ADB"/>
    <w:rsid w:val="4F351CEE"/>
    <w:rsid w:val="4F7A058E"/>
    <w:rsid w:val="4F9A4720"/>
    <w:rsid w:val="50154505"/>
    <w:rsid w:val="506916E7"/>
    <w:rsid w:val="51664E84"/>
    <w:rsid w:val="51756383"/>
    <w:rsid w:val="51F44927"/>
    <w:rsid w:val="51FD16B4"/>
    <w:rsid w:val="53746F96"/>
    <w:rsid w:val="53B62B72"/>
    <w:rsid w:val="54EC49C3"/>
    <w:rsid w:val="574C7AEE"/>
    <w:rsid w:val="57616E6D"/>
    <w:rsid w:val="577F3F22"/>
    <w:rsid w:val="57AD4027"/>
    <w:rsid w:val="57F20B2A"/>
    <w:rsid w:val="58FB326D"/>
    <w:rsid w:val="5A1C4040"/>
    <w:rsid w:val="5BE714D8"/>
    <w:rsid w:val="5C28712D"/>
    <w:rsid w:val="5C933DBF"/>
    <w:rsid w:val="5D0E4BD9"/>
    <w:rsid w:val="5E321AB8"/>
    <w:rsid w:val="5E7972C5"/>
    <w:rsid w:val="5EA410AC"/>
    <w:rsid w:val="5EF16340"/>
    <w:rsid w:val="5F127B94"/>
    <w:rsid w:val="5FA54C6C"/>
    <w:rsid w:val="5FBB7B91"/>
    <w:rsid w:val="60713545"/>
    <w:rsid w:val="60AE0C82"/>
    <w:rsid w:val="60D2475F"/>
    <w:rsid w:val="61704591"/>
    <w:rsid w:val="62F17475"/>
    <w:rsid w:val="62FF23F5"/>
    <w:rsid w:val="63656D4A"/>
    <w:rsid w:val="648A4ED2"/>
    <w:rsid w:val="64F77D1A"/>
    <w:rsid w:val="66586F8B"/>
    <w:rsid w:val="672364AD"/>
    <w:rsid w:val="672474DB"/>
    <w:rsid w:val="6AFE7BA1"/>
    <w:rsid w:val="6B534B96"/>
    <w:rsid w:val="6C1A4777"/>
    <w:rsid w:val="6C7D7F8C"/>
    <w:rsid w:val="6CC25257"/>
    <w:rsid w:val="6CED177C"/>
    <w:rsid w:val="6F265E86"/>
    <w:rsid w:val="6F64138A"/>
    <w:rsid w:val="70290A71"/>
    <w:rsid w:val="72683B04"/>
    <w:rsid w:val="73251B53"/>
    <w:rsid w:val="75483D66"/>
    <w:rsid w:val="75E516CB"/>
    <w:rsid w:val="765D3A62"/>
    <w:rsid w:val="76C34A4D"/>
    <w:rsid w:val="773601B7"/>
    <w:rsid w:val="7802440A"/>
    <w:rsid w:val="78216DD8"/>
    <w:rsid w:val="7A3F2B4C"/>
    <w:rsid w:val="7A8B5CA8"/>
    <w:rsid w:val="7ABC1B0A"/>
    <w:rsid w:val="7AEE5391"/>
    <w:rsid w:val="7B365E5F"/>
    <w:rsid w:val="7CF75688"/>
    <w:rsid w:val="7D076108"/>
    <w:rsid w:val="7DC533BA"/>
    <w:rsid w:val="7EF66D57"/>
    <w:rsid w:val="7F2F39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5"/>
    <w:qFormat/>
    <w:uiPriority w:val="0"/>
    <w:pPr>
      <w:keepNext/>
      <w:keepLines/>
      <w:spacing w:before="340" w:after="330" w:line="576" w:lineRule="auto"/>
      <w:jc w:val="center"/>
      <w:outlineLvl w:val="0"/>
    </w:pPr>
    <w:rPr>
      <w:b/>
      <w:bCs/>
      <w:kern w:val="44"/>
      <w:sz w:val="36"/>
      <w:szCs w:val="44"/>
      <w:lang w:val="zh-CN"/>
    </w:rPr>
  </w:style>
  <w:style w:type="paragraph" w:styleId="4">
    <w:name w:val="heading 2"/>
    <w:basedOn w:val="1"/>
    <w:next w:val="1"/>
    <w:link w:val="36"/>
    <w:qFormat/>
    <w:uiPriority w:val="0"/>
    <w:pPr>
      <w:keepNext/>
      <w:keepLines/>
      <w:spacing w:before="260" w:after="260" w:line="413" w:lineRule="auto"/>
      <w:outlineLvl w:val="1"/>
    </w:pPr>
    <w:rPr>
      <w:rFonts w:ascii="Arial" w:hAnsi="Arial" w:eastAsia="黑体"/>
      <w:b/>
      <w:bCs/>
      <w:kern w:val="0"/>
      <w:sz w:val="32"/>
      <w:szCs w:val="32"/>
      <w:lang w:val="zh-CN"/>
    </w:rPr>
  </w:style>
  <w:style w:type="paragraph" w:styleId="5">
    <w:name w:val="heading 3"/>
    <w:basedOn w:val="1"/>
    <w:next w:val="1"/>
    <w:link w:val="37"/>
    <w:qFormat/>
    <w:uiPriority w:val="0"/>
    <w:pPr>
      <w:keepNext/>
      <w:keepLines/>
      <w:spacing w:before="260" w:after="260" w:line="413" w:lineRule="auto"/>
      <w:outlineLvl w:val="2"/>
    </w:pPr>
    <w:rPr>
      <w:b/>
      <w:bCs/>
      <w:kern w:val="0"/>
      <w:sz w:val="32"/>
      <w:szCs w:val="32"/>
    </w:rPr>
  </w:style>
  <w:style w:type="paragraph" w:styleId="6">
    <w:name w:val="heading 4"/>
    <w:basedOn w:val="1"/>
    <w:next w:val="1"/>
    <w:link w:val="38"/>
    <w:qFormat/>
    <w:uiPriority w:val="0"/>
    <w:pPr>
      <w:keepNext/>
      <w:spacing w:line="440" w:lineRule="exact"/>
      <w:jc w:val="center"/>
      <w:outlineLvl w:val="3"/>
    </w:pPr>
    <w:rPr>
      <w:rFonts w:ascii="仿宋_GB2312" w:eastAsia="仿宋_GB2312"/>
      <w:kern w:val="0"/>
      <w:szCs w:val="24"/>
    </w:rPr>
  </w:style>
  <w:style w:type="paragraph" w:styleId="7">
    <w:name w:val="heading 5"/>
    <w:basedOn w:val="1"/>
    <w:next w:val="1"/>
    <w:link w:val="39"/>
    <w:qFormat/>
    <w:uiPriority w:val="0"/>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8">
    <w:name w:val="heading 6"/>
    <w:basedOn w:val="1"/>
    <w:next w:val="1"/>
    <w:link w:val="40"/>
    <w:qFormat/>
    <w:uiPriority w:val="0"/>
    <w:pPr>
      <w:keepNext/>
      <w:keepLines/>
      <w:numPr>
        <w:ilvl w:val="5"/>
        <w:numId w:val="1"/>
      </w:numPr>
      <w:tabs>
        <w:tab w:val="left" w:pos="1152"/>
      </w:tabs>
      <w:suppressAutoHyphens/>
      <w:spacing w:before="240" w:after="64" w:line="317" w:lineRule="auto"/>
      <w:outlineLvl w:val="5"/>
    </w:pPr>
    <w:rPr>
      <w:rFonts w:ascii="Arial" w:hAnsi="Arial" w:eastAsia="黑体"/>
      <w:b/>
      <w:kern w:val="21"/>
      <w:sz w:val="24"/>
      <w:lang w:eastAsia="ar-SA"/>
    </w:rPr>
  </w:style>
  <w:style w:type="paragraph" w:styleId="9">
    <w:name w:val="heading 7"/>
    <w:basedOn w:val="1"/>
    <w:next w:val="1"/>
    <w:link w:val="41"/>
    <w:qFormat/>
    <w:uiPriority w:val="0"/>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10">
    <w:name w:val="heading 8"/>
    <w:basedOn w:val="1"/>
    <w:next w:val="1"/>
    <w:link w:val="42"/>
    <w:qFormat/>
    <w:uiPriority w:val="0"/>
    <w:pPr>
      <w:keepNext/>
      <w:keepLines/>
      <w:numPr>
        <w:ilvl w:val="7"/>
        <w:numId w:val="1"/>
      </w:numPr>
      <w:tabs>
        <w:tab w:val="left" w:pos="1440"/>
      </w:tabs>
      <w:suppressAutoHyphens/>
      <w:spacing w:before="240" w:after="64" w:line="317" w:lineRule="auto"/>
      <w:outlineLvl w:val="7"/>
    </w:pPr>
    <w:rPr>
      <w:rFonts w:ascii="Arial" w:hAnsi="Arial" w:eastAsia="黑体"/>
      <w:kern w:val="21"/>
      <w:sz w:val="24"/>
      <w:lang w:eastAsia="ar-SA"/>
    </w:rPr>
  </w:style>
  <w:style w:type="paragraph" w:styleId="11">
    <w:name w:val="heading 9"/>
    <w:basedOn w:val="1"/>
    <w:next w:val="1"/>
    <w:link w:val="43"/>
    <w:qFormat/>
    <w:uiPriority w:val="0"/>
    <w:pPr>
      <w:keepNext/>
      <w:keepLines/>
      <w:numPr>
        <w:ilvl w:val="8"/>
        <w:numId w:val="1"/>
      </w:numPr>
      <w:tabs>
        <w:tab w:val="left" w:pos="1584"/>
        <w:tab w:val="clear" w:pos="4329"/>
      </w:tabs>
      <w:suppressAutoHyphens/>
      <w:spacing w:before="240" w:after="64" w:line="317" w:lineRule="auto"/>
      <w:outlineLvl w:val="8"/>
    </w:pPr>
    <w:rPr>
      <w:rFonts w:ascii="Arial" w:hAnsi="Arial" w:eastAsia="黑体"/>
      <w:kern w:val="21"/>
      <w:sz w:val="21"/>
      <w:lang w:eastAsia="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styleId="12">
    <w:name w:val="Normal Indent"/>
    <w:basedOn w:val="1"/>
    <w:qFormat/>
    <w:uiPriority w:val="0"/>
    <w:pPr>
      <w:ind w:firstLine="420"/>
    </w:pPr>
  </w:style>
  <w:style w:type="paragraph" w:styleId="13">
    <w:name w:val="Body Text 3"/>
    <w:basedOn w:val="1"/>
    <w:link w:val="51"/>
    <w:qFormat/>
    <w:uiPriority w:val="0"/>
    <w:rPr>
      <w:rFonts w:ascii="黑体" w:hAnsi="Arial" w:eastAsia="黑体"/>
      <w:b/>
      <w:kern w:val="0"/>
    </w:rPr>
  </w:style>
  <w:style w:type="paragraph" w:styleId="14">
    <w:name w:val="Body Text Indent"/>
    <w:basedOn w:val="1"/>
    <w:link w:val="54"/>
    <w:semiHidden/>
    <w:unhideWhenUsed/>
    <w:qFormat/>
    <w:uiPriority w:val="99"/>
    <w:pPr>
      <w:spacing w:after="120"/>
      <w:ind w:left="420" w:leftChars="200"/>
    </w:pPr>
  </w:style>
  <w:style w:type="paragraph" w:styleId="15">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6">
    <w:name w:val="Plain Text"/>
    <w:basedOn w:val="1"/>
    <w:link w:val="46"/>
    <w:qFormat/>
    <w:uiPriority w:val="0"/>
    <w:rPr>
      <w:rFonts w:ascii="宋体" w:hAnsi="Courier New" w:cs="Courier New"/>
      <w:kern w:val="0"/>
      <w:sz w:val="20"/>
      <w:szCs w:val="21"/>
    </w:rPr>
  </w:style>
  <w:style w:type="paragraph" w:styleId="17">
    <w:name w:val="Balloon Text"/>
    <w:basedOn w:val="1"/>
    <w:link w:val="53"/>
    <w:semiHidden/>
    <w:unhideWhenUsed/>
    <w:qFormat/>
    <w:uiPriority w:val="99"/>
    <w:rPr>
      <w:sz w:val="18"/>
      <w:szCs w:val="18"/>
    </w:rPr>
  </w:style>
  <w:style w:type="paragraph" w:styleId="18">
    <w:name w:val="footer"/>
    <w:basedOn w:val="1"/>
    <w:link w:val="56"/>
    <w:unhideWhenUsed/>
    <w:qFormat/>
    <w:uiPriority w:val="99"/>
    <w:pPr>
      <w:tabs>
        <w:tab w:val="center" w:pos="4153"/>
        <w:tab w:val="right" w:pos="8306"/>
      </w:tabs>
      <w:snapToGrid w:val="0"/>
      <w:jc w:val="left"/>
    </w:pPr>
    <w:rPr>
      <w:sz w:val="18"/>
      <w:szCs w:val="18"/>
    </w:rPr>
  </w:style>
  <w:style w:type="paragraph" w:styleId="19">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b/>
      <w:bCs/>
      <w:caps/>
    </w:rPr>
  </w:style>
  <w:style w:type="paragraph" w:styleId="21">
    <w:name w:val="Subtitle"/>
    <w:basedOn w:val="1"/>
    <w:next w:val="1"/>
    <w:link w:val="45"/>
    <w:qFormat/>
    <w:uiPriority w:val="0"/>
    <w:pPr>
      <w:spacing w:before="240" w:after="60" w:line="312" w:lineRule="auto"/>
      <w:jc w:val="center"/>
      <w:outlineLvl w:val="1"/>
    </w:pPr>
    <w:rPr>
      <w:rFonts w:ascii="Cambria" w:hAnsi="Cambria" w:eastAsia="方正楷体简体"/>
      <w:bCs/>
      <w:kern w:val="28"/>
      <w:sz w:val="20"/>
      <w:szCs w:val="32"/>
    </w:rPr>
  </w:style>
  <w:style w:type="paragraph" w:styleId="22">
    <w:name w:val="toc 2"/>
    <w:basedOn w:val="1"/>
    <w:next w:val="1"/>
    <w:qFormat/>
    <w:uiPriority w:val="39"/>
    <w:pPr>
      <w:ind w:left="420" w:leftChars="200"/>
    </w:pPr>
    <w:rPr>
      <w:sz w:val="24"/>
    </w:rPr>
  </w:style>
  <w:style w:type="paragraph" w:styleId="23">
    <w:name w:val="Body Text 2"/>
    <w:basedOn w:val="1"/>
    <w:unhideWhenUsed/>
    <w:qFormat/>
    <w:uiPriority w:val="99"/>
    <w:pPr>
      <w:spacing w:line="480" w:lineRule="auto"/>
    </w:pPr>
  </w:style>
  <w:style w:type="paragraph" w:styleId="2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5">
    <w:name w:val="Title"/>
    <w:basedOn w:val="1"/>
    <w:next w:val="1"/>
    <w:link w:val="44"/>
    <w:qFormat/>
    <w:uiPriority w:val="99"/>
    <w:pPr>
      <w:spacing w:before="240" w:after="60"/>
      <w:jc w:val="center"/>
      <w:outlineLvl w:val="0"/>
    </w:pPr>
    <w:rPr>
      <w:rFonts w:ascii="Cambria" w:hAnsi="Cambria" w:eastAsia="方正小标宋简体"/>
      <w:b/>
      <w:bCs/>
      <w:kern w:val="0"/>
      <w:sz w:val="44"/>
      <w:szCs w:val="32"/>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rPr>
  </w:style>
  <w:style w:type="character" w:styleId="30">
    <w:name w:val="page number"/>
    <w:basedOn w:val="28"/>
    <w:qFormat/>
    <w:uiPriority w:val="0"/>
  </w:style>
  <w:style w:type="character" w:styleId="31">
    <w:name w:val="FollowedHyperlink"/>
    <w:basedOn w:val="28"/>
    <w:semiHidden/>
    <w:unhideWhenUsed/>
    <w:qFormat/>
    <w:uiPriority w:val="99"/>
    <w:rPr>
      <w:color w:val="0D203D"/>
      <w:u w:val="none"/>
    </w:rPr>
  </w:style>
  <w:style w:type="character" w:styleId="32">
    <w:name w:val="Emphasis"/>
    <w:qFormat/>
    <w:uiPriority w:val="0"/>
    <w:rPr>
      <w:rFonts w:hint="default" w:ascii="Times New Roman" w:hAnsi="Times New Roman" w:cs="Times New Roman"/>
    </w:rPr>
  </w:style>
  <w:style w:type="character" w:styleId="33">
    <w:name w:val="Hyperlink"/>
    <w:qFormat/>
    <w:uiPriority w:val="99"/>
    <w:rPr>
      <w:color w:val="0000FF"/>
      <w:u w:val="single"/>
    </w:rPr>
  </w:style>
  <w:style w:type="paragraph" w:customStyle="1" w:styleId="34">
    <w:name w:val="列出段落1"/>
    <w:basedOn w:val="1"/>
    <w:qFormat/>
    <w:uiPriority w:val="34"/>
    <w:pPr>
      <w:ind w:firstLine="420" w:firstLineChars="200"/>
    </w:pPr>
    <w:rPr>
      <w:rFonts w:ascii="Calibri" w:hAnsi="Calibri"/>
      <w:szCs w:val="22"/>
    </w:rPr>
  </w:style>
  <w:style w:type="character" w:customStyle="1" w:styleId="35">
    <w:name w:val="标题 1 字符"/>
    <w:link w:val="3"/>
    <w:qFormat/>
    <w:uiPriority w:val="0"/>
    <w:rPr>
      <w:rFonts w:ascii="Times New Roman" w:hAnsi="Times New Roman"/>
      <w:b/>
      <w:bCs/>
      <w:kern w:val="44"/>
      <w:sz w:val="36"/>
      <w:szCs w:val="44"/>
      <w:lang w:val="zh-CN" w:eastAsia="zh-CN"/>
    </w:rPr>
  </w:style>
  <w:style w:type="character" w:customStyle="1" w:styleId="36">
    <w:name w:val="标题 2 字符"/>
    <w:link w:val="4"/>
    <w:qFormat/>
    <w:uiPriority w:val="0"/>
    <w:rPr>
      <w:rFonts w:ascii="Arial" w:hAnsi="Arial" w:eastAsia="黑体"/>
      <w:b/>
      <w:bCs/>
      <w:sz w:val="32"/>
      <w:szCs w:val="32"/>
      <w:lang w:val="zh-CN" w:eastAsia="zh-CN"/>
    </w:rPr>
  </w:style>
  <w:style w:type="character" w:customStyle="1" w:styleId="37">
    <w:name w:val="标题 3 字符"/>
    <w:link w:val="5"/>
    <w:qFormat/>
    <w:uiPriority w:val="0"/>
    <w:rPr>
      <w:rFonts w:ascii="Times New Roman" w:hAnsi="Times New Roman"/>
      <w:b/>
      <w:bCs/>
      <w:sz w:val="32"/>
      <w:szCs w:val="32"/>
    </w:rPr>
  </w:style>
  <w:style w:type="character" w:customStyle="1" w:styleId="38">
    <w:name w:val="标题 4 字符"/>
    <w:link w:val="6"/>
    <w:qFormat/>
    <w:uiPriority w:val="0"/>
    <w:rPr>
      <w:rFonts w:ascii="仿宋_GB2312" w:hAnsi="Times New Roman" w:eastAsia="仿宋_GB2312"/>
      <w:sz w:val="28"/>
      <w:szCs w:val="24"/>
    </w:rPr>
  </w:style>
  <w:style w:type="character" w:customStyle="1" w:styleId="39">
    <w:name w:val="标题 5 字符"/>
    <w:link w:val="7"/>
    <w:qFormat/>
    <w:uiPriority w:val="0"/>
    <w:rPr>
      <w:rFonts w:ascii="宋体" w:hAnsi="宋体"/>
      <w:b/>
      <w:kern w:val="21"/>
      <w:sz w:val="28"/>
      <w:lang w:eastAsia="ar-SA"/>
    </w:rPr>
  </w:style>
  <w:style w:type="character" w:customStyle="1" w:styleId="40">
    <w:name w:val="标题 6 字符"/>
    <w:link w:val="8"/>
    <w:qFormat/>
    <w:uiPriority w:val="0"/>
    <w:rPr>
      <w:rFonts w:ascii="Arial" w:hAnsi="Arial" w:eastAsia="黑体"/>
      <w:b/>
      <w:kern w:val="21"/>
      <w:sz w:val="24"/>
      <w:lang w:eastAsia="ar-SA"/>
    </w:rPr>
  </w:style>
  <w:style w:type="character" w:customStyle="1" w:styleId="41">
    <w:name w:val="标题 7 字符"/>
    <w:link w:val="9"/>
    <w:qFormat/>
    <w:uiPriority w:val="0"/>
    <w:rPr>
      <w:rFonts w:ascii="宋体" w:hAnsi="宋体"/>
      <w:b/>
      <w:kern w:val="21"/>
      <w:sz w:val="24"/>
      <w:lang w:eastAsia="ar-SA"/>
    </w:rPr>
  </w:style>
  <w:style w:type="character" w:customStyle="1" w:styleId="42">
    <w:name w:val="标题 8 字符"/>
    <w:link w:val="10"/>
    <w:qFormat/>
    <w:uiPriority w:val="0"/>
    <w:rPr>
      <w:rFonts w:ascii="Arial" w:hAnsi="Arial" w:eastAsia="黑体"/>
      <w:kern w:val="21"/>
      <w:sz w:val="24"/>
      <w:lang w:eastAsia="ar-SA"/>
    </w:rPr>
  </w:style>
  <w:style w:type="character" w:customStyle="1" w:styleId="43">
    <w:name w:val="标题 9 字符"/>
    <w:link w:val="11"/>
    <w:qFormat/>
    <w:uiPriority w:val="0"/>
    <w:rPr>
      <w:rFonts w:ascii="Arial" w:hAnsi="Arial" w:eastAsia="黑体"/>
      <w:kern w:val="21"/>
      <w:sz w:val="21"/>
      <w:lang w:eastAsia="ar-SA"/>
    </w:rPr>
  </w:style>
  <w:style w:type="character" w:customStyle="1" w:styleId="44">
    <w:name w:val="标题 字符"/>
    <w:link w:val="25"/>
    <w:qFormat/>
    <w:uiPriority w:val="99"/>
    <w:rPr>
      <w:rFonts w:ascii="Cambria" w:hAnsi="Cambria" w:eastAsia="方正小标宋简体"/>
      <w:b/>
      <w:bCs/>
      <w:sz w:val="44"/>
      <w:szCs w:val="32"/>
    </w:rPr>
  </w:style>
  <w:style w:type="character" w:customStyle="1" w:styleId="45">
    <w:name w:val="副标题 字符"/>
    <w:link w:val="21"/>
    <w:qFormat/>
    <w:uiPriority w:val="0"/>
    <w:rPr>
      <w:rFonts w:ascii="Cambria" w:hAnsi="Cambria" w:eastAsia="方正楷体简体"/>
      <w:bCs/>
      <w:kern w:val="28"/>
      <w:szCs w:val="32"/>
    </w:rPr>
  </w:style>
  <w:style w:type="character" w:customStyle="1" w:styleId="46">
    <w:name w:val="纯文本 字符"/>
    <w:link w:val="16"/>
    <w:qFormat/>
    <w:uiPriority w:val="99"/>
    <w:rPr>
      <w:rFonts w:ascii="宋体" w:hAnsi="Courier New" w:cs="Courier New"/>
      <w:szCs w:val="21"/>
    </w:rPr>
  </w:style>
  <w:style w:type="paragraph" w:styleId="47">
    <w:name w:val="No Spacing"/>
    <w:link w:val="48"/>
    <w:qFormat/>
    <w:uiPriority w:val="0"/>
    <w:rPr>
      <w:rFonts w:ascii="Calibri" w:hAnsi="Calibri" w:eastAsia="宋体" w:cs="Times New Roman"/>
      <w:sz w:val="22"/>
      <w:lang w:val="en-US" w:eastAsia="zh-CN" w:bidi="ar-SA"/>
    </w:rPr>
  </w:style>
  <w:style w:type="character" w:customStyle="1" w:styleId="48">
    <w:name w:val="无间隔 字符"/>
    <w:link w:val="47"/>
    <w:qFormat/>
    <w:uiPriority w:val="0"/>
    <w:rPr>
      <w:sz w:val="22"/>
    </w:rPr>
  </w:style>
  <w:style w:type="paragraph" w:styleId="49">
    <w:name w:val="List Paragraph"/>
    <w:basedOn w:val="1"/>
    <w:qFormat/>
    <w:uiPriority w:val="34"/>
    <w:pPr>
      <w:ind w:firstLine="420" w:firstLineChars="200"/>
    </w:pPr>
    <w:rPr>
      <w:szCs w:val="21"/>
    </w:rPr>
  </w:style>
  <w:style w:type="paragraph" w:customStyle="1" w:styleId="5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51">
    <w:name w:val="正文文本 3 字符"/>
    <w:link w:val="13"/>
    <w:qFormat/>
    <w:uiPriority w:val="0"/>
    <w:rPr>
      <w:rFonts w:ascii="黑体" w:hAnsi="Arial" w:eastAsia="黑体"/>
      <w:b/>
      <w:sz w:val="28"/>
    </w:rPr>
  </w:style>
  <w:style w:type="character" w:customStyle="1" w:styleId="52">
    <w:name w:val="正文文本 3 Char1"/>
    <w:basedOn w:val="28"/>
    <w:semiHidden/>
    <w:qFormat/>
    <w:uiPriority w:val="99"/>
    <w:rPr>
      <w:rFonts w:ascii="Times New Roman" w:hAnsi="Times New Roman"/>
      <w:kern w:val="2"/>
      <w:sz w:val="16"/>
      <w:szCs w:val="16"/>
    </w:rPr>
  </w:style>
  <w:style w:type="character" w:customStyle="1" w:styleId="53">
    <w:name w:val="批注框文本 字符"/>
    <w:basedOn w:val="28"/>
    <w:link w:val="17"/>
    <w:semiHidden/>
    <w:qFormat/>
    <w:uiPriority w:val="99"/>
    <w:rPr>
      <w:rFonts w:ascii="Times New Roman" w:hAnsi="Times New Roman"/>
      <w:kern w:val="2"/>
      <w:sz w:val="18"/>
      <w:szCs w:val="18"/>
    </w:rPr>
  </w:style>
  <w:style w:type="character" w:customStyle="1" w:styleId="54">
    <w:name w:val="正文文本缩进 字符"/>
    <w:basedOn w:val="28"/>
    <w:link w:val="14"/>
    <w:semiHidden/>
    <w:qFormat/>
    <w:uiPriority w:val="99"/>
    <w:rPr>
      <w:rFonts w:ascii="Times New Roman" w:hAnsi="Times New Roman"/>
      <w:kern w:val="2"/>
      <w:sz w:val="28"/>
    </w:rPr>
  </w:style>
  <w:style w:type="character" w:customStyle="1" w:styleId="55">
    <w:name w:val="页眉 字符"/>
    <w:basedOn w:val="28"/>
    <w:link w:val="19"/>
    <w:qFormat/>
    <w:uiPriority w:val="99"/>
    <w:rPr>
      <w:rFonts w:ascii="Times New Roman" w:hAnsi="Times New Roman"/>
      <w:kern w:val="2"/>
      <w:sz w:val="18"/>
      <w:szCs w:val="18"/>
    </w:rPr>
  </w:style>
  <w:style w:type="character" w:customStyle="1" w:styleId="56">
    <w:name w:val="页脚 字符"/>
    <w:basedOn w:val="28"/>
    <w:link w:val="18"/>
    <w:qFormat/>
    <w:uiPriority w:val="99"/>
    <w:rPr>
      <w:rFonts w:ascii="Times New Roman" w:hAnsi="Times New Roman"/>
      <w:kern w:val="2"/>
      <w:sz w:val="18"/>
      <w:szCs w:val="18"/>
    </w:rPr>
  </w:style>
  <w:style w:type="paragraph" w:customStyle="1" w:styleId="5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纯文本1"/>
    <w:basedOn w:val="1"/>
    <w:qFormat/>
    <w:uiPriority w:val="0"/>
    <w:rPr>
      <w:rFonts w:ascii="宋体" w:hAnsi="Courier New"/>
    </w:rPr>
  </w:style>
  <w:style w:type="character" w:customStyle="1" w:styleId="59">
    <w:name w:val="纯文本 Char"/>
    <w:qFormat/>
    <w:uiPriority w:val="0"/>
    <w:rPr>
      <w:rFonts w:ascii="宋体" w:hAnsi="Courier New" w:eastAsia="宋体" w:cs="Courier New"/>
      <w:szCs w:val="21"/>
    </w:rPr>
  </w:style>
  <w:style w:type="paragraph" w:customStyle="1" w:styleId="60">
    <w:name w:val="Body Text 21"/>
    <w:basedOn w:val="1"/>
    <w:qFormat/>
    <w:uiPriority w:val="0"/>
    <w:pPr>
      <w:spacing w:after="120" w:line="480" w:lineRule="auto"/>
    </w:pPr>
    <w:rPr>
      <w:rFonts w:ascii="Calibri" w:hAnsi="Calibri"/>
    </w:rPr>
  </w:style>
  <w:style w:type="paragraph" w:customStyle="1" w:styleId="61">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paragraph" w:customStyle="1" w:styleId="62">
    <w:name w:val="Normal_1"/>
    <w:qFormat/>
    <w:uiPriority w:val="0"/>
    <w:rPr>
      <w:rFonts w:asciiTheme="minorHAnsi" w:hAnsiTheme="minorHAnsi" w:eastAsiaTheme="minorEastAsia" w:cstheme="minorBidi"/>
      <w:sz w:val="24"/>
      <w:szCs w:val="24"/>
      <w:lang w:val="en-US" w:eastAsia="zh-CN" w:bidi="ar-SA"/>
    </w:rPr>
  </w:style>
  <w:style w:type="paragraph" w:customStyle="1" w:styleId="63">
    <w:name w:val="Body text|1"/>
    <w:basedOn w:val="1"/>
    <w:qFormat/>
    <w:uiPriority w:val="0"/>
    <w:pPr>
      <w:widowControl w:val="0"/>
      <w:shd w:val="clear" w:color="auto" w:fill="auto"/>
      <w:spacing w:line="425" w:lineRule="auto"/>
      <w:ind w:firstLine="400"/>
    </w:pPr>
    <w:rPr>
      <w:rFonts w:ascii="宋体" w:hAnsi="宋体" w:eastAsia="宋体" w:cs="宋体"/>
      <w:color w:val="231E20"/>
      <w:sz w:val="30"/>
      <w:szCs w:val="30"/>
      <w:u w:val="none"/>
      <w:shd w:val="clear" w:color="auto" w:fill="auto"/>
      <w:lang w:val="zh-TW" w:eastAsia="zh-TW" w:bidi="zh-TW"/>
    </w:rPr>
  </w:style>
  <w:style w:type="paragraph" w:customStyle="1" w:styleId="64">
    <w:name w:val="Heading #2|1"/>
    <w:basedOn w:val="1"/>
    <w:qFormat/>
    <w:uiPriority w:val="0"/>
    <w:pPr>
      <w:widowControl w:val="0"/>
      <w:shd w:val="clear" w:color="auto" w:fill="auto"/>
      <w:spacing w:after="900" w:line="617"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65">
    <w:name w:val="Body text|3"/>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paragraph" w:customStyle="1" w:styleId="66">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86A04-244A-41B2-874D-FFD6E37C200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4512</Words>
  <Characters>25720</Characters>
  <Lines>214</Lines>
  <Paragraphs>60</Paragraphs>
  <TotalTime>52</TotalTime>
  <ScaleCrop>false</ScaleCrop>
  <LinksUpToDate>false</LinksUpToDate>
  <CharactersWithSpaces>30172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2020-02-25T14:03:00Z</dcterms:created>
  <dc:creator>Administrator</dc:creator>
  <cp:lastModifiedBy>♔ ゛S</cp:lastModifiedBy>
  <cp:lastPrinted>2020-04-02T08:54:00Z</cp:lastPrinted>
  <dcterms:modified xsi:type="dcterms:W3CDTF">2020-04-03T01:52:45Z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