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采购合同</w:t>
      </w:r>
    </w:p>
    <w:p>
      <w:pPr>
        <w:widowControl/>
        <w:ind w:left="279" w:leftChars="133" w:firstLine="0" w:firstLineChars="0"/>
        <w:rPr>
          <w:rFonts w:hint="eastAsia" w:ascii="仿宋" w:hAnsi="仿宋" w:eastAsia="仿宋" w:cs="Calibr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甲方：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鄂尔多斯市蒙医医院（鄂尔多斯市蒙医研究所）  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：江西念可贸易有限公司</w:t>
      </w:r>
    </w:p>
    <w:p>
      <w:pPr>
        <w:widowControl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合同号：（SMYYZCB-2023-0043）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根据《中华人民共和国政府采购法》、《中华人民共和国合同法》等相关法律法规，甲、乙双方就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鄂尔多斯市蒙医医院（鄂尔多斯市蒙医研究所）制剂设备采购项目，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经平等自愿协商一致达成合同如下：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一、合同文件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本合同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是构成本合同不可分割的部分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二、本合同所提供的标的物、数量及规格等详见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招标文件</w:t>
      </w:r>
      <w:r>
        <w:rPr>
          <w:rFonts w:hint="eastAsia" w:ascii="黑体" w:hAnsi="黑体" w:eastAsia="黑体" w:cs="黑体"/>
          <w:kern w:val="0"/>
          <w:sz w:val="32"/>
          <w:szCs w:val="32"/>
        </w:rPr>
        <w:t>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三、合同金额</w:t>
      </w:r>
    </w:p>
    <w:p>
      <w:pPr>
        <w:widowControl/>
        <w:ind w:left="279" w:leftChars="133" w:firstLine="662" w:firstLineChars="207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合同金额为人民币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1118000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元，大写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壹佰壹拾壹万捌仟元整。</w:t>
      </w:r>
    </w:p>
    <w:p>
      <w:pPr>
        <w:widowControl/>
        <w:numPr>
          <w:ilvl w:val="0"/>
          <w:numId w:val="1"/>
        </w:numPr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付款方式及时间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：支付比例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0%，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447200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肆拾肆万柒仟贰佰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元整），合同签订后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乙方按照甲方要求，将设备安装完毕后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开具全额发票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2期：支付比例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670800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陆拾柒万零捌佰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元整）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乙方调试好设备正常运行，经甲方验收合格后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余款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五、交货安装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交货时间：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15个日历日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</w:t>
      </w:r>
    </w:p>
    <w:p>
      <w:pPr>
        <w:widowControl/>
        <w:ind w:firstLine="645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交货地点：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鄂尔多斯市蒙医医院制剂室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六、质量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乙方提供的标的物应符合国家相关质量验收标准，且能够提供相关权威部门出具的产品质量检测报告；提供的相关服务符合国家（或行业）规定标准。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七、包装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标的物的包装应按照国家或者行业主管部门的技术规定执行，国家或业务主管部门无技术规定的，应当按双方约定采取足以保护标的物安全、完好的包装方式。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八、运输要求</w:t>
      </w:r>
    </w:p>
    <w:p>
      <w:pPr>
        <w:widowControl/>
        <w:ind w:firstLine="645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（一）运输方式及线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路：乙方确定。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（二）运输及相关费用由乙方承担。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九、知识产权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乙方应保证甲方在中国境内使用标的物或标的物的任何一部分时，免受第三方提出的侵犯其知识产权的诉讼。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十、验收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（一）乙方将标的物送达至甲方指定的地点后，由甲乙双方及第三方（如有）一同验收并签字确认。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（二）对标的物的质量问题，甲方应在发现后向乙方提出书面异议，乙方在接到书面异议后，应当在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日内负责处理。甲方逾期提出的，对所交标的物视为符合合同的规定。如果乙方在投标文件及谈判过程中做出的书面说明及承诺中，有明确质量保证期的，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适用质量保证期一年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（三）经双方共同验收，标的物达不到质量或规格要求的，甲方可以拒收，并可解除合同且不承担任何法律责任，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十一、售后服务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（一）乙方应按招标文件、投标文件及乙方在谈判过程中做出的书面说明或承诺提供及时、快速、优质的售后服务。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（二）其他售后服务内容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十二、违约条款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（一）乙方逾期交付标的物、甲方逾期付款，按日承担违约部分合同金额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0.5%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的违约金。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（二）其他违约责任以相关法律法规规定为准，无相关规定的，双方协商解决。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十三、不可抗力条款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因不可抗力致使一方不能及时或完全履行合同的，应及时通知另一方，双方互不承担责任，并在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天内提供有关不可抗力的相关证明。合同未履行部分是否继续履行、如何履行等问题，双方协商解决。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十四、争议的解决方式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合同发生纠纷时，双方应协商解决，协商不成可以采用下列方式解决：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（一）提交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甲方所在当地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仲裁委员会仲裁。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甲方所在当地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法院起诉。</w:t>
      </w:r>
    </w:p>
    <w:p>
      <w:pPr>
        <w:widowControl/>
        <w:ind w:firstLine="64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十五、合同保存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合同文本一式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份，采购单位、供应商各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份，自双方签订之日起生效。</w:t>
      </w:r>
    </w:p>
    <w:p>
      <w:pPr>
        <w:widowControl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本合同共5页。</w:t>
      </w:r>
    </w:p>
    <w:p>
      <w:pPr>
        <w:widowControl/>
        <w:ind w:left="279" w:leftChars="133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left="279" w:leftChars="133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方：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鄂尔多斯市蒙医医院（鄂尔多斯市蒙医研究所）</w:t>
      </w:r>
    </w:p>
    <w:p>
      <w:pPr>
        <w:widowControl/>
        <w:ind w:left="279" w:leftChars="133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采购方代表：（签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320" w:firstLineChars="1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0477—8395021</w:t>
      </w:r>
    </w:p>
    <w:p>
      <w:pPr>
        <w:widowControl/>
        <w:ind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开户银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行：中国建设银行康巴什支行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   </w:t>
      </w:r>
    </w:p>
    <w:p>
      <w:pPr>
        <w:widowControl/>
        <w:ind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帐   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1500 1686 6480 5250 1940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                       </w:t>
      </w:r>
    </w:p>
    <w:p>
      <w:pPr>
        <w:widowControl/>
        <w:ind w:left="2879" w:leftChars="152" w:hanging="2560" w:hangingChars="8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乙  方：江西念可贸易有限公司</w:t>
      </w:r>
    </w:p>
    <w:p>
      <w:pPr>
        <w:widowControl/>
        <w:ind w:left="279" w:leftChars="133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供货方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法人代表：（签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left="1919" w:leftChars="152" w:hanging="1600" w:hangingChars="5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开户银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行：中国银行股份有限公司萍乡市分行</w:t>
      </w:r>
    </w:p>
    <w:p>
      <w:pPr>
        <w:widowControl/>
        <w:ind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帐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193256940500</w:t>
      </w:r>
    </w:p>
    <w:p>
      <w:pPr>
        <w:widowControl/>
        <w:ind w:firstLine="320" w:firstLineChars="1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：李圣辉17647363136</w:t>
      </w:r>
    </w:p>
    <w:p>
      <w:pPr>
        <w:widowControl/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firstLine="3520" w:firstLineChars="11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签订时间    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widowControl/>
        <w:ind w:firstLine="320" w:firstLineChars="1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jc w:val="left"/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附表：</w:t>
      </w:r>
    </w:p>
    <w:p>
      <w:pPr>
        <w:pStyle w:val="4"/>
      </w:pPr>
    </w:p>
    <w:tbl>
      <w:tblPr>
        <w:tblStyle w:val="5"/>
        <w:tblW w:w="110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15"/>
        <w:gridCol w:w="1230"/>
        <w:gridCol w:w="1456"/>
        <w:gridCol w:w="999"/>
        <w:gridCol w:w="835"/>
        <w:gridCol w:w="1750"/>
        <w:gridCol w:w="851"/>
        <w:gridCol w:w="784"/>
        <w:gridCol w:w="805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品目号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产地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制造商名称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台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1-1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膏方包装机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YB10-50A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北京东华原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北京东华原医疗设备有限责任公司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54300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217200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采购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处方调配膏药机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DW-CFTP2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铎文医疗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山东铎文医疗科技有限公司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1-2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自动调膏机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ZDTG-6L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北京东华原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北京东华原医疗设备有限责任公司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多功能真空浓缩收膏机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YZN50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北京东华原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北京东华原医疗设备有限责任公司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99500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398000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1-3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粉碎机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KRT-300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锟捷玉诚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北京锟捷玉诚机械设备有限公司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隔音房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外径1.3×1.2×2.1（米）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田野声学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徐州市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徐州市田野声学科技有限公司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混合机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U-20(B20)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锟捷玉诚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北京锟捷玉诚机械设备有限公司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小型制丸机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ZW-20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锟捷玉诚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北京锟捷玉诚机械设备有限公司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口服液灌封机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HGF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海众机械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浙江海众机械有限公司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473870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473870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粉剂包装机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DXDF-40II/150II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汉顿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天津汉顿食品包装机械厂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丸剂包装机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DXDP-40II/150II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汉顿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天津汉顿食品包装机械厂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货物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01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合计金额：1118000元（壹佰壹拾壹万捌仟元整）</w:t>
            </w:r>
          </w:p>
        </w:tc>
      </w:tr>
    </w:tbl>
    <w:p>
      <w:pPr>
        <w:pStyle w:val="4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F76D8-B97A-4C83-8BAE-CAE74EC3B5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0D0FC1-555F-4BF9-95C4-E64F6DF9DC6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647A0F6-C3C0-4242-8B01-6006C1CA95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707364-C0B6-4BFE-B170-28F4F14B22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92EE267-144C-42F8-A73B-2612E035DED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3B4F2"/>
    <w:multiLevelType w:val="singleLevel"/>
    <w:tmpl w:val="58C3B4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DRkNzgxOTUyMTRhZTk1MjJlNzJlYzIzZDUwMWQifQ=="/>
  </w:docVars>
  <w:rsids>
    <w:rsidRoot w:val="7C175F60"/>
    <w:rsid w:val="7C1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18"/>
      <w:szCs w:val="18"/>
      <w:lang w:val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64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1768</Words>
  <Characters>2020</Characters>
  <Lines>0</Lines>
  <Paragraphs>0</Paragraphs>
  <TotalTime>3</TotalTime>
  <ScaleCrop>false</ScaleCrop>
  <LinksUpToDate>false</LinksUpToDate>
  <CharactersWithSpaces>2134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2023-11-15T09:06:00Z</dcterms:created>
  <dc:creator>敏娜</dc:creator>
  <cp:lastModifiedBy>敏娜</cp:lastModifiedBy>
  <cp:lastPrinted>2023-11-15T09:27:43Z</cp:lastPrinted>
  <dcterms:modified xsi:type="dcterms:W3CDTF">2023-11-15T09:31:00Z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59893640D17D47F5A590C7A6FC85F618_11</vt:lpwstr>
  </property>
</Properties>
</file>