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b/>
          <w:sz w:val="24"/>
          <w:lang w:val="en-US" w:eastAsia="zh-CN"/>
        </w:rPr>
      </w:pPr>
      <w:bookmarkStart w:id="1" w:name="_GoBack"/>
      <w:bookmarkEnd w:id="1"/>
      <w:r>
        <w:rPr>
          <w:rFonts w:hint="eastAsia"/>
          <w:b/>
          <w:bCs/>
          <w:sz w:val="24"/>
          <w:lang w:eastAsia="zh-CN"/>
        </w:rPr>
        <w:t>附件一</w:t>
      </w:r>
      <w:r>
        <w:rPr>
          <w:rFonts w:hint="eastAsia"/>
          <w:b/>
          <w:bCs/>
          <w:sz w:val="24"/>
          <w:lang w:val="en-US" w:eastAsia="zh-CN"/>
        </w:rPr>
        <w:t xml:space="preserve"> 、投标</w:t>
      </w:r>
      <w:r>
        <w:rPr>
          <w:rFonts w:hint="eastAsia" w:ascii="宋体" w:hAnsi="宋体"/>
          <w:b/>
          <w:sz w:val="24"/>
          <w:lang w:val="en-US" w:eastAsia="zh-CN"/>
        </w:rPr>
        <w:t>比选办法</w:t>
      </w:r>
    </w:p>
    <w:p>
      <w:pPr>
        <w:widowControl/>
        <w:jc w:val="left"/>
        <w:rPr>
          <w:rFonts w:hint="eastAsia"/>
          <w:b/>
          <w:bCs/>
          <w:sz w:val="24"/>
          <w:lang w:eastAsia="zh-CN"/>
        </w:rPr>
      </w:pPr>
    </w:p>
    <w:p>
      <w:pPr>
        <w:widowControl/>
        <w:ind w:firstLine="4498" w:firstLineChars="1400"/>
        <w:jc w:val="left"/>
        <w:rPr>
          <w:rFonts w:hint="eastAsia"/>
          <w:b/>
          <w:bCs/>
          <w:sz w:val="32"/>
          <w:szCs w:val="32"/>
        </w:rPr>
      </w:pPr>
      <w:r>
        <w:rPr>
          <w:rFonts w:hint="eastAsia"/>
          <w:b/>
          <w:bCs/>
          <w:sz w:val="32"/>
          <w:szCs w:val="32"/>
          <w:lang w:eastAsia="zh-CN"/>
        </w:rPr>
        <w:t>比选</w:t>
      </w:r>
      <w:r>
        <w:rPr>
          <w:rFonts w:hint="eastAsia"/>
          <w:b/>
          <w:bCs/>
          <w:sz w:val="32"/>
          <w:szCs w:val="32"/>
        </w:rPr>
        <w:t>办法</w:t>
      </w:r>
    </w:p>
    <w:p>
      <w:pPr>
        <w:widowControl/>
        <w:spacing w:line="360" w:lineRule="auto"/>
        <w:jc w:val="left"/>
        <w:rPr>
          <w:b/>
          <w:bCs/>
          <w:sz w:val="24"/>
        </w:rPr>
      </w:pPr>
      <w:r>
        <w:rPr>
          <w:rFonts w:hint="eastAsia"/>
          <w:b/>
          <w:bCs/>
          <w:sz w:val="24"/>
        </w:rPr>
        <w:t>一、公开所有投标</w:t>
      </w:r>
      <w:r>
        <w:rPr>
          <w:rFonts w:hint="eastAsia"/>
          <w:b/>
          <w:bCs/>
          <w:sz w:val="24"/>
          <w:lang w:eastAsia="zh-CN"/>
        </w:rPr>
        <w:t>人</w:t>
      </w:r>
      <w:r>
        <w:rPr>
          <w:rFonts w:hint="eastAsia"/>
          <w:b/>
          <w:bCs/>
          <w:sz w:val="24"/>
        </w:rPr>
        <w:t>的主要信息</w:t>
      </w:r>
    </w:p>
    <w:p>
      <w:pPr>
        <w:spacing w:line="360" w:lineRule="auto"/>
        <w:rPr>
          <w:b/>
          <w:bCs/>
          <w:sz w:val="24"/>
        </w:rPr>
      </w:pPr>
      <w:r>
        <w:rPr>
          <w:rFonts w:hint="eastAsia"/>
          <w:b/>
          <w:bCs/>
          <w:sz w:val="24"/>
        </w:rPr>
        <w:t>二、所有投标</w:t>
      </w:r>
      <w:r>
        <w:rPr>
          <w:rFonts w:hint="eastAsia"/>
          <w:b/>
          <w:bCs/>
          <w:sz w:val="24"/>
          <w:lang w:eastAsia="zh-CN"/>
        </w:rPr>
        <w:t>人</w:t>
      </w:r>
      <w:r>
        <w:rPr>
          <w:rFonts w:hint="eastAsia"/>
          <w:b/>
          <w:bCs/>
          <w:sz w:val="24"/>
        </w:rPr>
        <w:t>进行</w:t>
      </w:r>
      <w:r>
        <w:rPr>
          <w:rFonts w:hint="eastAsia"/>
          <w:b/>
          <w:bCs/>
          <w:sz w:val="24"/>
          <w:lang w:eastAsia="zh-CN"/>
        </w:rPr>
        <w:t>资格性、</w:t>
      </w:r>
      <w:r>
        <w:rPr>
          <w:rFonts w:hint="eastAsia"/>
          <w:b/>
          <w:bCs/>
          <w:sz w:val="24"/>
        </w:rPr>
        <w:t>符合性审查</w:t>
      </w:r>
    </w:p>
    <w:tbl>
      <w:tblPr>
        <w:tblStyle w:val="12"/>
        <w:tblW w:w="10080" w:type="dxa"/>
        <w:tblInd w:w="93" w:type="dxa"/>
        <w:tblLayout w:type="fixed"/>
        <w:tblCellMar>
          <w:top w:w="0" w:type="dxa"/>
          <w:left w:w="108" w:type="dxa"/>
          <w:bottom w:w="0" w:type="dxa"/>
          <w:right w:w="108" w:type="dxa"/>
        </w:tblCellMar>
      </w:tblPr>
      <w:tblGrid>
        <w:gridCol w:w="1080"/>
        <w:gridCol w:w="2440"/>
        <w:gridCol w:w="6560"/>
      </w:tblGrid>
      <w:tr>
        <w:tblPrEx>
          <w:tblLayout w:type="fixed"/>
          <w:tblCellMar>
            <w:top w:w="0" w:type="dxa"/>
            <w:left w:w="108" w:type="dxa"/>
            <w:bottom w:w="0" w:type="dxa"/>
            <w:right w:w="108" w:type="dxa"/>
          </w:tblCellMar>
        </w:tblPrEx>
        <w:trPr>
          <w:trHeight w:val="43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评审内容</w:t>
            </w:r>
          </w:p>
        </w:tc>
        <w:tc>
          <w:tcPr>
            <w:tcW w:w="2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评审因素</w:t>
            </w:r>
          </w:p>
        </w:tc>
        <w:tc>
          <w:tcPr>
            <w:tcW w:w="6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评审标准</w:t>
            </w:r>
          </w:p>
        </w:tc>
      </w:tr>
      <w:tr>
        <w:tblPrEx>
          <w:tblLayout w:type="fixed"/>
          <w:tblCellMar>
            <w:top w:w="0" w:type="dxa"/>
            <w:left w:w="108" w:type="dxa"/>
            <w:bottom w:w="0" w:type="dxa"/>
            <w:right w:w="108" w:type="dxa"/>
          </w:tblCellMar>
        </w:tblPrEx>
        <w:trPr>
          <w:trHeight w:val="647"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资格评审标准</w:t>
            </w: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营业执照要求</w:t>
            </w:r>
          </w:p>
        </w:tc>
        <w:tc>
          <w:tcPr>
            <w:tcW w:w="6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lang w:val="en-US" w:eastAsia="zh-CN"/>
              </w:rPr>
              <w:t>投标方具备有效的营业执照</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投标</w:t>
            </w:r>
            <w:r>
              <w:rPr>
                <w:rFonts w:hint="default" w:ascii="宋体" w:hAnsi="宋体" w:eastAsia="宋体" w:cs="宋体"/>
                <w:color w:val="auto"/>
                <w:kern w:val="0"/>
                <w:sz w:val="21"/>
                <w:szCs w:val="21"/>
                <w:lang w:val="en-US" w:eastAsia="zh-CN"/>
              </w:rPr>
              <w:t>文件</w:t>
            </w:r>
            <w:r>
              <w:rPr>
                <w:rFonts w:hint="eastAsia" w:ascii="宋体" w:hAnsi="宋体" w:eastAsia="宋体" w:cs="宋体"/>
                <w:color w:val="auto"/>
                <w:kern w:val="0"/>
                <w:sz w:val="21"/>
                <w:szCs w:val="21"/>
                <w:lang w:val="en-US" w:eastAsia="zh-CN"/>
              </w:rPr>
              <w:t>需</w:t>
            </w:r>
            <w:r>
              <w:rPr>
                <w:rFonts w:hint="default" w:ascii="宋体" w:hAnsi="宋体" w:eastAsia="宋体" w:cs="宋体"/>
                <w:color w:val="auto"/>
                <w:kern w:val="0"/>
                <w:sz w:val="21"/>
                <w:szCs w:val="21"/>
                <w:lang w:val="en-US" w:eastAsia="zh-CN"/>
              </w:rPr>
              <w:t>附</w:t>
            </w:r>
            <w:r>
              <w:rPr>
                <w:rFonts w:hint="eastAsia" w:ascii="宋体" w:hAnsi="宋体" w:eastAsia="宋体" w:cs="宋体"/>
                <w:color w:val="auto"/>
                <w:kern w:val="0"/>
                <w:sz w:val="21"/>
                <w:szCs w:val="21"/>
                <w:lang w:val="en-US" w:eastAsia="zh-CN"/>
              </w:rPr>
              <w:t>营业执照复印件</w:t>
            </w:r>
            <w:r>
              <w:rPr>
                <w:rFonts w:hint="default"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val="en-US" w:eastAsia="zh-CN"/>
              </w:rPr>
              <w:t>。</w:t>
            </w:r>
          </w:p>
        </w:tc>
      </w:tr>
      <w:tr>
        <w:tblPrEx>
          <w:tblLayout w:type="fixed"/>
          <w:tblCellMar>
            <w:top w:w="0" w:type="dxa"/>
            <w:left w:w="108" w:type="dxa"/>
            <w:bottom w:w="0" w:type="dxa"/>
            <w:right w:w="108" w:type="dxa"/>
          </w:tblCellMar>
        </w:tblPrEx>
        <w:trPr>
          <w:trHeight w:val="79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auto"/>
                <w:kern w:val="0"/>
                <w:sz w:val="21"/>
                <w:szCs w:val="21"/>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632" w:firstLineChars="300"/>
              <w:rPr>
                <w:rFonts w:hint="eastAsia"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highlight w:val="none"/>
                <w:lang w:val="en-US" w:eastAsia="zh-CN"/>
              </w:rPr>
              <w:t>资质要求</w:t>
            </w:r>
          </w:p>
        </w:tc>
        <w:tc>
          <w:tcPr>
            <w:tcW w:w="6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投标人须具备建设行政主管部门颁发的【房屋建筑工程专业监理】乙级（含）以上资质或【工程监理综合资质】或【建筑工程专业监理】乙级（含）以上资质，并在人员、设备、资金等方面具有相应的能力（投标文件须附资质证书复印件）。</w:t>
            </w:r>
          </w:p>
        </w:tc>
      </w:tr>
      <w:tr>
        <w:tblPrEx>
          <w:tblLayout w:type="fixed"/>
          <w:tblCellMar>
            <w:top w:w="0" w:type="dxa"/>
            <w:left w:w="108" w:type="dxa"/>
            <w:bottom w:w="0" w:type="dxa"/>
            <w:right w:w="108" w:type="dxa"/>
          </w:tblCellMar>
        </w:tblPrEx>
        <w:trPr>
          <w:trHeight w:val="3397"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auto"/>
                <w:kern w:val="0"/>
                <w:sz w:val="21"/>
                <w:szCs w:val="21"/>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信誉要求</w:t>
            </w:r>
          </w:p>
        </w:tc>
        <w:tc>
          <w:tcPr>
            <w:tcW w:w="6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（1）投标人不得存在下列情形之一： </w:t>
            </w:r>
          </w:p>
          <w:p>
            <w:pPr>
              <w:widowControl/>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①正处于被责令停业，投标资格被暂停或取消</w:t>
            </w:r>
            <w:r>
              <w:rPr>
                <w:rFonts w:hint="eastAsia" w:ascii="宋体" w:hAnsi="宋体" w:cs="宋体"/>
                <w:color w:val="auto"/>
                <w:kern w:val="0"/>
                <w:sz w:val="21"/>
                <w:szCs w:val="21"/>
                <w:lang w:val="en-US" w:eastAsia="zh-CN"/>
              </w:rPr>
              <w:t>；</w:t>
            </w:r>
          </w:p>
          <w:p>
            <w:pPr>
              <w:widowControl/>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②近年（202</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年1月1日至今）内有骗取中标和严重违约及发生过重大监理质量问题；（投标文件需附相关承诺书并加盖公章，格式详见比选文件中投标文件格式；新注册企业提供从公司</w:t>
            </w:r>
            <w:r>
              <w:rPr>
                <w:rFonts w:hint="eastAsia" w:ascii="宋体" w:hAnsi="宋体" w:cs="宋体"/>
                <w:color w:val="auto"/>
                <w:kern w:val="0"/>
                <w:sz w:val="21"/>
                <w:szCs w:val="21"/>
                <w:lang w:val="en-US" w:eastAsia="zh-CN"/>
              </w:rPr>
              <w:t>注册</w:t>
            </w:r>
            <w:r>
              <w:rPr>
                <w:rFonts w:hint="eastAsia" w:ascii="宋体" w:hAnsi="宋体" w:eastAsia="宋体" w:cs="宋体"/>
                <w:color w:val="auto"/>
                <w:kern w:val="0"/>
                <w:sz w:val="21"/>
                <w:szCs w:val="21"/>
                <w:lang w:val="en-US" w:eastAsia="zh-CN"/>
              </w:rPr>
              <w:t>年度至今的承诺书）。</w:t>
            </w:r>
          </w:p>
          <w:p>
            <w:pPr>
              <w:widowControl/>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（2）在“信用中国”网站（http://www.creditchina.gov.cn/）或“中国执行信息公开网（http://zxgk.court.gov.cn/shixin/）”中未被列入“失信被执行人名单”，（投标文件须附网页查询结果截图）。 </w:t>
            </w:r>
          </w:p>
          <w:p>
            <w:pPr>
              <w:widowControl/>
              <w:rPr>
                <w:rFonts w:hint="eastAsia" w:ascii="宋体" w:hAnsi="宋体" w:cs="宋体"/>
                <w:color w:val="auto"/>
                <w:kern w:val="0"/>
                <w:sz w:val="21"/>
                <w:szCs w:val="21"/>
                <w:highlight w:val="yellow"/>
              </w:rPr>
            </w:pPr>
            <w:r>
              <w:rPr>
                <w:rFonts w:hint="eastAsia" w:ascii="宋体" w:hAnsi="宋体" w:eastAsia="宋体" w:cs="宋体"/>
                <w:color w:val="auto"/>
                <w:kern w:val="0"/>
                <w:sz w:val="21"/>
                <w:szCs w:val="21"/>
                <w:lang w:val="en-US" w:eastAsia="zh-CN"/>
              </w:rPr>
              <w:t>（3）在“国家企业信用信息公示系统”（http://www.gsxt.gov.cn/）中未被列入“严重违法失信企业名单”。（投标文件需附网页查询结果截图）</w:t>
            </w:r>
            <w:r>
              <w:rPr>
                <w:rFonts w:hint="eastAsia" w:ascii="宋体" w:hAnsi="宋体" w:cs="宋体"/>
                <w:color w:val="auto"/>
                <w:kern w:val="0"/>
                <w:sz w:val="21"/>
                <w:szCs w:val="21"/>
                <w:lang w:val="en-US" w:eastAsia="zh-CN"/>
              </w:rPr>
              <w:t>。</w:t>
            </w:r>
          </w:p>
        </w:tc>
      </w:tr>
      <w:tr>
        <w:tblPrEx>
          <w:tblLayout w:type="fixed"/>
          <w:tblCellMar>
            <w:top w:w="0" w:type="dxa"/>
            <w:left w:w="108" w:type="dxa"/>
            <w:bottom w:w="0" w:type="dxa"/>
            <w:right w:w="108" w:type="dxa"/>
          </w:tblCellMar>
        </w:tblPrEx>
        <w:trPr>
          <w:trHeight w:val="119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1"/>
                <w:szCs w:val="21"/>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财务要求</w:t>
            </w:r>
          </w:p>
        </w:tc>
        <w:tc>
          <w:tcPr>
            <w:tcW w:w="6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近年（202</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年1月1日至今）财务状况良好，没有处于财产被接管、破产或其他关、停、并、转状态（投标文件需附相关承诺并加盖公章，新</w:t>
            </w:r>
            <w:r>
              <w:rPr>
                <w:rFonts w:hint="eastAsia" w:ascii="宋体" w:hAnsi="宋体" w:cs="宋体"/>
                <w:color w:val="auto"/>
                <w:kern w:val="0"/>
                <w:sz w:val="21"/>
                <w:szCs w:val="21"/>
                <w:lang w:val="en-US" w:eastAsia="zh-CN"/>
              </w:rPr>
              <w:t>注册</w:t>
            </w:r>
            <w:r>
              <w:rPr>
                <w:rFonts w:hint="eastAsia" w:ascii="宋体" w:hAnsi="宋体" w:eastAsia="宋体" w:cs="宋体"/>
                <w:color w:val="auto"/>
                <w:kern w:val="0"/>
                <w:sz w:val="21"/>
                <w:szCs w:val="21"/>
                <w:lang w:val="en-US" w:eastAsia="zh-CN"/>
              </w:rPr>
              <w:t>的企业，需提供</w:t>
            </w:r>
            <w:r>
              <w:rPr>
                <w:rFonts w:hint="eastAsia" w:ascii="宋体" w:hAnsi="宋体" w:cs="宋体"/>
                <w:color w:val="auto"/>
                <w:kern w:val="0"/>
                <w:sz w:val="21"/>
                <w:szCs w:val="21"/>
                <w:lang w:val="en-US" w:eastAsia="zh-CN"/>
              </w:rPr>
              <w:t>注册年度</w:t>
            </w:r>
            <w:r>
              <w:rPr>
                <w:rFonts w:hint="eastAsia" w:ascii="宋体" w:hAnsi="宋体" w:eastAsia="宋体" w:cs="宋体"/>
                <w:color w:val="auto"/>
                <w:kern w:val="0"/>
                <w:sz w:val="21"/>
                <w:szCs w:val="21"/>
                <w:lang w:val="en-US" w:eastAsia="zh-CN"/>
              </w:rPr>
              <w:t>至今的承诺书，格式详见比选文件中投标文件格式）</w:t>
            </w:r>
            <w:r>
              <w:rPr>
                <w:rFonts w:hint="eastAsia" w:ascii="宋体" w:hAnsi="宋体" w:cs="宋体"/>
                <w:color w:val="auto"/>
                <w:kern w:val="0"/>
                <w:sz w:val="21"/>
                <w:szCs w:val="21"/>
                <w:lang w:val="en-US" w:eastAsia="zh-CN"/>
              </w:rPr>
              <w:t>。</w:t>
            </w:r>
          </w:p>
        </w:tc>
      </w:tr>
      <w:tr>
        <w:tblPrEx>
          <w:tblLayout w:type="fixed"/>
          <w:tblCellMar>
            <w:top w:w="0" w:type="dxa"/>
            <w:left w:w="108" w:type="dxa"/>
            <w:bottom w:w="0" w:type="dxa"/>
            <w:right w:w="108" w:type="dxa"/>
          </w:tblCellMar>
        </w:tblPrEx>
        <w:trPr>
          <w:trHeight w:val="1016"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1"/>
                <w:szCs w:val="21"/>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b/>
                <w:bCs/>
                <w:color w:val="auto"/>
                <w:kern w:val="0"/>
                <w:sz w:val="21"/>
                <w:szCs w:val="21"/>
                <w:lang w:val="en-US"/>
              </w:rPr>
            </w:pPr>
            <w:r>
              <w:rPr>
                <w:rFonts w:hint="eastAsia" w:ascii="宋体" w:hAnsi="宋体" w:cs="宋体"/>
                <w:b/>
                <w:bCs/>
                <w:color w:val="auto"/>
                <w:kern w:val="0"/>
                <w:sz w:val="21"/>
                <w:szCs w:val="21"/>
                <w:lang w:val="en-US" w:eastAsia="zh-CN"/>
              </w:rPr>
              <w:t>项目负责人</w:t>
            </w:r>
          </w:p>
        </w:tc>
        <w:tc>
          <w:tcPr>
            <w:tcW w:w="6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拟派项目总监须具备房屋建筑工程专业国家注册监理工程师资格，必须在本公司注册，且在有效期内（投标文件须附资格证和注册证书复印件）</w:t>
            </w:r>
          </w:p>
        </w:tc>
      </w:tr>
      <w:tr>
        <w:tblPrEx>
          <w:tblLayout w:type="fixed"/>
          <w:tblCellMar>
            <w:top w:w="0" w:type="dxa"/>
            <w:left w:w="108" w:type="dxa"/>
            <w:bottom w:w="0" w:type="dxa"/>
            <w:right w:w="108" w:type="dxa"/>
          </w:tblCellMar>
        </w:tblPrEx>
        <w:trPr>
          <w:trHeight w:val="68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1"/>
                <w:szCs w:val="21"/>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其他人员要求</w:t>
            </w:r>
          </w:p>
        </w:tc>
        <w:tc>
          <w:tcPr>
            <w:tcW w:w="6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both"/>
            </w:pPr>
            <w:r>
              <w:rPr>
                <w:rFonts w:hint="default" w:ascii="宋体" w:hAnsi="宋体" w:eastAsia="宋体" w:cs="宋体"/>
                <w:color w:val="auto"/>
                <w:kern w:val="0"/>
                <w:sz w:val="21"/>
                <w:szCs w:val="21"/>
                <w:lang w:val="en-US" w:eastAsia="zh-CN"/>
              </w:rPr>
              <w:t>（1）</w:t>
            </w:r>
            <w:r>
              <w:rPr>
                <w:rFonts w:hint="default" w:ascii="宋体" w:hAnsi="宋体" w:eastAsia="宋体" w:cs="宋体"/>
                <w:b w:val="0"/>
                <w:bCs w:val="0"/>
                <w:i w:val="0"/>
                <w:iCs w:val="0"/>
                <w:color w:val="auto"/>
                <w:kern w:val="0"/>
                <w:sz w:val="21"/>
                <w:szCs w:val="21"/>
                <w:highlight w:val="none"/>
                <w:vertAlign w:val="baseline"/>
                <w:lang w:val="en-US" w:eastAsia="zh-CN" w:bidi="ar-SA"/>
              </w:rPr>
              <w:t>专业监理工程师配备：至少需配备 3名专业监理工程师（房屋建筑工程专业监理工程师1名，给排水工程专业或暖通工程专业监理工程师1名，电气工程专业监理工程师1名）；</w:t>
            </w:r>
          </w:p>
          <w:p>
            <w:pPr>
              <w:widowControl/>
              <w:rPr>
                <w:rFonts w:hint="default" w:ascii="宋体" w:hAnsi="宋体" w:eastAsia="宋体" w:cs="宋体"/>
                <w:color w:val="auto"/>
                <w:kern w:val="0"/>
                <w:sz w:val="21"/>
                <w:szCs w:val="21"/>
                <w:lang w:val="en-US" w:eastAsia="zh-CN"/>
              </w:rPr>
            </w:pPr>
            <w:r>
              <w:rPr>
                <w:rFonts w:hint="default" w:ascii="宋体" w:hAnsi="宋体" w:eastAsia="宋体" w:cs="宋体"/>
                <w:b w:val="0"/>
                <w:bCs w:val="0"/>
                <w:i w:val="0"/>
                <w:iCs w:val="0"/>
                <w:color w:val="auto"/>
                <w:kern w:val="0"/>
                <w:sz w:val="21"/>
                <w:szCs w:val="21"/>
                <w:highlight w:val="none"/>
                <w:vertAlign w:val="baseline"/>
                <w:lang w:val="en-US" w:eastAsia="zh-CN" w:bidi="ar-SA"/>
              </w:rPr>
              <w:t>（2）专职安全监理人员配备：需配备1名专职安全监理人员；</w:t>
            </w:r>
          </w:p>
          <w:p>
            <w:pPr>
              <w:widowControl/>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w:t>
            </w:r>
            <w:r>
              <w:rPr>
                <w:rFonts w:hint="default" w:ascii="宋体" w:hAnsi="宋体" w:eastAsia="宋体" w:cs="宋体"/>
                <w:color w:val="auto"/>
                <w:kern w:val="0"/>
                <w:sz w:val="21"/>
                <w:szCs w:val="21"/>
                <w:lang w:val="en-US" w:eastAsia="zh-CN"/>
              </w:rPr>
              <w:t>上述人员必须为本公司人员且证明资料在有效期内，并在投标文件中附以下资料：</w:t>
            </w:r>
          </w:p>
          <w:p>
            <w:pPr>
              <w:widowControl/>
              <w:rPr>
                <w:rFonts w:hint="default"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lang w:val="en-US" w:eastAsia="zh-CN"/>
              </w:rPr>
              <w:t>①专业以资格证书或岗位证书为准，如上述证件未注明专业的则需要同时提供相关专业的职称证书</w:t>
            </w:r>
            <w:r>
              <w:rPr>
                <w:rFonts w:hint="default" w:ascii="宋体" w:hAnsi="宋体" w:eastAsia="宋体" w:cs="宋体"/>
                <w:color w:val="auto"/>
                <w:kern w:val="0"/>
                <w:sz w:val="21"/>
                <w:szCs w:val="21"/>
                <w:highlight w:val="none"/>
                <w:lang w:val="en-US" w:eastAsia="zh-CN"/>
              </w:rPr>
              <w:t>，专职安全监理人员须提供监理资格证书或岗位证书（不限专业）</w:t>
            </w:r>
            <w:r>
              <w:rPr>
                <w:rFonts w:hint="eastAsia" w:ascii="宋体" w:hAnsi="宋体" w:cs="宋体"/>
                <w:color w:val="auto"/>
                <w:kern w:val="0"/>
                <w:sz w:val="21"/>
                <w:szCs w:val="21"/>
                <w:highlight w:val="none"/>
                <w:lang w:val="en-US" w:eastAsia="zh-CN"/>
              </w:rPr>
              <w:t>。</w:t>
            </w:r>
            <w:r>
              <w:rPr>
                <w:rFonts w:hint="default" w:ascii="宋体" w:hAnsi="宋体" w:eastAsia="宋体" w:cs="宋体"/>
                <w:color w:val="auto"/>
                <w:kern w:val="0"/>
                <w:sz w:val="21"/>
                <w:szCs w:val="21"/>
                <w:highlight w:val="none"/>
                <w:lang w:val="en-US" w:eastAsia="zh-CN"/>
              </w:rPr>
              <w:t>专业监理工程师可由房屋建筑工程专业国家级注册监理工程师担任；</w:t>
            </w:r>
          </w:p>
          <w:p>
            <w:pPr>
              <w:widowControl/>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②除内蒙古自治区</w:t>
            </w:r>
            <w:r>
              <w:rPr>
                <w:rFonts w:hint="eastAsia" w:ascii="宋体" w:hAnsi="宋体" w:cs="宋体"/>
                <w:color w:val="auto"/>
                <w:kern w:val="0"/>
                <w:sz w:val="21"/>
                <w:szCs w:val="21"/>
                <w:lang w:val="en-US" w:eastAsia="zh-CN"/>
              </w:rPr>
              <w:t>，</w:t>
            </w:r>
            <w:r>
              <w:rPr>
                <w:rFonts w:hint="default" w:ascii="宋体" w:hAnsi="宋体" w:eastAsia="宋体" w:cs="宋体"/>
                <w:color w:val="auto"/>
                <w:kern w:val="0"/>
                <w:sz w:val="21"/>
                <w:szCs w:val="21"/>
                <w:lang w:val="en-US" w:eastAsia="zh-CN"/>
              </w:rPr>
              <w:t>以外的自治区级或省级监理工程师必须保证本地区监理工程师可跨省执业，并提供有效的证明材料，如发证机构文件或网站截图等。</w:t>
            </w:r>
          </w:p>
        </w:tc>
      </w:tr>
      <w:tr>
        <w:tblPrEx>
          <w:tblLayout w:type="fixed"/>
          <w:tblCellMar>
            <w:top w:w="0" w:type="dxa"/>
            <w:left w:w="108" w:type="dxa"/>
            <w:bottom w:w="0" w:type="dxa"/>
            <w:right w:w="108" w:type="dxa"/>
          </w:tblCellMar>
        </w:tblPrEx>
        <w:trPr>
          <w:trHeight w:val="68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1"/>
                <w:szCs w:val="21"/>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rPr>
              <w:t>社保要求</w:t>
            </w:r>
          </w:p>
        </w:tc>
        <w:tc>
          <w:tcPr>
            <w:tcW w:w="6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以上所有</w:t>
            </w:r>
            <w:r>
              <w:rPr>
                <w:rFonts w:hint="eastAsia" w:ascii="宋体" w:hAnsi="宋体" w:cs="宋体"/>
                <w:color w:val="auto"/>
                <w:kern w:val="0"/>
                <w:sz w:val="21"/>
                <w:szCs w:val="21"/>
                <w:lang w:val="en-US" w:eastAsia="zh-CN"/>
              </w:rPr>
              <w:t>配备</w:t>
            </w:r>
            <w:r>
              <w:rPr>
                <w:rFonts w:hint="eastAsia" w:ascii="宋体" w:hAnsi="宋体" w:eastAsia="宋体" w:cs="宋体"/>
                <w:color w:val="auto"/>
                <w:kern w:val="0"/>
                <w:sz w:val="21"/>
                <w:szCs w:val="21"/>
                <w:lang w:val="en-US" w:eastAsia="zh-CN"/>
              </w:rPr>
              <w:t>人员（项目负责人及其他人员）年龄不得超过65周岁，须提供递交比选投标文件截止之日前一年内任意连续6个月或以上的以投标单位所属社保机构出具(新入职人员要求提供入职时至投标截止日期前)的社保缴费证明(并加盖缴费证明专用章)或其他能够证明参加社保的有效证明材料为准，退休人员无需提供社保缴费证明，须提供有效的与聘用单位签订的聘用劳动合同及退休证明（投标文件需附</w:t>
            </w:r>
            <w:r>
              <w:rPr>
                <w:rFonts w:hint="eastAsia" w:ascii="宋体" w:hAnsi="宋体" w:cs="宋体"/>
                <w:color w:val="auto"/>
                <w:kern w:val="0"/>
                <w:sz w:val="21"/>
                <w:szCs w:val="21"/>
                <w:lang w:val="en-US" w:eastAsia="zh-CN"/>
              </w:rPr>
              <w:t>相关证明资料</w:t>
            </w:r>
            <w:r>
              <w:rPr>
                <w:rFonts w:hint="eastAsia" w:ascii="宋体" w:hAnsi="宋体" w:eastAsia="宋体" w:cs="宋体"/>
                <w:color w:val="auto"/>
                <w:kern w:val="0"/>
                <w:sz w:val="21"/>
                <w:szCs w:val="21"/>
                <w:lang w:val="en-US" w:eastAsia="zh-CN"/>
              </w:rPr>
              <w:t>复印件）</w:t>
            </w:r>
            <w:r>
              <w:rPr>
                <w:rFonts w:hint="eastAsia" w:ascii="宋体" w:hAnsi="宋体" w:cs="宋体"/>
                <w:color w:val="auto"/>
                <w:kern w:val="0"/>
                <w:sz w:val="21"/>
                <w:szCs w:val="21"/>
                <w:lang w:val="en-US" w:eastAsia="zh-CN"/>
              </w:rPr>
              <w:t>。</w:t>
            </w:r>
          </w:p>
        </w:tc>
      </w:tr>
      <w:tr>
        <w:tblPrEx>
          <w:tblLayout w:type="fixed"/>
          <w:tblCellMar>
            <w:top w:w="0" w:type="dxa"/>
            <w:left w:w="108" w:type="dxa"/>
            <w:bottom w:w="0" w:type="dxa"/>
            <w:right w:w="108" w:type="dxa"/>
          </w:tblCellMar>
        </w:tblPrEx>
        <w:trPr>
          <w:trHeight w:val="839" w:hRule="atLeast"/>
        </w:trPr>
        <w:tc>
          <w:tcPr>
            <w:tcW w:w="1080"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1"/>
                <w:szCs w:val="21"/>
              </w:rPr>
            </w:pPr>
          </w:p>
        </w:tc>
        <w:tc>
          <w:tcPr>
            <w:tcW w:w="24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auto"/>
                <w:kern w:val="0"/>
                <w:sz w:val="21"/>
                <w:szCs w:val="21"/>
              </w:rPr>
            </w:pPr>
            <w:r>
              <w:rPr>
                <w:rFonts w:hint="eastAsia" w:ascii="宋体" w:hAnsi="宋体" w:cs="宋体"/>
                <w:b/>
                <w:bCs/>
                <w:color w:val="auto"/>
                <w:kern w:val="0"/>
                <w:sz w:val="21"/>
                <w:szCs w:val="21"/>
                <w:lang w:val="en-US" w:eastAsia="zh-CN"/>
              </w:rPr>
              <w:t>业绩要求</w:t>
            </w:r>
          </w:p>
        </w:tc>
        <w:tc>
          <w:tcPr>
            <w:tcW w:w="65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2023年1月1日至今，至少提供2项单项合同价为15万元（含）以上的建筑工程监理业绩（投标文件需附合同复印件）。  </w:t>
            </w:r>
          </w:p>
        </w:tc>
      </w:tr>
      <w:tr>
        <w:tblPrEx>
          <w:tblLayout w:type="fixed"/>
          <w:tblCellMar>
            <w:top w:w="0" w:type="dxa"/>
            <w:left w:w="108" w:type="dxa"/>
            <w:bottom w:w="0" w:type="dxa"/>
            <w:right w:w="108" w:type="dxa"/>
          </w:tblCellMar>
        </w:tblPrEx>
        <w:trPr>
          <w:trHeight w:val="1750" w:hRule="atLeast"/>
        </w:trPr>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符合性</w:t>
            </w:r>
            <w:r>
              <w:rPr>
                <w:rFonts w:hint="eastAsia" w:ascii="宋体" w:hAnsi="宋体" w:cs="宋体"/>
                <w:b/>
                <w:bCs/>
                <w:color w:val="auto"/>
                <w:kern w:val="0"/>
                <w:sz w:val="21"/>
                <w:szCs w:val="21"/>
              </w:rPr>
              <w:t>评审标准</w:t>
            </w: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highlight w:val="none"/>
              </w:rPr>
              <w:t>投标文件规范性</w:t>
            </w:r>
            <w:r>
              <w:rPr>
                <w:rFonts w:hint="eastAsia" w:ascii="宋体" w:hAnsi="宋体" w:cs="宋体"/>
                <w:b/>
                <w:bCs/>
                <w:color w:val="auto"/>
                <w:kern w:val="0"/>
                <w:sz w:val="21"/>
                <w:szCs w:val="21"/>
                <w:highlight w:val="none"/>
                <w:lang w:eastAsia="zh-CN"/>
              </w:rPr>
              <w:t>、符合性</w:t>
            </w:r>
          </w:p>
        </w:tc>
        <w:tc>
          <w:tcPr>
            <w:tcW w:w="6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投标文件应采用胶粘方式左侧装订，不得采用活页</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夹等可随时拆换的方式装订，不得有零散页</w:t>
            </w:r>
            <w:r>
              <w:rPr>
                <w:rFonts w:hint="eastAsia" w:ascii="宋体" w:hAnsi="宋体" w:cs="宋体"/>
                <w:color w:val="auto"/>
                <w:kern w:val="0"/>
                <w:sz w:val="21"/>
                <w:szCs w:val="21"/>
                <w:highlight w:val="none"/>
                <w:lang w:eastAsia="zh-CN"/>
              </w:rPr>
              <w:t>；</w:t>
            </w:r>
          </w:p>
          <w:p>
            <w:pPr>
              <w:widowControl/>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投标文件</w:t>
            </w:r>
            <w:r>
              <w:rPr>
                <w:rFonts w:hint="eastAsia" w:ascii="宋体" w:hAnsi="宋体" w:cs="宋体"/>
                <w:color w:val="auto"/>
                <w:kern w:val="0"/>
                <w:sz w:val="21"/>
                <w:szCs w:val="21"/>
                <w:highlight w:val="none"/>
              </w:rPr>
              <w:t>的签署、盖章、涂改、删除、插字、公章使用等符合</w:t>
            </w:r>
            <w:r>
              <w:rPr>
                <w:rFonts w:hint="eastAsia" w:ascii="宋体" w:hAnsi="宋体" w:cs="宋体"/>
                <w:color w:val="auto"/>
                <w:kern w:val="0"/>
                <w:sz w:val="21"/>
                <w:szCs w:val="21"/>
                <w:highlight w:val="none"/>
                <w:lang w:eastAsia="zh-CN"/>
              </w:rPr>
              <w:t>比选文件</w:t>
            </w:r>
            <w:r>
              <w:rPr>
                <w:rFonts w:hint="eastAsia" w:ascii="宋体" w:hAnsi="宋体" w:cs="宋体"/>
                <w:color w:val="auto"/>
                <w:kern w:val="0"/>
                <w:sz w:val="21"/>
                <w:szCs w:val="21"/>
                <w:highlight w:val="none"/>
              </w:rPr>
              <w:t>要求；</w:t>
            </w:r>
          </w:p>
          <w:p>
            <w:pPr>
              <w:widowControl/>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文件的格式、目录等符合</w:t>
            </w:r>
            <w:r>
              <w:rPr>
                <w:rFonts w:hint="eastAsia" w:ascii="宋体" w:hAnsi="宋体" w:cs="宋体"/>
                <w:color w:val="auto"/>
                <w:kern w:val="0"/>
                <w:sz w:val="21"/>
                <w:szCs w:val="21"/>
                <w:highlight w:val="none"/>
                <w:lang w:eastAsia="zh-CN"/>
              </w:rPr>
              <w:t>比选</w:t>
            </w:r>
            <w:r>
              <w:rPr>
                <w:rFonts w:hint="eastAsia" w:ascii="宋体" w:hAnsi="宋体" w:cs="宋体"/>
                <w:color w:val="auto"/>
                <w:kern w:val="0"/>
                <w:sz w:val="21"/>
                <w:szCs w:val="21"/>
                <w:highlight w:val="none"/>
              </w:rPr>
              <w:t>文件要求。</w:t>
            </w:r>
          </w:p>
        </w:tc>
      </w:tr>
      <w:tr>
        <w:tblPrEx>
          <w:tblLayout w:type="fixed"/>
          <w:tblCellMar>
            <w:top w:w="0" w:type="dxa"/>
            <w:left w:w="108" w:type="dxa"/>
            <w:bottom w:w="0" w:type="dxa"/>
            <w:right w:w="108" w:type="dxa"/>
          </w:tblCellMar>
        </w:tblPrEx>
        <w:trPr>
          <w:trHeight w:val="609"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auto"/>
                <w:kern w:val="0"/>
                <w:sz w:val="21"/>
                <w:szCs w:val="21"/>
                <w:lang w:eastAsia="zh-CN"/>
              </w:rPr>
            </w:pP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投标报价</w:t>
            </w:r>
          </w:p>
        </w:tc>
        <w:tc>
          <w:tcPr>
            <w:tcW w:w="6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hint="eastAsia" w:ascii="宋体" w:hAnsi="宋体" w:eastAsia="宋体" w:cs="宋体"/>
                <w:color w:val="auto"/>
                <w:kern w:val="0"/>
                <w:sz w:val="21"/>
                <w:szCs w:val="21"/>
                <w:lang w:eastAsia="zh-CN"/>
              </w:rPr>
            </w:pPr>
            <w:r>
              <w:rPr>
                <w:rFonts w:ascii="宋体" w:hAnsi="宋体" w:eastAsia="宋体" w:cs="宋体"/>
                <w:color w:val="auto"/>
                <w:sz w:val="21"/>
              </w:rPr>
              <w:t>只有一个有效报价且不高于最高投标限价</w:t>
            </w:r>
            <w:r>
              <w:rPr>
                <w:rFonts w:hint="eastAsia" w:ascii="宋体" w:hAnsi="宋体" w:cs="宋体"/>
                <w:color w:val="auto"/>
                <w:sz w:val="21"/>
                <w:lang w:eastAsia="zh-CN"/>
              </w:rPr>
              <w:t>，分项报价且</w:t>
            </w:r>
            <w:r>
              <w:rPr>
                <w:rFonts w:ascii="宋体" w:hAnsi="宋体" w:eastAsia="宋体" w:cs="宋体"/>
                <w:color w:val="auto"/>
                <w:sz w:val="21"/>
              </w:rPr>
              <w:t>不高于</w:t>
            </w:r>
            <w:r>
              <w:rPr>
                <w:rFonts w:hint="eastAsia" w:ascii="宋体" w:hAnsi="宋体" w:cs="宋体"/>
                <w:color w:val="auto"/>
                <w:sz w:val="21"/>
                <w:lang w:eastAsia="zh-CN"/>
              </w:rPr>
              <w:t>分项</w:t>
            </w:r>
            <w:r>
              <w:rPr>
                <w:rFonts w:ascii="宋体" w:hAnsi="宋体" w:eastAsia="宋体" w:cs="宋体"/>
                <w:color w:val="auto"/>
                <w:sz w:val="21"/>
              </w:rPr>
              <w:t>最高投标限价。</w:t>
            </w:r>
          </w:p>
        </w:tc>
      </w:tr>
      <w:tr>
        <w:tblPrEx>
          <w:tblLayout w:type="fixed"/>
          <w:tblCellMar>
            <w:top w:w="0" w:type="dxa"/>
            <w:left w:w="108" w:type="dxa"/>
            <w:bottom w:w="0" w:type="dxa"/>
            <w:right w:w="108" w:type="dxa"/>
          </w:tblCellMar>
        </w:tblPrEx>
        <w:trPr>
          <w:trHeight w:val="600" w:hRule="atLeast"/>
        </w:trPr>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w:t>
            </w: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rPr>
              <w:t>服务范围及内容</w:t>
            </w:r>
          </w:p>
        </w:tc>
        <w:tc>
          <w:tcPr>
            <w:tcW w:w="6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hint="eastAsia" w:ascii="宋体" w:hAnsi="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服务范围</w:t>
            </w:r>
            <w:r>
              <w:rPr>
                <w:rFonts w:hint="eastAsia" w:ascii="宋体" w:hAnsi="宋体" w:cs="宋体"/>
                <w:color w:val="auto"/>
                <w:kern w:val="0"/>
                <w:sz w:val="21"/>
                <w:szCs w:val="21"/>
                <w:highlight w:val="none"/>
                <w:lang w:val="en-US" w:eastAsia="zh-CN"/>
              </w:rPr>
              <w:t>包括市公共资源交易中心及8个旗区分中心。建设地点为鄂尔多斯市康巴什区湖滨路（鄂尔多斯市公共资源交易中心）及各旗区分中心。计划维修内容为室内装饰维修、室内装饰拆除、室内给排水维修、道路工程维修、电力设施设备维修等；</w:t>
            </w:r>
          </w:p>
          <w:p>
            <w:pPr>
              <w:widowControl/>
              <w:rPr>
                <w:rFonts w:hint="eastAsia" w:ascii="宋体" w:hAnsi="宋体" w:eastAsia="宋体" w:cs="宋体"/>
                <w:color w:val="auto"/>
                <w:kern w:val="0"/>
                <w:sz w:val="21"/>
                <w:szCs w:val="21"/>
                <w:lang w:val="en-US" w:eastAsia="zh-CN" w:bidi="ar-SA"/>
              </w:rPr>
            </w:pPr>
            <w:r>
              <w:rPr>
                <w:rFonts w:hint="eastAsia" w:ascii="宋体" w:hAnsi="宋体" w:eastAsia="宋体" w:cs="宋体"/>
                <w:b/>
                <w:bCs/>
                <w:color w:val="auto"/>
                <w:kern w:val="0"/>
                <w:sz w:val="21"/>
                <w:szCs w:val="21"/>
                <w:highlight w:val="none"/>
                <w:lang w:val="en-US" w:eastAsia="zh-CN"/>
              </w:rPr>
              <w:t>服务内容</w:t>
            </w:r>
            <w:r>
              <w:rPr>
                <w:rFonts w:hint="eastAsia" w:ascii="宋体" w:hAnsi="宋体" w:eastAsia="宋体" w:cs="宋体"/>
                <w:color w:val="auto"/>
                <w:kern w:val="0"/>
                <w:sz w:val="21"/>
                <w:szCs w:val="21"/>
                <w:highlight w:val="none"/>
                <w:lang w:val="en-US" w:eastAsia="zh-CN"/>
              </w:rPr>
              <w:t>为上述项目维修全过程中的全部监理内容，包括服务项目的施工及保修阶段的质量、进度、安全监督管理、工程变更及工程进度款的审核、农民工工资支付发放审核、竣工验收资料备案及归档的审核、质保期内参与回访、合同及信息等方面的协调管理、文明施工等工作。</w:t>
            </w:r>
          </w:p>
        </w:tc>
      </w:tr>
      <w:tr>
        <w:tblPrEx>
          <w:tblLayout w:type="fixed"/>
          <w:tblCellMar>
            <w:top w:w="0" w:type="dxa"/>
            <w:left w:w="108" w:type="dxa"/>
            <w:bottom w:w="0" w:type="dxa"/>
            <w:right w:w="108" w:type="dxa"/>
          </w:tblCellMar>
        </w:tblPrEx>
        <w:trPr>
          <w:trHeight w:val="601" w:hRule="atLeast"/>
        </w:trPr>
        <w:tc>
          <w:tcPr>
            <w:tcW w:w="1080"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1"/>
                <w:szCs w:val="21"/>
              </w:rPr>
            </w:pPr>
          </w:p>
        </w:tc>
        <w:tc>
          <w:tcPr>
            <w:tcW w:w="2440" w:type="dxa"/>
            <w:tcBorders>
              <w:top w:val="single" w:color="auto" w:sz="4" w:space="0"/>
              <w:left w:val="nil"/>
              <w:bottom w:val="single" w:color="auto" w:sz="4" w:space="0"/>
              <w:right w:val="single" w:color="auto" w:sz="4" w:space="0"/>
            </w:tcBorders>
            <w:shd w:val="clear" w:color="auto" w:fill="auto"/>
            <w:vAlign w:val="center"/>
          </w:tcPr>
          <w:p>
            <w:pPr>
              <w:widowControl/>
              <w:ind w:firstLine="632" w:firstLineChars="300"/>
              <w:rPr>
                <w:rFonts w:hint="eastAsia"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监理服务期</w:t>
            </w:r>
          </w:p>
        </w:tc>
        <w:tc>
          <w:tcPr>
            <w:tcW w:w="6560" w:type="dxa"/>
            <w:tcBorders>
              <w:top w:val="single" w:color="auto" w:sz="4" w:space="0"/>
              <w:left w:val="nil"/>
              <w:bottom w:val="single" w:color="auto" w:sz="4" w:space="0"/>
              <w:right w:val="single" w:color="auto" w:sz="4" w:space="0"/>
            </w:tcBorders>
            <w:shd w:val="clear" w:color="000000" w:fill="FFFFFF"/>
            <w:vAlign w:val="center"/>
          </w:tcPr>
          <w:p>
            <w:pPr>
              <w:widowControl/>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highlight w:val="none"/>
                <w:lang w:val="en-US" w:eastAsia="zh-CN"/>
              </w:rPr>
              <w:t>监理合同签订</w:t>
            </w:r>
            <w:r>
              <w:rPr>
                <w:rFonts w:hint="default" w:ascii="宋体" w:hAnsi="宋体" w:eastAsia="宋体" w:cs="宋体"/>
                <w:color w:val="auto"/>
                <w:kern w:val="0"/>
                <w:sz w:val="21"/>
                <w:szCs w:val="21"/>
                <w:highlight w:val="none"/>
                <w:lang w:val="en-US" w:eastAsia="zh-CN"/>
              </w:rPr>
              <w:t>之日起至</w:t>
            </w:r>
            <w:r>
              <w:rPr>
                <w:rFonts w:hint="eastAsia" w:ascii="宋体" w:hAnsi="宋体" w:eastAsia="宋体" w:cs="宋体"/>
                <w:color w:val="auto"/>
                <w:kern w:val="0"/>
                <w:sz w:val="21"/>
                <w:szCs w:val="21"/>
                <w:highlight w:val="none"/>
                <w:lang w:val="en-US" w:eastAsia="zh-CN"/>
              </w:rPr>
              <w:t>工程项目</w:t>
            </w:r>
            <w:r>
              <w:rPr>
                <w:rFonts w:hint="default" w:ascii="宋体" w:hAnsi="宋体" w:eastAsia="宋体" w:cs="宋体"/>
                <w:color w:val="auto"/>
                <w:kern w:val="0"/>
                <w:sz w:val="21"/>
                <w:szCs w:val="21"/>
                <w:highlight w:val="none"/>
                <w:lang w:val="en-US" w:eastAsia="zh-CN"/>
              </w:rPr>
              <w:t>缺陷责任期满</w:t>
            </w:r>
            <w:r>
              <w:rPr>
                <w:rFonts w:hint="eastAsia" w:ascii="宋体" w:hAnsi="宋体" w:eastAsia="宋体" w:cs="宋体"/>
                <w:color w:val="auto"/>
                <w:kern w:val="0"/>
                <w:sz w:val="21"/>
                <w:szCs w:val="21"/>
                <w:highlight w:val="none"/>
                <w:lang w:val="en-US" w:eastAsia="zh-CN"/>
              </w:rPr>
              <w:t>止。</w:t>
            </w:r>
          </w:p>
        </w:tc>
      </w:tr>
      <w:tr>
        <w:tblPrEx>
          <w:tblLayout w:type="fixed"/>
          <w:tblCellMar>
            <w:top w:w="0" w:type="dxa"/>
            <w:left w:w="108" w:type="dxa"/>
            <w:bottom w:w="0" w:type="dxa"/>
            <w:right w:w="108" w:type="dxa"/>
          </w:tblCellMar>
        </w:tblPrEx>
        <w:trPr>
          <w:trHeight w:val="1270" w:hRule="atLeast"/>
        </w:trPr>
        <w:tc>
          <w:tcPr>
            <w:tcW w:w="1080"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1"/>
                <w:szCs w:val="21"/>
              </w:rPr>
            </w:pPr>
          </w:p>
        </w:tc>
        <w:tc>
          <w:tcPr>
            <w:tcW w:w="24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val="en-US" w:eastAsia="zh-CN"/>
              </w:rPr>
              <w:t>服务要求</w:t>
            </w:r>
          </w:p>
        </w:tc>
        <w:tc>
          <w:tcPr>
            <w:tcW w:w="6560" w:type="dxa"/>
            <w:tcBorders>
              <w:top w:val="nil"/>
              <w:left w:val="nil"/>
              <w:bottom w:val="single" w:color="auto" w:sz="4" w:space="0"/>
              <w:right w:val="single" w:color="auto" w:sz="4" w:space="0"/>
            </w:tcBorders>
            <w:shd w:val="clear" w:color="000000" w:fill="FFFFFF"/>
            <w:vAlign w:val="center"/>
          </w:tcPr>
          <w:p>
            <w:pPr>
              <w:widowControl/>
              <w:rPr>
                <w:rFonts w:hint="eastAsia" w:ascii="宋体" w:hAnsi="宋体" w:cs="宋体"/>
                <w:color w:val="auto"/>
                <w:kern w:val="0"/>
                <w:sz w:val="21"/>
                <w:szCs w:val="21"/>
              </w:rPr>
            </w:pPr>
            <w:r>
              <w:rPr>
                <w:rFonts w:hint="eastAsia" w:ascii="宋体" w:hAnsi="宋体" w:cs="宋体"/>
                <w:color w:val="auto"/>
                <w:kern w:val="0"/>
                <w:sz w:val="21"/>
                <w:szCs w:val="21"/>
                <w:lang w:val="en-US" w:eastAsia="zh-CN"/>
              </w:rPr>
              <w:t>依据监理职责做好四控三管一协调，熟悉所监理项目的合同条款、规范、设计图纸，按设计图纸及有关标准对施工工艺及工序进行检查和记录，对工程关键部位、关键工序进行旁站监督，保证现场施工安全，做好监理日志和有关的监理记录，组织监理例会做好甲乙方之间涉及施工合同的联系活动。</w:t>
            </w:r>
          </w:p>
        </w:tc>
      </w:tr>
      <w:tr>
        <w:tblPrEx>
          <w:tblLayout w:type="fixed"/>
          <w:tblCellMar>
            <w:top w:w="0" w:type="dxa"/>
            <w:left w:w="108" w:type="dxa"/>
            <w:bottom w:w="0" w:type="dxa"/>
            <w:right w:w="108" w:type="dxa"/>
          </w:tblCellMar>
        </w:tblPrEx>
        <w:trPr>
          <w:trHeight w:val="600" w:hRule="atLeast"/>
        </w:trPr>
        <w:tc>
          <w:tcPr>
            <w:tcW w:w="108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auto"/>
                <w:kern w:val="0"/>
                <w:sz w:val="21"/>
                <w:szCs w:val="21"/>
              </w:rPr>
            </w:pPr>
          </w:p>
        </w:tc>
        <w:tc>
          <w:tcPr>
            <w:tcW w:w="24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lang w:eastAsia="zh-CN"/>
              </w:rPr>
              <w:t>其他要求</w:t>
            </w:r>
          </w:p>
        </w:tc>
        <w:tc>
          <w:tcPr>
            <w:tcW w:w="6560" w:type="dxa"/>
            <w:tcBorders>
              <w:top w:val="nil"/>
              <w:left w:val="nil"/>
              <w:bottom w:val="single" w:color="auto" w:sz="4" w:space="0"/>
              <w:right w:val="single" w:color="auto" w:sz="4" w:space="0"/>
            </w:tcBorders>
            <w:shd w:val="clear" w:color="000000" w:fill="FFFFFF"/>
            <w:vAlign w:val="center"/>
          </w:tcPr>
          <w:p>
            <w:pPr>
              <w:widowControl/>
              <w:rPr>
                <w:rFonts w:hint="eastAsia" w:ascii="宋体" w:hAnsi="宋体" w:cs="宋体"/>
                <w:color w:val="auto"/>
                <w:kern w:val="0"/>
                <w:sz w:val="21"/>
                <w:szCs w:val="21"/>
              </w:rPr>
            </w:pPr>
            <w:r>
              <w:rPr>
                <w:rFonts w:hint="eastAsia" w:ascii="宋体" w:hAnsi="宋体" w:cs="宋体"/>
                <w:color w:val="auto"/>
                <w:kern w:val="0"/>
                <w:sz w:val="21"/>
                <w:szCs w:val="21"/>
              </w:rPr>
              <w:t>符合</w:t>
            </w:r>
            <w:r>
              <w:rPr>
                <w:rFonts w:hint="eastAsia" w:ascii="宋体" w:hAnsi="宋体" w:cs="宋体"/>
                <w:color w:val="auto"/>
                <w:kern w:val="0"/>
                <w:sz w:val="21"/>
                <w:szCs w:val="21"/>
                <w:lang w:eastAsia="zh-CN"/>
              </w:rPr>
              <w:t>比选公告其他</w:t>
            </w:r>
            <w:r>
              <w:rPr>
                <w:rFonts w:hint="eastAsia" w:ascii="宋体" w:hAnsi="宋体" w:cs="宋体"/>
                <w:color w:val="auto"/>
                <w:kern w:val="0"/>
                <w:sz w:val="21"/>
                <w:szCs w:val="21"/>
              </w:rPr>
              <w:t>要求及相关法律法规要求。</w:t>
            </w:r>
          </w:p>
        </w:tc>
      </w:tr>
      <w:tr>
        <w:tblPrEx>
          <w:tblLayout w:type="fixed"/>
          <w:tblCellMar>
            <w:top w:w="0" w:type="dxa"/>
            <w:left w:w="108" w:type="dxa"/>
            <w:bottom w:w="0" w:type="dxa"/>
            <w:right w:w="108" w:type="dxa"/>
          </w:tblCellMar>
        </w:tblPrEx>
        <w:trPr>
          <w:trHeight w:val="838" w:hRule="atLeast"/>
        </w:trPr>
        <w:tc>
          <w:tcPr>
            <w:tcW w:w="1008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auto"/>
                <w:kern w:val="0"/>
                <w:sz w:val="21"/>
                <w:szCs w:val="21"/>
                <w:lang w:eastAsia="zh-CN"/>
              </w:rPr>
            </w:pPr>
            <w:r>
              <w:rPr>
                <w:rFonts w:hint="eastAsia" w:ascii="宋体" w:hAnsi="宋体" w:cs="宋体"/>
                <w:b/>
                <w:bCs/>
                <w:color w:val="auto"/>
                <w:kern w:val="0"/>
                <w:sz w:val="21"/>
                <w:szCs w:val="21"/>
              </w:rPr>
              <w:t>备注：</w:t>
            </w:r>
            <w:r>
              <w:rPr>
                <w:rFonts w:hint="eastAsia" w:ascii="宋体" w:hAnsi="宋体" w:cs="宋体"/>
                <w:b/>
                <w:bCs/>
                <w:color w:val="auto"/>
                <w:kern w:val="0"/>
                <w:sz w:val="21"/>
                <w:szCs w:val="21"/>
                <w:lang w:eastAsia="zh-CN"/>
              </w:rPr>
              <w:t>资格性、</w:t>
            </w:r>
            <w:r>
              <w:rPr>
                <w:rFonts w:hint="eastAsia" w:ascii="宋体" w:hAnsi="宋体" w:cs="宋体"/>
                <w:b/>
                <w:bCs/>
                <w:color w:val="auto"/>
                <w:kern w:val="0"/>
                <w:sz w:val="21"/>
                <w:szCs w:val="21"/>
              </w:rPr>
              <w:t>符合性审查中有任意一项未通过的，评审结果为</w:t>
            </w:r>
            <w:r>
              <w:rPr>
                <w:rFonts w:hint="eastAsia" w:ascii="宋体" w:hAnsi="宋体" w:cs="宋体"/>
                <w:b/>
                <w:bCs/>
                <w:color w:val="auto"/>
                <w:kern w:val="0"/>
                <w:sz w:val="21"/>
                <w:szCs w:val="21"/>
                <w:lang w:eastAsia="zh-CN"/>
              </w:rPr>
              <w:t>不合格。</w:t>
            </w:r>
          </w:p>
        </w:tc>
      </w:tr>
    </w:tbl>
    <w:p>
      <w:pPr>
        <w:rPr>
          <w:rFonts w:hint="eastAsia"/>
        </w:rPr>
      </w:pPr>
      <w:r>
        <w:rPr>
          <w:rFonts w:hint="eastAsia"/>
        </w:rPr>
        <w:br w:type="page"/>
      </w:r>
    </w:p>
    <w:p>
      <w:pPr>
        <w:spacing w:line="360" w:lineRule="auto"/>
        <w:ind w:firstLine="236" w:firstLineChars="98"/>
        <w:rPr>
          <w:rFonts w:hint="eastAsia" w:ascii="宋体" w:hAnsi="宋体"/>
          <w:b/>
          <w:sz w:val="24"/>
          <w:lang w:eastAsia="zh-CN"/>
        </w:rPr>
      </w:pPr>
      <w:r>
        <w:rPr>
          <w:rFonts w:hint="eastAsia" w:ascii="宋体" w:hAnsi="宋体"/>
          <w:b/>
          <w:sz w:val="24"/>
        </w:rPr>
        <w:t>三、</w:t>
      </w:r>
      <w:r>
        <w:rPr>
          <w:rFonts w:hint="eastAsia" w:ascii="宋体" w:hAnsi="宋体"/>
          <w:b/>
          <w:sz w:val="24"/>
          <w:lang w:eastAsia="zh-CN"/>
        </w:rPr>
        <w:t>对</w:t>
      </w:r>
      <w:r>
        <w:rPr>
          <w:rFonts w:hint="eastAsia" w:ascii="宋体" w:hAnsi="宋体"/>
          <w:b/>
          <w:sz w:val="24"/>
        </w:rPr>
        <w:t>所有通过符合性审核的单位</w:t>
      </w:r>
      <w:r>
        <w:rPr>
          <w:rFonts w:hint="eastAsia" w:ascii="宋体" w:hAnsi="宋体"/>
          <w:b/>
          <w:sz w:val="24"/>
          <w:lang w:eastAsia="zh-CN"/>
        </w:rPr>
        <w:t>进行详细评审</w:t>
      </w:r>
    </w:p>
    <w:p>
      <w:pPr>
        <w:rPr>
          <w:rFonts w:hint="eastAsia"/>
          <w:b/>
          <w:bCs/>
          <w:sz w:val="20"/>
          <w:szCs w:val="20"/>
          <w:lang w:val="en-US" w:eastAsia="zh-CN"/>
        </w:rPr>
      </w:pPr>
    </w:p>
    <w:tbl>
      <w:tblPr>
        <w:tblStyle w:val="12"/>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548"/>
        <w:gridCol w:w="6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3567" w:type="dxa"/>
            <w:gridSpan w:val="2"/>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6061"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jc w:val="center"/>
        </w:trPr>
        <w:tc>
          <w:tcPr>
            <w:tcW w:w="3567" w:type="dxa"/>
            <w:gridSpan w:val="2"/>
            <w:vAlign w:val="center"/>
          </w:tcPr>
          <w:p>
            <w:pPr>
              <w:widowControl/>
              <w:jc w:val="center"/>
              <w:rPr>
                <w:rFonts w:hint="eastAsia" w:ascii="宋体" w:hAnsi="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分值构成</w:t>
            </w:r>
          </w:p>
        </w:tc>
        <w:tc>
          <w:tcPr>
            <w:tcW w:w="6061" w:type="dxa"/>
            <w:vAlign w:val="center"/>
          </w:tcPr>
          <w:p>
            <w:pPr>
              <w:widowControl/>
              <w:rPr>
                <w:rFonts w:hint="eastAsia" w:ascii="宋体" w:hAnsi="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1.服务方案60分</w:t>
            </w:r>
          </w:p>
          <w:p>
            <w:pPr>
              <w:widowControl/>
              <w:rPr>
                <w:rFonts w:hint="eastAsia" w:ascii="宋体" w:hAnsi="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2.商务部分10分</w:t>
            </w:r>
          </w:p>
          <w:p>
            <w:pPr>
              <w:widowControl/>
              <w:rPr>
                <w:rFonts w:hint="eastAsia" w:ascii="宋体" w:hAnsi="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3.报价得分30分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1019" w:type="dxa"/>
            <w:vMerge w:val="restart"/>
            <w:vAlign w:val="center"/>
          </w:tcPr>
          <w:p>
            <w:pPr>
              <w:widowControl/>
              <w:jc w:val="center"/>
              <w:rPr>
                <w:rFonts w:hint="default" w:ascii="宋体" w:hAnsi="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监理大纲（60分）</w:t>
            </w:r>
          </w:p>
        </w:tc>
        <w:tc>
          <w:tcPr>
            <w:tcW w:w="2548" w:type="dxa"/>
            <w:vAlign w:val="center"/>
          </w:tcPr>
          <w:p>
            <w:pPr>
              <w:pStyle w:val="33"/>
              <w:keepNext w:val="0"/>
              <w:keepLines w:val="0"/>
              <w:pageBreakBefore w:val="0"/>
              <w:kinsoku/>
              <w:wordWrap/>
              <w:overflowPunct/>
              <w:topLinePunct w:val="0"/>
              <w:autoSpaceDE/>
              <w:autoSpaceDN/>
              <w:bidi w:val="0"/>
              <w:snapToGrid/>
              <w:spacing w:line="300" w:lineRule="exact"/>
              <w:jc w:val="center"/>
              <w:rPr>
                <w:rFonts w:hint="default"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质量控制措施（12.0分）</w:t>
            </w:r>
          </w:p>
        </w:tc>
        <w:tc>
          <w:tcPr>
            <w:tcW w:w="6061" w:type="dxa"/>
            <w:vAlign w:val="center"/>
          </w:tcPr>
          <w:p>
            <w:pPr>
              <w:widowControl/>
              <w:jc w:val="left"/>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0"/>
                <w:szCs w:val="20"/>
                <w:lang w:val="en-US" w:eastAsia="zh-CN"/>
              </w:rPr>
              <w:t>根据质量控制措施（如质量目标与标准、质量控制流程、关键节点把控、质量验收计划等）是否得力，全面、有针对性综合评分。</w:t>
            </w:r>
            <w:r>
              <w:rPr>
                <w:rFonts w:hint="eastAsia" w:ascii="宋体" w:hAnsi="宋体" w:eastAsia="Times New Roman" w:cs="宋体"/>
                <w:color w:val="000000"/>
                <w:kern w:val="0"/>
                <w:sz w:val="20"/>
                <w:szCs w:val="20"/>
                <w:lang w:val="en-US" w:eastAsia="zh-CN" w:bidi="ar-SA"/>
              </w:rPr>
              <w:t>控制措施得力、全面、有针对性的，得12分；控制措施比较得力、比较全面、比较有针对性的，得9分；控制措施不太得力、不太全面、针对性不强的，得6分；控制措施差或无得的0分。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1019" w:type="dxa"/>
            <w:vMerge w:val="continue"/>
            <w:vAlign w:val="center"/>
          </w:tcPr>
          <w:p>
            <w:pPr>
              <w:widowControl/>
              <w:rPr>
                <w:rFonts w:hint="eastAsia" w:ascii="宋体" w:hAnsi="宋体" w:cs="宋体"/>
                <w:b/>
                <w:bCs/>
                <w:color w:val="000000"/>
                <w:kern w:val="0"/>
                <w:sz w:val="21"/>
                <w:szCs w:val="21"/>
                <w:highlight w:val="none"/>
                <w:lang w:val="en-US" w:eastAsia="zh-CN"/>
              </w:rPr>
            </w:pPr>
          </w:p>
        </w:tc>
        <w:tc>
          <w:tcPr>
            <w:tcW w:w="2548" w:type="dxa"/>
            <w:vAlign w:val="center"/>
          </w:tcPr>
          <w:p>
            <w:pPr>
              <w:pStyle w:val="33"/>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进度控制措施（10.0分）</w:t>
            </w:r>
          </w:p>
        </w:tc>
        <w:tc>
          <w:tcPr>
            <w:tcW w:w="6061" w:type="dxa"/>
            <w:vAlign w:val="center"/>
          </w:tcPr>
          <w:p>
            <w:pPr>
              <w:widowControl/>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Times New Roman" w:cs="宋体"/>
                <w:color w:val="000000"/>
                <w:kern w:val="0"/>
                <w:sz w:val="20"/>
                <w:szCs w:val="20"/>
                <w:lang w:val="en-US" w:eastAsia="zh-CN" w:bidi="ar-SA"/>
              </w:rPr>
              <w:t>根据进度控制措施（如进度计划、动态调整机制、风险应对方案等）是否合理有效、全面、有针对性综合评分。控制措施合理有效、全面、有针对性的，得10分；控制措施比较合理有效、比较全面、比较有针对性的，得7分；控制措施不太合理有效、不太全面、针对性不强的，得4分；控制措施差或无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019" w:type="dxa"/>
            <w:vMerge w:val="continue"/>
            <w:vAlign w:val="center"/>
          </w:tcPr>
          <w:p>
            <w:pPr>
              <w:widowControl/>
              <w:rPr>
                <w:rFonts w:hint="eastAsia" w:ascii="宋体" w:hAnsi="宋体" w:cs="宋体"/>
                <w:b/>
                <w:bCs/>
                <w:color w:val="000000"/>
                <w:kern w:val="0"/>
                <w:sz w:val="21"/>
                <w:szCs w:val="21"/>
                <w:highlight w:val="none"/>
                <w:lang w:val="en-US" w:eastAsia="zh-CN"/>
              </w:rPr>
            </w:pPr>
          </w:p>
        </w:tc>
        <w:tc>
          <w:tcPr>
            <w:tcW w:w="2548" w:type="dxa"/>
            <w:vAlign w:val="center"/>
          </w:tcPr>
          <w:p>
            <w:pPr>
              <w:pStyle w:val="33"/>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造价控制措施（10.0分）</w:t>
            </w:r>
          </w:p>
        </w:tc>
        <w:tc>
          <w:tcPr>
            <w:tcW w:w="6061" w:type="dxa"/>
            <w:vAlign w:val="center"/>
          </w:tcPr>
          <w:p>
            <w:pPr>
              <w:widowControl/>
              <w:jc w:val="left"/>
              <w:rPr>
                <w:rFonts w:hint="default" w:ascii="宋体" w:hAnsi="宋体" w:eastAsia="宋体" w:cs="宋体"/>
                <w:color w:val="000000"/>
                <w:kern w:val="0"/>
                <w:sz w:val="21"/>
                <w:szCs w:val="21"/>
                <w:highlight w:val="none"/>
                <w:lang w:val="en-US" w:eastAsia="zh-CN" w:bidi="ar-SA"/>
              </w:rPr>
            </w:pPr>
            <w:r>
              <w:rPr>
                <w:rFonts w:hint="eastAsia" w:ascii="宋体" w:hAnsi="宋体" w:eastAsia="Times New Roman" w:cs="宋体"/>
                <w:color w:val="000000"/>
                <w:kern w:val="0"/>
                <w:sz w:val="20"/>
                <w:szCs w:val="20"/>
                <w:lang w:val="en-US" w:eastAsia="zh-CN" w:bidi="ar-SA"/>
              </w:rPr>
              <w:t>根据造价控制措施（如成本监控方法，变更签证管理预算审核机制等）是否得力、全面、有针对性综合评分。控制措施得力、全面、有针对性的，得10分；控制措施比较得力、比较全面、比较有针对性的，得7分；控制措施不太得力、不太全面、针对性不强的，得4分；控制措施差或无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1019" w:type="dxa"/>
            <w:vMerge w:val="continue"/>
            <w:vAlign w:val="center"/>
          </w:tcPr>
          <w:p>
            <w:pPr>
              <w:widowControl/>
              <w:rPr>
                <w:rFonts w:hint="eastAsia" w:ascii="宋体" w:hAnsi="宋体" w:cs="宋体"/>
                <w:b/>
                <w:bCs/>
                <w:color w:val="000000"/>
                <w:kern w:val="0"/>
                <w:sz w:val="21"/>
                <w:szCs w:val="21"/>
                <w:highlight w:val="none"/>
                <w:lang w:val="en-US" w:eastAsia="zh-CN"/>
              </w:rPr>
            </w:pPr>
          </w:p>
        </w:tc>
        <w:tc>
          <w:tcPr>
            <w:tcW w:w="2548" w:type="dxa"/>
            <w:vAlign w:val="center"/>
          </w:tcPr>
          <w:p>
            <w:pPr>
              <w:pStyle w:val="33"/>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环境保护控制措施    （6.0分）</w:t>
            </w:r>
          </w:p>
        </w:tc>
        <w:tc>
          <w:tcPr>
            <w:tcW w:w="6061" w:type="dxa"/>
            <w:vAlign w:val="center"/>
          </w:tcPr>
          <w:p>
            <w:pPr>
              <w:widowControl/>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Times New Roman" w:cs="宋体"/>
                <w:color w:val="000000"/>
                <w:kern w:val="0"/>
                <w:sz w:val="20"/>
                <w:szCs w:val="20"/>
                <w:lang w:val="en-US" w:eastAsia="zh-CN" w:bidi="ar-SA"/>
              </w:rPr>
              <w:t>根据环境保护控制措施（如降尘、降噪、垃圾清运等）是否得力、全面、有针对性综合评分，控制措施得力、全面、有针对性的，得6分；控制措施比较得力、比较全面、比较有针对性的，得4分；控制措施不太得力、不太全面、针对性不强的，得2分；控制措施差或无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019" w:type="dxa"/>
            <w:vMerge w:val="continue"/>
            <w:vAlign w:val="center"/>
          </w:tcPr>
          <w:p>
            <w:pPr>
              <w:widowControl/>
              <w:ind w:leftChars="0"/>
            </w:pPr>
          </w:p>
        </w:tc>
        <w:tc>
          <w:tcPr>
            <w:tcW w:w="2548" w:type="dxa"/>
            <w:vAlign w:val="center"/>
          </w:tcPr>
          <w:p>
            <w:pPr>
              <w:pStyle w:val="33"/>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安全生产管理措施    （8.0分）</w:t>
            </w:r>
          </w:p>
        </w:tc>
        <w:tc>
          <w:tcPr>
            <w:tcW w:w="6061" w:type="dxa"/>
            <w:vAlign w:val="center"/>
          </w:tcPr>
          <w:p>
            <w:pPr>
              <w:widowControl/>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Times New Roman" w:cs="宋体"/>
                <w:color w:val="000000"/>
                <w:kern w:val="0"/>
                <w:sz w:val="20"/>
                <w:szCs w:val="20"/>
                <w:lang w:val="en-US" w:eastAsia="zh-CN" w:bidi="ar-SA"/>
              </w:rPr>
              <w:t>根据安全管理措施（结合现场实际情况编制安全风险清单、应急预案、安全培训等）是否得力，全面、有针对性综合评分。控制措施得力、全面、有针对性的，得8分；控制措施比较得力、比较全面、比较有针对性的，得5分；控制措施不太得力、不太全面、针对性不强的，得2分；控制措施差或无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19" w:type="dxa"/>
            <w:vMerge w:val="continue"/>
            <w:vAlign w:val="center"/>
          </w:tcPr>
          <w:p>
            <w:pPr>
              <w:widowControl/>
              <w:rPr>
                <w:rFonts w:hint="eastAsia" w:ascii="宋体" w:hAnsi="宋体" w:cs="宋体"/>
                <w:color w:val="000000"/>
                <w:kern w:val="0"/>
                <w:sz w:val="21"/>
                <w:szCs w:val="21"/>
                <w:highlight w:val="none"/>
                <w:lang w:val="en-US" w:eastAsia="zh-CN"/>
              </w:rPr>
            </w:pPr>
          </w:p>
        </w:tc>
        <w:tc>
          <w:tcPr>
            <w:tcW w:w="2548" w:type="dxa"/>
            <w:vAlign w:val="center"/>
          </w:tcPr>
          <w:p>
            <w:pPr>
              <w:pStyle w:val="33"/>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文明施工管理措施     （4.0分）</w:t>
            </w:r>
          </w:p>
        </w:tc>
        <w:tc>
          <w:tcPr>
            <w:tcW w:w="6061" w:type="dxa"/>
            <w:vAlign w:val="center"/>
          </w:tcPr>
          <w:p>
            <w:pPr>
              <w:widowControl/>
              <w:jc w:val="left"/>
              <w:rPr>
                <w:rFonts w:hint="default" w:ascii="宋体" w:hAnsi="宋体" w:eastAsia="宋体" w:cs="宋体"/>
                <w:color w:val="000000"/>
                <w:kern w:val="0"/>
                <w:sz w:val="21"/>
                <w:szCs w:val="21"/>
                <w:highlight w:val="none"/>
                <w:lang w:val="en-US" w:eastAsia="zh-CN" w:bidi="ar-SA"/>
              </w:rPr>
            </w:pPr>
            <w:r>
              <w:rPr>
                <w:rFonts w:hint="eastAsia" w:ascii="宋体" w:hAnsi="宋体" w:eastAsia="Times New Roman" w:cs="宋体"/>
                <w:color w:val="000000"/>
                <w:kern w:val="0"/>
                <w:sz w:val="20"/>
                <w:szCs w:val="20"/>
                <w:lang w:val="en-US" w:eastAsia="zh-CN" w:bidi="ar-SA"/>
              </w:rPr>
              <w:t>根据文明施工管理措施（如现场管理规范、扰民防控、卫生与环境维护等）是否根据项目特点编制。措施合理、全面、有针对性的，得4分；措施比较合理、全面，相对有针对性的，得2分；措施差或无的，得0分。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019" w:type="dxa"/>
            <w:vMerge w:val="continue"/>
            <w:vAlign w:val="center"/>
          </w:tcPr>
          <w:p>
            <w:pPr>
              <w:widowControl/>
              <w:ind w:leftChars="0"/>
            </w:pPr>
          </w:p>
        </w:tc>
        <w:tc>
          <w:tcPr>
            <w:tcW w:w="2548" w:type="dxa"/>
            <w:vAlign w:val="center"/>
          </w:tcPr>
          <w:p>
            <w:pPr>
              <w:pStyle w:val="33"/>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合同、信息管理（6.0分）</w:t>
            </w:r>
          </w:p>
        </w:tc>
        <w:tc>
          <w:tcPr>
            <w:tcW w:w="6061" w:type="dxa"/>
            <w:vAlign w:val="center"/>
          </w:tcPr>
          <w:p>
            <w:pPr>
              <w:adjustRightInd w:val="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Times New Roman" w:cs="宋体"/>
                <w:color w:val="000000"/>
                <w:kern w:val="0"/>
                <w:sz w:val="20"/>
                <w:szCs w:val="20"/>
                <w:lang w:val="en-US" w:eastAsia="zh-CN" w:bidi="ar-SA"/>
              </w:rPr>
              <w:t>根据合同、信息管理内容（如合同履约监管、档案管理流程、信息化工具应用等）是否明确、管理措施是否得当综合评分。内容明确，措施合理的，得6分；内容比较明确，措施相对合理的，得4分；内容不太明确，措施不太合理的，得2分；差或无相关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019" w:type="dxa"/>
            <w:vMerge w:val="continue"/>
            <w:vAlign w:val="center"/>
          </w:tcPr>
          <w:p>
            <w:pPr>
              <w:widowControl/>
              <w:ind w:leftChars="0"/>
            </w:pPr>
          </w:p>
        </w:tc>
        <w:tc>
          <w:tcPr>
            <w:tcW w:w="2548" w:type="dxa"/>
            <w:vAlign w:val="center"/>
          </w:tcPr>
          <w:p>
            <w:pPr>
              <w:pStyle w:val="33"/>
              <w:keepNext w:val="0"/>
              <w:keepLines w:val="0"/>
              <w:pageBreakBefore w:val="0"/>
              <w:kinsoku/>
              <w:wordWrap/>
              <w:overflowPunct/>
              <w:topLinePunct w:val="0"/>
              <w:autoSpaceDE/>
              <w:autoSpaceDN/>
              <w:bidi w:val="0"/>
              <w:snapToGrid/>
              <w:spacing w:line="300" w:lineRule="exact"/>
              <w:jc w:val="center"/>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组织协调内容及措施  （4.0分）</w:t>
            </w:r>
          </w:p>
        </w:tc>
        <w:tc>
          <w:tcPr>
            <w:tcW w:w="6061" w:type="dxa"/>
            <w:vAlign w:val="center"/>
          </w:tcPr>
          <w:p>
            <w:pPr>
              <w:adjustRightInd w:val="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Times New Roman" w:cs="宋体"/>
                <w:color w:val="000000"/>
                <w:kern w:val="0"/>
                <w:sz w:val="20"/>
                <w:szCs w:val="20"/>
                <w:lang w:val="en-US" w:eastAsia="zh-CN" w:bidi="ar-SA"/>
              </w:rPr>
              <w:t>根据组织协调内容（如沟通机制、多方协作方案、争议处理预案等）及措施是否明确、全面、有效综合评分。内容及措施明确、全面、有效的，得4分；内容及措施一般的，得2分；差或无相关内容的，得0分。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7" w:hRule="atLeast"/>
          <w:jc w:val="center"/>
        </w:trPr>
        <w:tc>
          <w:tcPr>
            <w:tcW w:w="1019" w:type="dxa"/>
            <w:vMerge w:val="restart"/>
            <w:vAlign w:val="center"/>
          </w:tcPr>
          <w:p>
            <w:pPr>
              <w:widowControl/>
              <w:jc w:val="center"/>
              <w:rPr>
                <w:rFonts w:hint="eastAsia"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商</w:t>
            </w:r>
            <w:r>
              <w:rPr>
                <w:rFonts w:hint="eastAsia" w:ascii="宋体" w:hAnsi="宋体" w:cs="宋体"/>
                <w:b/>
                <w:bCs/>
                <w:color w:val="000000"/>
                <w:kern w:val="0"/>
                <w:sz w:val="21"/>
                <w:szCs w:val="21"/>
                <w:highlight w:val="none"/>
                <w:lang w:val="en-US" w:eastAsia="zh-CN"/>
              </w:rPr>
              <w:t xml:space="preserve"> </w:t>
            </w:r>
            <w:r>
              <w:rPr>
                <w:rFonts w:hint="eastAsia" w:ascii="宋体" w:hAnsi="宋体" w:cs="宋体"/>
                <w:b/>
                <w:bCs/>
                <w:color w:val="000000"/>
                <w:kern w:val="0"/>
                <w:sz w:val="21"/>
                <w:szCs w:val="21"/>
                <w:highlight w:val="none"/>
              </w:rPr>
              <w:t>务</w:t>
            </w:r>
          </w:p>
          <w:p>
            <w:pPr>
              <w:widowControl/>
              <w:jc w:val="center"/>
              <w:rPr>
                <w:rFonts w:hint="eastAsia" w:ascii="宋体" w:hAnsi="宋体" w:eastAsia="宋体" w:cs="宋体"/>
                <w:b/>
                <w:bCs/>
                <w:color w:val="000000"/>
                <w:kern w:val="0"/>
                <w:sz w:val="21"/>
                <w:szCs w:val="21"/>
                <w:highlight w:val="none"/>
                <w:lang w:eastAsia="zh-CN"/>
              </w:rPr>
            </w:pPr>
            <w:r>
              <w:rPr>
                <w:rFonts w:hint="eastAsia" w:ascii="宋体" w:hAnsi="宋体" w:cs="宋体"/>
                <w:b/>
                <w:bCs/>
                <w:color w:val="000000"/>
                <w:kern w:val="0"/>
                <w:sz w:val="21"/>
                <w:szCs w:val="21"/>
                <w:highlight w:val="none"/>
              </w:rPr>
              <w:t>部</w:t>
            </w:r>
            <w:r>
              <w:rPr>
                <w:rFonts w:hint="eastAsia" w:ascii="宋体" w:hAnsi="宋体" w:cs="宋体"/>
                <w:b/>
                <w:bCs/>
                <w:color w:val="000000"/>
                <w:kern w:val="0"/>
                <w:sz w:val="21"/>
                <w:szCs w:val="21"/>
                <w:highlight w:val="none"/>
                <w:lang w:val="en-US" w:eastAsia="zh-CN"/>
              </w:rPr>
              <w:t xml:space="preserve"> </w:t>
            </w:r>
            <w:r>
              <w:rPr>
                <w:rFonts w:hint="eastAsia" w:ascii="宋体" w:hAnsi="宋体" w:cs="宋体"/>
                <w:b/>
                <w:bCs/>
                <w:color w:val="000000"/>
                <w:kern w:val="0"/>
                <w:sz w:val="21"/>
                <w:szCs w:val="21"/>
                <w:highlight w:val="none"/>
              </w:rPr>
              <w:t>分</w:t>
            </w:r>
            <w:r>
              <w:rPr>
                <w:rFonts w:hint="eastAsia" w:ascii="宋体" w:hAnsi="宋体" w:cs="宋体"/>
                <w:b/>
                <w:bCs/>
                <w:color w:val="000000"/>
                <w:kern w:val="0"/>
                <w:sz w:val="21"/>
                <w:szCs w:val="21"/>
                <w:highlight w:val="none"/>
                <w:lang w:eastAsia="zh-CN"/>
              </w:rPr>
              <w:t>（</w:t>
            </w:r>
            <w:r>
              <w:rPr>
                <w:rFonts w:hint="eastAsia" w:ascii="宋体" w:hAnsi="宋体" w:cs="宋体"/>
                <w:b/>
                <w:bCs/>
                <w:color w:val="000000"/>
                <w:kern w:val="0"/>
                <w:sz w:val="21"/>
                <w:szCs w:val="21"/>
                <w:highlight w:val="none"/>
                <w:lang w:val="en-US" w:eastAsia="zh-CN"/>
              </w:rPr>
              <w:t>10分</w:t>
            </w:r>
            <w:r>
              <w:rPr>
                <w:rFonts w:hint="eastAsia" w:ascii="宋体" w:hAnsi="宋体" w:cs="宋体"/>
                <w:b/>
                <w:bCs/>
                <w:color w:val="000000"/>
                <w:kern w:val="0"/>
                <w:sz w:val="21"/>
                <w:szCs w:val="21"/>
                <w:highlight w:val="none"/>
                <w:lang w:eastAsia="zh-CN"/>
              </w:rPr>
              <w:t>）</w:t>
            </w:r>
          </w:p>
        </w:tc>
        <w:tc>
          <w:tcPr>
            <w:tcW w:w="2548" w:type="dxa"/>
            <w:vAlign w:val="center"/>
          </w:tcPr>
          <w:p>
            <w:pPr>
              <w:widowControl/>
              <w:jc w:val="center"/>
              <w:rPr>
                <w:rFonts w:hint="default" w:ascii="宋体" w:hAnsi="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bidi="ar-SA"/>
              </w:rPr>
              <w:t>项目机构其他人员配备（</w:t>
            </w:r>
            <w:r>
              <w:rPr>
                <w:rFonts w:hint="eastAsia" w:ascii="宋体" w:hAnsi="宋体" w:cs="宋体"/>
                <w:b/>
                <w:bCs/>
                <w:color w:val="000000"/>
                <w:kern w:val="0"/>
                <w:sz w:val="21"/>
                <w:szCs w:val="21"/>
                <w:highlight w:val="none"/>
                <w:lang w:val="en-US" w:eastAsia="zh-CN" w:bidi="ar-SA"/>
              </w:rPr>
              <w:t>6</w:t>
            </w:r>
            <w:r>
              <w:rPr>
                <w:rFonts w:hint="eastAsia" w:ascii="宋体" w:hAnsi="宋体" w:eastAsia="宋体" w:cs="宋体"/>
                <w:b/>
                <w:bCs/>
                <w:color w:val="000000"/>
                <w:kern w:val="0"/>
                <w:sz w:val="21"/>
                <w:szCs w:val="21"/>
                <w:highlight w:val="none"/>
                <w:lang w:val="en-US" w:eastAsia="zh-CN" w:bidi="ar-SA"/>
              </w:rPr>
              <w:t>分）</w:t>
            </w:r>
          </w:p>
        </w:tc>
        <w:tc>
          <w:tcPr>
            <w:tcW w:w="6061" w:type="dxa"/>
            <w:vAlign w:val="center"/>
          </w:tcPr>
          <w:p>
            <w:pPr>
              <w:widowControl/>
              <w:numPr>
                <w:ilvl w:val="0"/>
                <w:numId w:val="0"/>
              </w:numPr>
              <w:ind w:leftChars="0"/>
              <w:rPr>
                <w:rFonts w:hint="eastAsia" w:ascii="宋体" w:hAnsi="宋体" w:eastAsia="宋体" w:cs="宋体"/>
                <w:color w:val="000000"/>
                <w:kern w:val="0"/>
                <w:sz w:val="21"/>
                <w:szCs w:val="21"/>
                <w:highlight w:val="none"/>
                <w:lang w:val="en-US" w:eastAsia="zh-CN" w:bidi="ar-SA"/>
              </w:rPr>
            </w:pPr>
            <w:r>
              <w:rPr>
                <w:rFonts w:hint="eastAsia" w:ascii="宋体" w:hAnsi="宋体" w:eastAsia="Times New Roman" w:cs="宋体"/>
                <w:color w:val="000000"/>
                <w:kern w:val="0"/>
                <w:sz w:val="20"/>
                <w:szCs w:val="20"/>
                <w:lang w:val="en-US" w:eastAsia="zh-CN" w:bidi="ar-SA"/>
              </w:rPr>
              <w:t>在满足资格标准要求的基础上，每增派一名监理工程师得1.5分。本项最多得6分。</w:t>
            </w:r>
            <w:r>
              <w:rPr>
                <w:rFonts w:hint="eastAsia" w:ascii="宋体" w:hAnsi="宋体" w:eastAsia="Times New Roman" w:cs="宋体"/>
                <w:b/>
                <w:bCs/>
                <w:color w:val="000000"/>
                <w:kern w:val="0"/>
                <w:sz w:val="20"/>
                <w:szCs w:val="20"/>
                <w:lang w:val="en-US" w:eastAsia="zh-CN" w:bidi="ar-SA"/>
              </w:rPr>
              <w:t>注：</w:t>
            </w:r>
            <w:r>
              <w:rPr>
                <w:rFonts w:hint="eastAsia" w:ascii="宋体" w:hAnsi="宋体" w:eastAsia="Times New Roman" w:cs="宋体"/>
                <w:color w:val="000000"/>
                <w:kern w:val="0"/>
                <w:sz w:val="20"/>
                <w:szCs w:val="20"/>
                <w:lang w:val="en-US" w:eastAsia="zh-CN" w:bidi="ar-SA"/>
              </w:rPr>
              <w:t>以上监理人员须提供监理资格证书（不限专业）。除内蒙古自治区，以外的自治区级或省级监理工程师必须保证本地区监理工程师可跨省执业，并提供有效的证明材料，如发证机构文件或网站截图等。配备人员年龄不得超过65周岁，须提供递交比选投标文件截止之日前一年内任意连续6个月或以上的以投标单位所属社保机构出具(新入职人员要求提供入职时至投标截止日期前)的社保缴费证明(并加盖缴费证明专用章)或其他能够证明参加社保的有效证明材料为准，退休人员无需提供社保缴费证明，须提供有效的与聘用单位签订的聘用劳动合同及退休证明（投标文件需附相关证明资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1019" w:type="dxa"/>
            <w:vMerge w:val="continue"/>
            <w:vAlign w:val="center"/>
          </w:tcPr>
          <w:p>
            <w:pPr>
              <w:widowControl/>
              <w:rPr>
                <w:rFonts w:hint="eastAsia" w:ascii="宋体" w:hAnsi="宋体" w:cs="宋体"/>
                <w:b/>
                <w:bCs/>
                <w:color w:val="000000"/>
                <w:kern w:val="0"/>
                <w:sz w:val="21"/>
                <w:szCs w:val="21"/>
                <w:highlight w:val="none"/>
              </w:rPr>
            </w:pPr>
          </w:p>
        </w:tc>
        <w:tc>
          <w:tcPr>
            <w:tcW w:w="2548" w:type="dxa"/>
            <w:vAlign w:val="center"/>
          </w:tcPr>
          <w:p>
            <w:pPr>
              <w:widowControl/>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总监理工程师业绩</w:t>
            </w:r>
            <w:bookmarkStart w:id="0" w:name="OLE_LINK1"/>
            <w:r>
              <w:rPr>
                <w:rFonts w:hint="eastAsia" w:ascii="宋体" w:hAnsi="宋体" w:eastAsia="宋体" w:cs="宋体"/>
                <w:b/>
                <w:bCs/>
                <w:color w:val="000000"/>
                <w:kern w:val="0"/>
                <w:sz w:val="21"/>
                <w:szCs w:val="21"/>
                <w:highlight w:val="none"/>
                <w:lang w:val="en-US" w:eastAsia="zh-CN" w:bidi="ar-SA"/>
              </w:rPr>
              <w:t>（4分）</w:t>
            </w:r>
            <w:bookmarkEnd w:id="0"/>
          </w:p>
        </w:tc>
        <w:tc>
          <w:tcPr>
            <w:tcW w:w="6061" w:type="dxa"/>
            <w:vAlign w:val="center"/>
          </w:tcPr>
          <w:p>
            <w:pPr>
              <w:widowControl/>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总监理工程师近年（202</w:t>
            </w:r>
            <w:r>
              <w:rPr>
                <w:rFonts w:hint="eastAsia" w:ascii="宋体" w:hAnsi="宋体" w:cs="宋体"/>
                <w:color w:val="000000"/>
                <w:kern w:val="0"/>
                <w:sz w:val="21"/>
                <w:szCs w:val="21"/>
                <w:highlight w:val="none"/>
                <w:lang w:val="en-US" w:eastAsia="zh-CN" w:bidi="ar-SA"/>
              </w:rPr>
              <w:t>3</w:t>
            </w:r>
            <w:r>
              <w:rPr>
                <w:rFonts w:hint="eastAsia" w:ascii="宋体" w:hAnsi="宋体" w:eastAsia="宋体" w:cs="宋体"/>
                <w:color w:val="000000"/>
                <w:kern w:val="0"/>
                <w:sz w:val="21"/>
                <w:szCs w:val="21"/>
                <w:highlight w:val="none"/>
                <w:lang w:val="en-US" w:eastAsia="zh-CN" w:bidi="ar-SA"/>
              </w:rPr>
              <w:t>年1月1日至今，以合同签订时间为准），每担任过1项建筑工程项目总监理工程师的，得2分，最高得4分。（投标文件需附合同</w:t>
            </w:r>
            <w:r>
              <w:rPr>
                <w:rFonts w:hint="eastAsia" w:ascii="宋体" w:hAnsi="宋体" w:cs="宋体"/>
                <w:color w:val="000000"/>
                <w:kern w:val="0"/>
                <w:sz w:val="21"/>
                <w:szCs w:val="21"/>
                <w:highlight w:val="none"/>
                <w:lang w:val="en-US" w:eastAsia="zh-CN" w:bidi="ar-SA"/>
              </w:rPr>
              <w:t>扫描件</w:t>
            </w:r>
            <w:r>
              <w:rPr>
                <w:rFonts w:hint="eastAsia" w:ascii="宋体" w:hAnsi="宋体" w:eastAsia="宋体" w:cs="宋体"/>
                <w:color w:val="000000"/>
                <w:kern w:val="0"/>
                <w:sz w:val="21"/>
                <w:szCs w:val="21"/>
                <w:highlight w:val="none"/>
                <w:lang w:val="en-US" w:eastAsia="zh-CN" w:bidi="ar-SA"/>
              </w:rPr>
              <w:t>，合同中不体现项目总监理工程师的须提供相关证明资料，否则按无效业绩处理）。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019" w:type="dxa"/>
            <w:vAlign w:val="center"/>
          </w:tcPr>
          <w:p>
            <w:pPr>
              <w:widowControl/>
              <w:jc w:val="center"/>
              <w:rPr>
                <w:rFonts w:hint="eastAsia" w:ascii="宋体" w:hAnsi="宋体" w:cs="宋体"/>
                <w:b/>
                <w:bCs/>
                <w:color w:val="000000"/>
                <w:kern w:val="0"/>
                <w:sz w:val="21"/>
                <w:szCs w:val="21"/>
                <w:highlight w:val="none"/>
              </w:rPr>
            </w:pPr>
            <w:r>
              <w:rPr>
                <w:rFonts w:hint="eastAsia" w:ascii="宋体" w:hAnsi="宋体" w:cs="宋体"/>
                <w:b/>
                <w:bCs/>
                <w:color w:val="000000"/>
                <w:kern w:val="0"/>
                <w:sz w:val="21"/>
                <w:szCs w:val="21"/>
                <w:highlight w:val="none"/>
              </w:rPr>
              <w:t>投 标</w:t>
            </w:r>
          </w:p>
          <w:p>
            <w:pPr>
              <w:widowControl/>
              <w:jc w:val="center"/>
              <w:rPr>
                <w:rFonts w:hint="eastAsia" w:ascii="宋体" w:hAnsi="宋体" w:eastAsia="宋体" w:cs="宋体"/>
                <w:b/>
                <w:bCs/>
                <w:color w:val="000000"/>
                <w:kern w:val="0"/>
                <w:sz w:val="21"/>
                <w:szCs w:val="21"/>
                <w:highlight w:val="none"/>
                <w:lang w:eastAsia="zh-CN"/>
              </w:rPr>
            </w:pPr>
            <w:r>
              <w:rPr>
                <w:rFonts w:hint="eastAsia" w:ascii="宋体" w:hAnsi="宋体" w:cs="宋体"/>
                <w:b/>
                <w:bCs/>
                <w:color w:val="000000"/>
                <w:kern w:val="0"/>
                <w:sz w:val="21"/>
                <w:szCs w:val="21"/>
                <w:highlight w:val="none"/>
              </w:rPr>
              <w:t>报 价</w:t>
            </w:r>
            <w:r>
              <w:rPr>
                <w:rFonts w:hint="eastAsia" w:ascii="宋体" w:hAnsi="宋体" w:cs="宋体"/>
                <w:b/>
                <w:bCs/>
                <w:color w:val="000000"/>
                <w:kern w:val="0"/>
                <w:sz w:val="21"/>
                <w:szCs w:val="21"/>
                <w:highlight w:val="none"/>
                <w:lang w:eastAsia="zh-CN"/>
              </w:rPr>
              <w:t>（</w:t>
            </w:r>
            <w:r>
              <w:rPr>
                <w:rFonts w:hint="eastAsia" w:ascii="宋体" w:hAnsi="宋体" w:cs="宋体"/>
                <w:b/>
                <w:bCs/>
                <w:color w:val="000000"/>
                <w:kern w:val="0"/>
                <w:sz w:val="21"/>
                <w:szCs w:val="21"/>
                <w:highlight w:val="none"/>
                <w:lang w:val="en-US" w:eastAsia="zh-CN"/>
              </w:rPr>
              <w:t>30分</w:t>
            </w:r>
            <w:r>
              <w:rPr>
                <w:rFonts w:hint="eastAsia" w:ascii="宋体" w:hAnsi="宋体" w:cs="宋体"/>
                <w:b/>
                <w:bCs/>
                <w:color w:val="000000"/>
                <w:kern w:val="0"/>
                <w:sz w:val="21"/>
                <w:szCs w:val="21"/>
                <w:highlight w:val="none"/>
                <w:lang w:eastAsia="zh-CN"/>
              </w:rPr>
              <w:t>）</w:t>
            </w:r>
          </w:p>
        </w:tc>
        <w:tc>
          <w:tcPr>
            <w:tcW w:w="2548" w:type="dxa"/>
            <w:vAlign w:val="center"/>
          </w:tcPr>
          <w:p>
            <w:pPr>
              <w:widowControl/>
              <w:rPr>
                <w:rFonts w:hint="eastAsia" w:ascii="宋体" w:hAnsi="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投标报价得分30分</w:t>
            </w:r>
          </w:p>
        </w:tc>
        <w:tc>
          <w:tcPr>
            <w:tcW w:w="6061" w:type="dxa"/>
            <w:vAlign w:val="center"/>
          </w:tcPr>
          <w:p>
            <w:pPr>
              <w:widowControl/>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价格项评审因素得分＝（评标基准价/投标报价）</w:t>
            </w:r>
            <w:r>
              <w:rPr>
                <w:rFonts w:hint="default" w:ascii="宋体" w:hAnsi="宋体" w:eastAsia="宋体" w:cs="宋体"/>
                <w:color w:val="000000"/>
                <w:kern w:val="0"/>
                <w:sz w:val="21"/>
                <w:szCs w:val="21"/>
                <w:highlight w:val="none"/>
                <w:lang w:val="en-US" w:eastAsia="zh-CN" w:bidi="ar-SA"/>
              </w:rPr>
              <w:t>×100×</w:t>
            </w:r>
            <w:r>
              <w:rPr>
                <w:rFonts w:hint="eastAsia" w:ascii="宋体" w:hAnsi="宋体" w:eastAsia="宋体" w:cs="宋体"/>
                <w:color w:val="000000"/>
                <w:kern w:val="0"/>
                <w:sz w:val="21"/>
                <w:szCs w:val="21"/>
                <w:highlight w:val="none"/>
                <w:lang w:val="en-US" w:eastAsia="zh-CN" w:bidi="ar-SA"/>
              </w:rPr>
              <w:t>价格项评审因素所占的权重（30%） （注：满足比选文件要求且投标价格最低的投标报价为评标基准价。）</w:t>
            </w:r>
          </w:p>
        </w:tc>
      </w:tr>
    </w:tbl>
    <w:p/>
    <w:p>
      <w:pPr>
        <w:widowControl/>
        <w:numPr>
          <w:ilvl w:val="0"/>
          <w:numId w:val="1"/>
        </w:numPr>
        <w:spacing w:line="360" w:lineRule="auto"/>
        <w:jc w:val="left"/>
        <w:rPr>
          <w:rFonts w:hint="eastAsia" w:ascii="宋体" w:hAnsi="宋体"/>
          <w:b/>
          <w:sz w:val="24"/>
          <w:lang w:eastAsia="zh-CN"/>
        </w:rPr>
      </w:pPr>
      <w:r>
        <w:rPr>
          <w:rFonts w:hint="eastAsia" w:ascii="宋体" w:hAnsi="宋体"/>
          <w:b/>
          <w:sz w:val="24"/>
          <w:lang w:eastAsia="zh-CN"/>
        </w:rPr>
        <w:t>详细评审后根据得分由高到低的顺序进行排序</w:t>
      </w:r>
    </w:p>
    <w:p>
      <w:pPr>
        <w:widowControl/>
        <w:numPr>
          <w:ilvl w:val="0"/>
          <w:numId w:val="1"/>
        </w:numPr>
        <w:spacing w:line="360" w:lineRule="auto"/>
        <w:jc w:val="left"/>
        <w:rPr>
          <w:rFonts w:hint="eastAsia"/>
          <w:b/>
          <w:bCs/>
          <w:sz w:val="24"/>
          <w:lang w:eastAsia="zh-CN"/>
        </w:rPr>
      </w:pPr>
      <w:r>
        <w:rPr>
          <w:rFonts w:hint="eastAsia" w:ascii="宋体" w:hAnsi="宋体"/>
          <w:b/>
          <w:sz w:val="24"/>
          <w:lang w:eastAsia="zh-CN"/>
        </w:rPr>
        <w:t>根据排序，得分最高的比选投标人作为本项目比选中标人并与比选招标人签订合同。</w:t>
      </w:r>
    </w:p>
    <w:p>
      <w:pPr>
        <w:pStyle w:val="5"/>
        <w:rPr>
          <w:rFonts w:hint="eastAsia"/>
          <w:lang w:eastAsia="zh-CN"/>
        </w:rPr>
      </w:pPr>
    </w:p>
    <w:sectPr>
      <w:headerReference r:id="rId3" w:type="default"/>
      <w:footerReference r:id="rId4" w:type="default"/>
      <w:pgSz w:w="11906" w:h="16838"/>
      <w:pgMar w:top="1418" w:right="1361" w:bottom="1418" w:left="1474" w:header="851" w:footer="85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B5ARVa4AQAAUAMAAA4AAAAAAAAAAQAgAAAAHwEAAGRycy9lMm9Eb2MueG1sUEsFBgAAAAAGAAYA&#10;WQEAAEk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hint="eastAsia"/>
        <w:sz w:val="24"/>
        <w:szCs w:val="24"/>
      </w:rPr>
    </w:pPr>
    <w:r>
      <w:rPr>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A1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kern w:val="0"/>
      <w:sz w:val="32"/>
      <w:szCs w:val="32"/>
    </w:rPr>
  </w:style>
  <w:style w:type="character" w:default="1" w:styleId="10">
    <w:name w:val="Default Paragraph Font"/>
    <w:qFormat/>
    <w:uiPriority w:val="1"/>
  </w:style>
  <w:style w:type="table" w:default="1" w:styleId="12">
    <w:name w:val="Normal Table"/>
    <w:qFormat/>
    <w:uiPriority w:val="99"/>
    <w:tblPr>
      <w:tblLayout w:type="fixed"/>
      <w:tblCellMar>
        <w:top w:w="0" w:type="dxa"/>
        <w:left w:w="108" w:type="dxa"/>
        <w:bottom w:w="0" w:type="dxa"/>
        <w:right w:w="108" w:type="dxa"/>
      </w:tblCellMar>
    </w:tblPr>
  </w:style>
  <w:style w:type="paragraph" w:styleId="4">
    <w:name w:val="Body Text First Indent"/>
    <w:basedOn w:val="1"/>
    <w:qFormat/>
    <w:uiPriority w:val="0"/>
    <w:pPr>
      <w:ind w:firstLine="420" w:firstLineChars="100"/>
    </w:pPr>
    <w:rPr>
      <w:rFonts w:ascii="Times New Roman" w:hAnsi="Times New Roman"/>
    </w:rPr>
  </w:style>
  <w:style w:type="paragraph" w:styleId="5">
    <w:name w:val="Body Text"/>
    <w:basedOn w:val="1"/>
    <w:next w:val="1"/>
    <w:qFormat/>
    <w:uiPriority w:val="0"/>
    <w:pPr>
      <w:spacing w:after="120"/>
    </w:pPr>
  </w:style>
  <w:style w:type="paragraph" w:styleId="6">
    <w:name w:val="Balloon Text"/>
    <w:basedOn w:val="1"/>
    <w:link w:val="21"/>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2"/>
    <w:qFormat/>
    <w:uiPriority w:val="0"/>
    <w:pPr>
      <w:spacing w:before="240" w:after="60" w:line="312" w:lineRule="auto"/>
      <w:jc w:val="center"/>
      <w:outlineLvl w:val="1"/>
    </w:pPr>
    <w:rPr>
      <w:rFonts w:ascii="Cambria" w:hAnsi="Cambria" w:cs="宋体"/>
      <w:b/>
      <w:bCs/>
      <w:kern w:val="28"/>
      <w:sz w:val="32"/>
      <w:szCs w:val="32"/>
    </w:rPr>
  </w:style>
  <w:style w:type="character" w:styleId="11">
    <w:name w:val="page number"/>
    <w:basedOn w:val="10"/>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标题 1 Char"/>
    <w:basedOn w:val="10"/>
    <w:link w:val="2"/>
    <w:qFormat/>
    <w:uiPriority w:val="0"/>
    <w:rPr>
      <w:b/>
      <w:bCs/>
      <w:kern w:val="44"/>
      <w:sz w:val="32"/>
      <w:szCs w:val="44"/>
    </w:rPr>
  </w:style>
  <w:style w:type="character" w:customStyle="1" w:styleId="15">
    <w:name w:val="列出段落 Char"/>
    <w:link w:val="16"/>
    <w:qFormat/>
    <w:uiPriority w:val="0"/>
    <w:rPr>
      <w:kern w:val="2"/>
      <w:sz w:val="21"/>
    </w:rPr>
  </w:style>
  <w:style w:type="paragraph" w:customStyle="1" w:styleId="16">
    <w:name w:val="List Paragraph_5fbd1791-0b75-47d3-a74a-2d5a86b7ec12"/>
    <w:basedOn w:val="1"/>
    <w:link w:val="15"/>
    <w:qFormat/>
    <w:uiPriority w:val="0"/>
    <w:pPr>
      <w:ind w:firstLine="420" w:firstLineChars="200"/>
    </w:pPr>
    <w:rPr>
      <w:szCs w:val="20"/>
    </w:rPr>
  </w:style>
  <w:style w:type="character" w:customStyle="1" w:styleId="17">
    <w:name w:val="页眉 Char"/>
    <w:link w:val="8"/>
    <w:qFormat/>
    <w:uiPriority w:val="99"/>
    <w:rPr>
      <w:kern w:val="2"/>
      <w:sz w:val="18"/>
      <w:szCs w:val="18"/>
    </w:rPr>
  </w:style>
  <w:style w:type="character" w:customStyle="1" w:styleId="18">
    <w:name w:val="页眉 Char1"/>
    <w:basedOn w:val="10"/>
    <w:qFormat/>
    <w:uiPriority w:val="0"/>
    <w:rPr>
      <w:kern w:val="2"/>
      <w:sz w:val="18"/>
      <w:szCs w:val="18"/>
    </w:rPr>
  </w:style>
  <w:style w:type="character" w:customStyle="1" w:styleId="19">
    <w:name w:val="页脚 Char"/>
    <w:basedOn w:val="10"/>
    <w:link w:val="7"/>
    <w:qFormat/>
    <w:uiPriority w:val="99"/>
    <w:rPr>
      <w:kern w:val="2"/>
      <w:sz w:val="18"/>
      <w:szCs w:val="18"/>
    </w:rPr>
  </w:style>
  <w:style w:type="paragraph" w:customStyle="1" w:styleId="20">
    <w:name w:val="Normal_3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批注框文本 Char"/>
    <w:basedOn w:val="10"/>
    <w:link w:val="6"/>
    <w:qFormat/>
    <w:uiPriority w:val="0"/>
    <w:rPr>
      <w:kern w:val="2"/>
      <w:sz w:val="18"/>
      <w:szCs w:val="18"/>
    </w:rPr>
  </w:style>
  <w:style w:type="character" w:customStyle="1" w:styleId="22">
    <w:name w:val="副标题 Char"/>
    <w:basedOn w:val="10"/>
    <w:link w:val="9"/>
    <w:qFormat/>
    <w:uiPriority w:val="0"/>
    <w:rPr>
      <w:rFonts w:ascii="Cambria" w:hAnsi="Cambria" w:cs="宋体"/>
      <w:b/>
      <w:bCs/>
      <w:kern w:val="28"/>
      <w:sz w:val="32"/>
      <w:szCs w:val="32"/>
    </w:rPr>
  </w:style>
  <w:style w:type="paragraph" w:customStyle="1" w:styleId="23">
    <w:name w:val="Normal_3"/>
    <w:qFormat/>
    <w:uiPriority w:val="0"/>
    <w:rPr>
      <w:rFonts w:ascii="Times New Roman" w:hAnsi="Times New Roman" w:eastAsia="宋体" w:cs="Times New Roman"/>
      <w:sz w:val="24"/>
      <w:szCs w:val="24"/>
      <w:lang w:val="en-US" w:eastAsia="zh-CN" w:bidi="ar-SA"/>
    </w:rPr>
  </w:style>
  <w:style w:type="paragraph" w:customStyle="1" w:styleId="24">
    <w:name w:val="正文_5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Normal_13"/>
    <w:qFormat/>
    <w:uiPriority w:val="0"/>
    <w:rPr>
      <w:rFonts w:ascii="Times New Roman" w:hAnsi="Times New Roman" w:eastAsia="Times New Roman" w:cs="Times New Roman"/>
      <w:sz w:val="24"/>
      <w:szCs w:val="24"/>
      <w:lang w:val="en-US" w:eastAsia="zh-CN" w:bidi="ar-SA"/>
    </w:rPr>
  </w:style>
  <w:style w:type="paragraph" w:customStyle="1" w:styleId="2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Normal_15"/>
    <w:qFormat/>
    <w:uiPriority w:val="0"/>
    <w:rPr>
      <w:rFonts w:ascii="Times New Roman" w:hAnsi="Times New Roman" w:eastAsia="Times New Roman" w:cs="Times New Roman"/>
      <w:sz w:val="24"/>
      <w:szCs w:val="24"/>
      <w:lang w:val="en-US" w:eastAsia="zh-CN" w:bidi="ar-SA"/>
    </w:rPr>
  </w:style>
  <w:style w:type="paragraph" w:customStyle="1" w:styleId="31">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F6AE39-ECC7-47F7-986F-365B401200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3547</Words>
  <Characters>3682</Characters>
  <Paragraphs>145</Paragraphs>
  <TotalTime>70</TotalTime>
  <ScaleCrop>false</ScaleCrop>
  <LinksUpToDate>false</LinksUpToDate>
  <CharactersWithSpaces>3709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2016-06-24T02:06:00Z</dcterms:created>
  <dc:creator>lt</dc:creator>
  <cp:lastModifiedBy>HP</cp:lastModifiedBy>
  <cp:lastPrinted>2025-04-08T02:07:00Z</cp:lastPrinted>
  <dcterms:modified xsi:type="dcterms:W3CDTF">2025-09-04T01:08:31Z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910fe522b9134ecdb1afdb75945891da_23</vt:lpwstr>
  </property>
  <property fmtid="{D5CDD505-2E9C-101B-9397-08002B2CF9AE}" pid="4" name="KSOTemplateDocerSaveRecord">
    <vt:lpwstr>eyJoZGlkIjoiNTEyOWUwMjAyYzg3YmNiYTJhYzgwMDkxNjMyNDI2Y2YiLCJ1c2VySWQiOiI2Nzc1Mzc5NDMifQ==</vt:lpwstr>
  </property>
</Properties>
</file>