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bidi w:val="0"/>
        <w:ind w:leftChars="0"/>
        <w:jc w:val="center"/>
        <w:rPr>
          <w:rFonts w:hint="eastAsia" w:asciiTheme="majorAscii" w:hAnsiTheme="majorAscii"/>
          <w:b/>
          <w:bCs/>
          <w:sz w:val="44"/>
          <w:szCs w:val="44"/>
          <w:lang w:val="en-US" w:eastAsia="zh-Hans"/>
        </w:rPr>
      </w:pPr>
      <w:r>
        <w:rPr>
          <w:rFonts w:hint="eastAsia" w:asciiTheme="majorAscii" w:hAnsiTheme="majorAscii"/>
          <w:b/>
          <w:bCs/>
          <w:sz w:val="44"/>
          <w:szCs w:val="44"/>
          <w:lang w:val="en-US" w:eastAsia="zh-Hans"/>
        </w:rPr>
        <w:t>质</w:t>
      </w:r>
      <w:r>
        <w:rPr>
          <w:rFonts w:hint="default" w:asciiTheme="majorAscii" w:hAnsiTheme="majorAscii"/>
          <w:b/>
          <w:bCs/>
          <w:sz w:val="44"/>
          <w:szCs w:val="44"/>
          <w:lang w:eastAsia="zh-Hans"/>
        </w:rPr>
        <w:tab/>
      </w:r>
      <w:r>
        <w:rPr>
          <w:rFonts w:hint="eastAsia" w:asciiTheme="majorAscii" w:hAnsiTheme="majorAscii"/>
          <w:b/>
          <w:bCs/>
          <w:sz w:val="44"/>
          <w:szCs w:val="44"/>
          <w:lang w:val="en-US" w:eastAsia="zh-Hans"/>
        </w:rPr>
        <w:t>疑</w:t>
      </w:r>
      <w:r>
        <w:rPr>
          <w:rFonts w:hint="default" w:asciiTheme="majorAscii" w:hAnsiTheme="majorAscii"/>
          <w:b/>
          <w:bCs/>
          <w:sz w:val="44"/>
          <w:szCs w:val="44"/>
          <w:lang w:eastAsia="zh-Hans"/>
        </w:rPr>
        <w:tab/>
      </w:r>
      <w:r>
        <w:rPr>
          <w:rFonts w:hint="eastAsia" w:asciiTheme="majorAscii" w:hAnsiTheme="majorAscii"/>
          <w:b/>
          <w:bCs/>
          <w:sz w:val="44"/>
          <w:szCs w:val="44"/>
          <w:lang w:val="en-US" w:eastAsia="zh-Hans"/>
        </w:rPr>
        <w:t>函</w:t>
      </w:r>
    </w:p>
    <w:p>
      <w:pPr>
        <w:keepNext/>
        <w:keepLines/>
        <w:widowControl w:val="0"/>
        <w:numPr>
          <w:ilvl w:val="0"/>
          <w:numId w:val="1"/>
        </w:numPr>
        <w:bidi w:val="0"/>
        <w:spacing w:before="340" w:beforeLines="0" w:beforeAutospacing="0" w:after="330" w:afterLines="0" w:afterAutospacing="0" w:line="576" w:lineRule="auto"/>
        <w:ind w:left="720" w:hanging="720"/>
        <w:jc w:val="both"/>
        <w:outlineLvl w:val="0"/>
        <w:rPr>
          <w:rFonts w:hint="eastAsia" w:ascii="仿宋_GB2312" w:hAnsi="仿宋_GB2312" w:eastAsia="仿宋_GB2312" w:cs="仿宋_GB2312"/>
          <w:b/>
          <w:kern w:val="44"/>
          <w:sz w:val="32"/>
          <w:szCs w:val="32"/>
          <w:lang w:val="en-US" w:eastAsia="zh-Hans" w:bidi="ar-SA"/>
        </w:rPr>
      </w:pPr>
      <w:r>
        <w:rPr>
          <w:rFonts w:hint="default" w:ascii="仿宋_GB2312" w:hAnsi="仿宋_GB2312" w:eastAsia="仿宋_GB2312" w:cs="仿宋_GB2312"/>
          <w:b/>
          <w:kern w:val="44"/>
          <w:sz w:val="32"/>
          <w:szCs w:val="32"/>
          <w:lang w:eastAsia="zh-Hans" w:bidi="ar-SA"/>
        </w:rPr>
        <w:t>质疑</w:t>
      </w:r>
      <w:r>
        <w:rPr>
          <w:rFonts w:hint="eastAsia" w:ascii="仿宋_GB2312" w:hAnsi="仿宋_GB2312" w:eastAsia="仿宋_GB2312" w:cs="仿宋_GB2312"/>
          <w:b/>
          <w:kern w:val="44"/>
          <w:sz w:val="32"/>
          <w:szCs w:val="32"/>
          <w:lang w:val="en-US" w:eastAsia="zh-Hans" w:bidi="ar-SA"/>
        </w:rPr>
        <w:t>供应商基本信息</w:t>
      </w:r>
    </w:p>
    <w:p>
      <w:pPr>
        <w:widowControl/>
        <w:spacing w:line="360" w:lineRule="auto"/>
        <w:ind w:firstLine="560" w:firstLineChars="200"/>
        <w:rPr>
          <w:rFonts w:hint="eastAsia" w:ascii="仿宋_GB2312" w:hAnsi="仿宋_GB2312" w:eastAsia="仿宋_GB2312" w:cs="仿宋_GB2312"/>
          <w:bCs/>
          <w:color w:val="000000"/>
          <w:kern w:val="0"/>
          <w:sz w:val="28"/>
          <w:szCs w:val="28"/>
          <w:lang w:val="en-US" w:eastAsia="zh-Hans"/>
        </w:rPr>
      </w:pPr>
      <w:r>
        <w:rPr>
          <w:rFonts w:hint="default" w:ascii="仿宋_GB2312" w:hAnsi="仿宋_GB2312" w:eastAsia="仿宋_GB2312" w:cs="仿宋_GB2312"/>
          <w:bCs/>
          <w:color w:val="000000"/>
          <w:kern w:val="0"/>
          <w:sz w:val="28"/>
          <w:szCs w:val="28"/>
          <w:lang w:eastAsia="zh-Hans"/>
        </w:rPr>
        <w:t>质疑</w:t>
      </w:r>
      <w:r>
        <w:rPr>
          <w:rFonts w:hint="eastAsia" w:ascii="仿宋_GB2312" w:hAnsi="仿宋_GB2312" w:eastAsia="仿宋_GB2312" w:cs="仿宋_GB2312"/>
          <w:bCs/>
          <w:color w:val="000000"/>
          <w:kern w:val="0"/>
          <w:sz w:val="28"/>
          <w:szCs w:val="28"/>
          <w:lang w:val="en-US" w:eastAsia="zh-Hans"/>
        </w:rPr>
        <w:t>供应商：中国通信建设第一工程局有限公司</w:t>
      </w:r>
    </w:p>
    <w:p>
      <w:pPr>
        <w:widowControl/>
        <w:spacing w:line="360" w:lineRule="auto"/>
        <w:ind w:firstLine="560" w:firstLineChars="200"/>
        <w:rPr>
          <w:rFonts w:hint="eastAsia" w:ascii="仿宋_GB2312" w:hAnsi="仿宋_GB2312" w:eastAsia="仿宋_GB2312" w:cs="仿宋_GB2312"/>
          <w:bCs/>
          <w:color w:val="000000"/>
          <w:kern w:val="0"/>
          <w:sz w:val="28"/>
          <w:szCs w:val="28"/>
          <w:lang w:val="en-US" w:eastAsia="zh-Hans"/>
        </w:rPr>
      </w:pPr>
      <w:r>
        <w:rPr>
          <w:rFonts w:hint="eastAsia" w:ascii="仿宋_GB2312" w:hAnsi="仿宋_GB2312" w:eastAsia="仿宋_GB2312" w:cs="仿宋_GB2312"/>
          <w:bCs/>
          <w:color w:val="000000"/>
          <w:kern w:val="0"/>
          <w:sz w:val="28"/>
          <w:szCs w:val="28"/>
          <w:lang w:val="en-US" w:eastAsia="zh-Hans"/>
        </w:rPr>
        <w:t>供应商地址：河北省保定市竞秀区东风中路1559号</w:t>
      </w:r>
    </w:p>
    <w:p>
      <w:pPr>
        <w:widowControl/>
        <w:spacing w:line="360" w:lineRule="auto"/>
        <w:ind w:firstLine="560" w:firstLineChars="200"/>
        <w:rPr>
          <w:rFonts w:hint="eastAsia" w:ascii="仿宋_GB2312" w:hAnsi="仿宋_GB2312" w:eastAsia="仿宋_GB2312" w:cs="仿宋_GB2312"/>
          <w:bCs/>
          <w:color w:val="000000"/>
          <w:kern w:val="0"/>
          <w:sz w:val="28"/>
          <w:szCs w:val="28"/>
          <w:lang w:val="en-US" w:eastAsia="zh-Hans"/>
        </w:rPr>
      </w:pPr>
      <w:r>
        <w:rPr>
          <w:rFonts w:hint="eastAsia" w:ascii="仿宋_GB2312" w:hAnsi="仿宋_GB2312" w:eastAsia="仿宋_GB2312" w:cs="仿宋_GB2312"/>
          <w:bCs/>
          <w:color w:val="000000"/>
          <w:kern w:val="0"/>
          <w:sz w:val="28"/>
          <w:szCs w:val="28"/>
          <w:lang w:val="en-US" w:eastAsia="zh-Hans"/>
        </w:rPr>
        <w:t>邮编：071051</w:t>
      </w:r>
    </w:p>
    <w:p>
      <w:pPr>
        <w:widowControl/>
        <w:spacing w:line="360" w:lineRule="auto"/>
        <w:ind w:firstLine="560" w:firstLineChars="200"/>
        <w:rPr>
          <w:rFonts w:hint="eastAsia" w:ascii="仿宋_GB2312" w:hAnsi="仿宋_GB2312" w:eastAsia="仿宋_GB2312" w:cs="仿宋_GB2312"/>
          <w:bCs/>
          <w:color w:val="000000"/>
          <w:kern w:val="0"/>
          <w:sz w:val="28"/>
          <w:szCs w:val="28"/>
          <w:lang w:val="en-US" w:eastAsia="zh-Hans"/>
        </w:rPr>
      </w:pPr>
      <w:r>
        <w:rPr>
          <w:rFonts w:hint="eastAsia" w:ascii="仿宋_GB2312" w:hAnsi="仿宋_GB2312" w:eastAsia="仿宋_GB2312" w:cs="仿宋_GB2312"/>
          <w:bCs/>
          <w:color w:val="000000"/>
          <w:kern w:val="0"/>
          <w:sz w:val="28"/>
          <w:szCs w:val="28"/>
          <w:lang w:val="en-US" w:eastAsia="zh-Hans"/>
        </w:rPr>
        <w:t xml:space="preserve">联系人： 刘志强        </w:t>
      </w:r>
      <w:r>
        <w:rPr>
          <w:rFonts w:hint="default" w:ascii="仿宋_GB2312" w:hAnsi="仿宋_GB2312" w:eastAsia="仿宋_GB2312" w:cs="仿宋_GB2312"/>
          <w:bCs/>
          <w:color w:val="000000"/>
          <w:kern w:val="0"/>
          <w:sz w:val="28"/>
          <w:szCs w:val="28"/>
          <w:lang w:eastAsia="zh-Hans"/>
        </w:rPr>
        <w:t xml:space="preserve">  </w:t>
      </w:r>
      <w:r>
        <w:rPr>
          <w:rFonts w:hint="eastAsia" w:ascii="仿宋_GB2312" w:hAnsi="仿宋_GB2312" w:eastAsia="仿宋_GB2312" w:cs="仿宋_GB2312"/>
          <w:bCs/>
          <w:color w:val="000000"/>
          <w:kern w:val="0"/>
          <w:sz w:val="28"/>
          <w:szCs w:val="28"/>
          <w:lang w:val="en-US" w:eastAsia="zh-Hans"/>
        </w:rPr>
        <w:t xml:space="preserve">    联系人电话：0312-5936525</w:t>
      </w:r>
    </w:p>
    <w:p>
      <w:pPr>
        <w:widowControl/>
        <w:spacing w:line="360" w:lineRule="auto"/>
        <w:ind w:firstLine="560" w:firstLineChars="200"/>
        <w:rPr>
          <w:rFonts w:hint="default" w:ascii="仿宋_GB2312" w:hAnsi="仿宋_GB2312" w:eastAsia="仿宋_GB2312" w:cs="仿宋_GB2312"/>
          <w:bCs/>
          <w:color w:val="000000"/>
          <w:kern w:val="0"/>
          <w:sz w:val="28"/>
          <w:szCs w:val="28"/>
          <w:highlight w:val="yellow"/>
          <w:lang w:eastAsia="zh-Hans"/>
        </w:rPr>
      </w:pPr>
      <w:r>
        <w:rPr>
          <w:rFonts w:hint="eastAsia" w:ascii="仿宋_GB2312" w:hAnsi="仿宋_GB2312" w:eastAsia="仿宋_GB2312" w:cs="仿宋_GB2312"/>
          <w:bCs/>
          <w:color w:val="000000"/>
          <w:kern w:val="0"/>
          <w:sz w:val="28"/>
          <w:szCs w:val="28"/>
          <w:lang w:val="en-US" w:eastAsia="zh-Hans"/>
        </w:rPr>
        <w:t>授权代表： 薛宝起            联系人电话：</w:t>
      </w:r>
      <w:r>
        <w:rPr>
          <w:rFonts w:hint="default" w:ascii="仿宋_GB2312" w:hAnsi="仿宋_GB2312" w:eastAsia="仿宋_GB2312" w:cs="仿宋_GB2312"/>
          <w:bCs/>
          <w:color w:val="auto"/>
          <w:kern w:val="0"/>
          <w:sz w:val="28"/>
          <w:szCs w:val="28"/>
          <w:highlight w:val="none"/>
          <w:lang w:eastAsia="zh-Hans"/>
        </w:rPr>
        <w:t>18903129657</w:t>
      </w:r>
    </w:p>
    <w:p>
      <w:pPr>
        <w:keepNext/>
        <w:keepLines/>
        <w:widowControl w:val="0"/>
        <w:numPr>
          <w:ilvl w:val="0"/>
          <w:numId w:val="1"/>
        </w:numPr>
        <w:bidi w:val="0"/>
        <w:spacing w:before="340" w:beforeLines="0" w:beforeAutospacing="0" w:after="330" w:afterLines="0" w:afterAutospacing="0" w:line="576" w:lineRule="auto"/>
        <w:ind w:left="720" w:hanging="720"/>
        <w:jc w:val="both"/>
        <w:outlineLvl w:val="0"/>
        <w:rPr>
          <w:rFonts w:hint="eastAsia" w:ascii="仿宋_GB2312" w:hAnsi="仿宋_GB2312" w:eastAsia="仿宋_GB2312" w:cs="仿宋_GB2312"/>
          <w:b/>
          <w:kern w:val="44"/>
          <w:sz w:val="32"/>
          <w:szCs w:val="32"/>
          <w:lang w:val="en-US" w:eastAsia="zh-Hans" w:bidi="ar-SA"/>
        </w:rPr>
      </w:pPr>
      <w:r>
        <w:rPr>
          <w:rFonts w:hint="default" w:ascii="仿宋_GB2312" w:hAnsi="仿宋_GB2312" w:eastAsia="仿宋_GB2312" w:cs="仿宋_GB2312"/>
          <w:b/>
          <w:kern w:val="44"/>
          <w:sz w:val="32"/>
          <w:szCs w:val="32"/>
          <w:lang w:eastAsia="zh-Hans" w:bidi="ar-SA"/>
        </w:rPr>
        <w:t>质疑</w:t>
      </w:r>
      <w:r>
        <w:rPr>
          <w:rFonts w:hint="eastAsia" w:ascii="仿宋_GB2312" w:hAnsi="仿宋_GB2312" w:eastAsia="仿宋_GB2312" w:cs="仿宋_GB2312"/>
          <w:b/>
          <w:kern w:val="44"/>
          <w:sz w:val="32"/>
          <w:szCs w:val="32"/>
          <w:lang w:val="en-US" w:eastAsia="zh-Hans" w:bidi="ar-SA"/>
        </w:rPr>
        <w:t>事项具体内容</w:t>
      </w:r>
    </w:p>
    <w:p>
      <w:pPr>
        <w:keepNext/>
        <w:keepLines/>
        <w:widowControl w:val="0"/>
        <w:numPr>
          <w:ilvl w:val="0"/>
          <w:numId w:val="2"/>
        </w:numPr>
        <w:bidi w:val="0"/>
        <w:spacing w:before="260" w:beforeLines="0" w:beforeAutospacing="0" w:after="260" w:afterLines="0" w:afterAutospacing="0" w:line="413" w:lineRule="auto"/>
        <w:jc w:val="both"/>
        <w:outlineLvl w:val="1"/>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质疑事项1</w:t>
      </w:r>
    </w:p>
    <w:p>
      <w:pPr>
        <w:ind w:firstLine="560" w:firstLineChars="200"/>
        <w:rPr>
          <w:rFonts w:hint="default" w:ascii="仿宋_GB2312" w:hAnsi="仿宋_GB2312" w:eastAsia="仿宋_GB2312" w:cs="仿宋_GB2312"/>
          <w:color w:val="auto"/>
          <w:sz w:val="28"/>
          <w:szCs w:val="28"/>
          <w:highlight w:val="none"/>
          <w:shd w:val="clear" w:color="auto" w:fill="FFFFFF"/>
          <w:lang w:eastAsia="zh-CN"/>
        </w:rPr>
      </w:pPr>
      <w:r>
        <w:rPr>
          <w:rFonts w:hint="eastAsia" w:ascii="仿宋_GB2312" w:hAnsi="仿宋_GB2312" w:eastAsia="仿宋_GB2312" w:cs="仿宋_GB2312"/>
          <w:color w:val="auto"/>
          <w:sz w:val="28"/>
          <w:szCs w:val="28"/>
          <w:highlight w:val="none"/>
          <w:shd w:val="clear" w:color="auto" w:fill="FFFFFF"/>
          <w:lang w:val="en-US" w:eastAsia="zh-CN"/>
        </w:rPr>
        <w:t>鄂尔多斯市东胜区智慧森林草原资源云平台项目信息化标段招标失败公告</w:t>
      </w:r>
      <w:r>
        <w:rPr>
          <w:rFonts w:hint="eastAsia" w:ascii="仿宋_GB2312" w:hAnsi="仿宋_GB2312" w:eastAsia="仿宋_GB2312" w:cs="仿宋_GB2312"/>
          <w:color w:val="auto"/>
          <w:sz w:val="28"/>
          <w:szCs w:val="28"/>
          <w:highlight w:val="none"/>
          <w:shd w:val="clear" w:color="auto" w:fill="FFFFFF"/>
          <w:lang w:val="en-US" w:eastAsia="zh-Hans"/>
        </w:rPr>
        <w:t>指出</w:t>
      </w:r>
      <w:r>
        <w:rPr>
          <w:rFonts w:hint="default" w:ascii="仿宋_GB2312" w:hAnsi="仿宋_GB2312" w:eastAsia="仿宋_GB2312" w:cs="仿宋_GB2312"/>
          <w:color w:val="auto"/>
          <w:sz w:val="28"/>
          <w:szCs w:val="28"/>
          <w:highlight w:val="none"/>
          <w:shd w:val="clear" w:color="auto" w:fill="FFFFFF"/>
          <w:lang w:eastAsia="zh-Hans"/>
        </w:rPr>
        <w:t>：</w:t>
      </w:r>
      <w:r>
        <w:rPr>
          <w:rFonts w:hint="eastAsia" w:ascii="仿宋_GB2312" w:hAnsi="仿宋_GB2312" w:eastAsia="仿宋_GB2312" w:cs="仿宋_GB2312"/>
          <w:color w:val="auto"/>
          <w:sz w:val="28"/>
          <w:szCs w:val="28"/>
          <w:highlight w:val="none"/>
          <w:u w:val="single"/>
          <w:shd w:val="clear" w:color="auto" w:fill="FFFFFF"/>
          <w:lang w:val="en-US" w:eastAsia="zh-CN"/>
        </w:rPr>
        <w:t>中国通信建设第一工程局有限公司已标价工程量清单没有编制说明</w:t>
      </w:r>
      <w:r>
        <w:rPr>
          <w:rFonts w:hint="default" w:ascii="仿宋_GB2312" w:hAnsi="仿宋_GB2312" w:eastAsia="仿宋_GB2312" w:cs="仿宋_GB2312"/>
          <w:color w:val="auto"/>
          <w:sz w:val="28"/>
          <w:szCs w:val="28"/>
          <w:highlight w:val="none"/>
          <w:shd w:val="clear" w:color="auto" w:fill="FFFFFF"/>
          <w:lang w:eastAsia="zh-CN"/>
        </w:rPr>
        <w:t>。</w:t>
      </w:r>
    </w:p>
    <w:p>
      <w:pPr>
        <w:pStyle w:val="4"/>
        <w:numPr>
          <w:ilvl w:val="0"/>
          <w:numId w:val="3"/>
        </w:numPr>
        <w:bidi w:val="0"/>
        <w:rPr>
          <w:rFonts w:hint="eastAsia"/>
          <w:lang w:val="en-US" w:eastAsia="zh-CN"/>
        </w:rPr>
      </w:pPr>
      <w:r>
        <w:rPr>
          <w:rFonts w:hint="eastAsia"/>
          <w:lang w:val="en-US" w:eastAsia="zh-Hans"/>
        </w:rPr>
        <w:t>事实</w:t>
      </w:r>
      <w:r>
        <w:rPr>
          <w:rFonts w:hint="eastAsia"/>
          <w:lang w:val="en-US" w:eastAsia="zh-CN"/>
        </w:rPr>
        <w:t>依据</w:t>
      </w:r>
    </w:p>
    <w:p>
      <w:pPr>
        <w:widowControl/>
        <w:spacing w:line="360" w:lineRule="auto"/>
        <w:ind w:firstLine="560" w:firstLineChars="200"/>
        <w:rPr>
          <w:rFonts w:hint="eastAsia" w:ascii="仿宋_GB2312" w:hAnsi="仿宋_GB2312" w:eastAsia="仿宋_GB2312" w:cs="仿宋_GB2312"/>
          <w:b/>
          <w:bCs w:val="0"/>
          <w:color w:val="000000"/>
          <w:kern w:val="0"/>
          <w:sz w:val="28"/>
          <w:szCs w:val="28"/>
          <w:u w:val="single"/>
          <w:lang w:val="en-US" w:eastAsia="zh-Hans"/>
        </w:rPr>
      </w:pPr>
      <w:r>
        <w:rPr>
          <w:rFonts w:hint="eastAsia" w:ascii="仿宋_GB2312" w:hAnsi="仿宋_GB2312" w:eastAsia="仿宋_GB2312" w:cs="仿宋_GB2312"/>
          <w:b w:val="0"/>
          <w:bCs/>
          <w:color w:val="000000"/>
          <w:kern w:val="0"/>
          <w:sz w:val="28"/>
          <w:szCs w:val="28"/>
          <w:u w:val="none"/>
          <w:lang w:val="en-US" w:eastAsia="zh-Hans"/>
        </w:rPr>
        <w:t>经过仔细比对招标文件第三章评标办法（综合评估法）“2. 1.3响应性评审标准”内容</w:t>
      </w:r>
      <w:r>
        <w:rPr>
          <w:rFonts w:hint="default"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val="0"/>
          <w:bCs/>
          <w:color w:val="000000"/>
          <w:kern w:val="0"/>
          <w:sz w:val="28"/>
          <w:szCs w:val="28"/>
          <w:u w:val="none"/>
          <w:lang w:val="en-US" w:eastAsia="zh-Hans"/>
        </w:rPr>
        <w:t>关于“已标价工程量清单没有编制说明”</w:t>
      </w:r>
      <w:r>
        <w:rPr>
          <w:rFonts w:hint="default"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val="0"/>
          <w:bCs/>
          <w:color w:val="000000"/>
          <w:kern w:val="0"/>
          <w:sz w:val="28"/>
          <w:szCs w:val="28"/>
          <w:u w:val="none"/>
          <w:lang w:val="en-US" w:eastAsia="zh-Hans"/>
        </w:rPr>
        <w:t>其中</w:t>
      </w:r>
      <w:r>
        <w:rPr>
          <w:rFonts w:hint="default"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bCs w:val="0"/>
          <w:color w:val="000000"/>
          <w:kern w:val="0"/>
          <w:sz w:val="28"/>
          <w:szCs w:val="28"/>
          <w:u w:val="single"/>
          <w:lang w:val="en-US" w:eastAsia="zh-Hans"/>
        </w:rPr>
        <w:t>招标文件中未明确提出无编制说明即为废标项。</w:t>
      </w:r>
    </w:p>
    <w:p>
      <w:pPr>
        <w:widowControl/>
        <w:spacing w:line="360" w:lineRule="auto"/>
        <w:ind w:firstLine="562" w:firstLineChars="200"/>
        <w:rPr>
          <w:rFonts w:hint="eastAsia" w:ascii="仿宋_GB2312" w:hAnsi="仿宋_GB2312" w:eastAsia="仿宋_GB2312" w:cs="仿宋_GB2312"/>
          <w:b/>
          <w:bCs w:val="0"/>
          <w:color w:val="000000"/>
          <w:kern w:val="0"/>
          <w:sz w:val="28"/>
          <w:szCs w:val="28"/>
          <w:u w:val="none"/>
          <w:lang w:val="en-US" w:eastAsia="zh-Hans"/>
        </w:rPr>
      </w:pPr>
      <w:r>
        <w:rPr>
          <w:rFonts w:hint="eastAsia" w:ascii="仿宋_GB2312" w:hAnsi="仿宋_GB2312" w:eastAsia="仿宋_GB2312" w:cs="仿宋_GB2312"/>
          <w:b/>
          <w:bCs w:val="0"/>
          <w:color w:val="000000"/>
          <w:kern w:val="0"/>
          <w:sz w:val="28"/>
          <w:szCs w:val="28"/>
          <w:u w:val="none"/>
          <w:lang w:val="en-US" w:eastAsia="zh-Hans"/>
        </w:rPr>
        <w:t>招标人以此为依据，改变评标委员会出具评标报告，没有事实和法律依据</w:t>
      </w:r>
      <w:r>
        <w:rPr>
          <w:rFonts w:hint="default" w:ascii="仿宋_GB2312" w:hAnsi="仿宋_GB2312" w:eastAsia="仿宋_GB2312" w:cs="仿宋_GB2312"/>
          <w:b/>
          <w:bCs w:val="0"/>
          <w:color w:val="000000"/>
          <w:kern w:val="0"/>
          <w:sz w:val="28"/>
          <w:szCs w:val="28"/>
          <w:u w:val="none"/>
          <w:lang w:eastAsia="zh-Hans"/>
        </w:rPr>
        <w:t>，</w:t>
      </w:r>
      <w:r>
        <w:rPr>
          <w:rFonts w:hint="eastAsia" w:ascii="仿宋_GB2312" w:hAnsi="仿宋_GB2312" w:eastAsia="仿宋_GB2312" w:cs="仿宋_GB2312"/>
          <w:b/>
          <w:bCs w:val="0"/>
          <w:color w:val="000000"/>
          <w:kern w:val="0"/>
          <w:sz w:val="28"/>
          <w:szCs w:val="28"/>
          <w:u w:val="none"/>
          <w:lang w:val="en-US" w:eastAsia="zh-Hans"/>
        </w:rPr>
        <w:t>并且行业内也无此项规定。</w:t>
      </w:r>
    </w:p>
    <w:p>
      <w:pPr>
        <w:pStyle w:val="4"/>
        <w:numPr>
          <w:ilvl w:val="0"/>
          <w:numId w:val="3"/>
        </w:numPr>
        <w:bidi w:val="0"/>
        <w:rPr>
          <w:rFonts w:hint="eastAsia"/>
          <w:lang w:val="en-US" w:eastAsia="zh-CN"/>
        </w:rPr>
      </w:pPr>
      <w:r>
        <w:rPr>
          <w:rFonts w:hint="eastAsia"/>
          <w:lang w:val="en-US" w:eastAsia="zh-Hans"/>
        </w:rPr>
        <w:t>法律</w:t>
      </w:r>
      <w:r>
        <w:rPr>
          <w:rFonts w:hint="eastAsia"/>
          <w:lang w:val="en-US" w:eastAsia="zh-CN"/>
        </w:rPr>
        <w:t>依据</w:t>
      </w:r>
    </w:p>
    <w:p>
      <w:pPr>
        <w:widowControl/>
        <w:spacing w:line="360" w:lineRule="auto"/>
        <w:ind w:firstLine="560" w:firstLineChars="200"/>
        <w:rPr>
          <w:rFonts w:hint="default" w:ascii="仿宋_GB2312" w:hAnsi="仿宋_GB2312" w:eastAsia="仿宋_GB2312" w:cs="仿宋_GB2312"/>
          <w:b w:val="0"/>
          <w:bCs/>
          <w:color w:val="000000"/>
          <w:kern w:val="0"/>
          <w:sz w:val="28"/>
          <w:szCs w:val="28"/>
          <w:u w:val="none"/>
          <w:lang w:eastAsia="zh-Hans"/>
        </w:rPr>
      </w:pPr>
      <w:r>
        <w:rPr>
          <w:rFonts w:hint="eastAsia" w:ascii="仿宋_GB2312" w:hAnsi="仿宋_GB2312" w:eastAsia="仿宋_GB2312" w:cs="仿宋_GB2312"/>
          <w:b w:val="0"/>
          <w:bCs/>
          <w:color w:val="000000"/>
          <w:kern w:val="0"/>
          <w:sz w:val="28"/>
          <w:szCs w:val="28"/>
          <w:u w:val="none"/>
          <w:lang w:val="en-US" w:eastAsia="zh-Hans"/>
        </w:rPr>
        <w:t>依据招标文件</w:t>
      </w:r>
      <w:r>
        <w:rPr>
          <w:rFonts w:hint="default" w:ascii="仿宋_GB2312" w:hAnsi="仿宋_GB2312" w:eastAsia="仿宋_GB2312" w:cs="仿宋_GB2312"/>
          <w:b w:val="0"/>
          <w:bCs/>
          <w:color w:val="000000"/>
          <w:kern w:val="0"/>
          <w:sz w:val="28"/>
          <w:szCs w:val="28"/>
          <w:u w:val="none"/>
          <w:lang w:eastAsia="zh-Hans"/>
        </w:rPr>
        <w:t>，第二章投标人须知</w:t>
      </w:r>
      <w:r>
        <w:rPr>
          <w:rFonts w:hint="eastAsia" w:ascii="仿宋_GB2312" w:hAnsi="仿宋_GB2312" w:eastAsia="仿宋_GB2312" w:cs="仿宋_GB2312"/>
          <w:b w:val="0"/>
          <w:bCs/>
          <w:color w:val="000000"/>
          <w:kern w:val="0"/>
          <w:sz w:val="28"/>
          <w:szCs w:val="28"/>
          <w:u w:val="none"/>
          <w:lang w:eastAsia="zh-Hans"/>
        </w:rPr>
        <w:t>“投标人须知前附表</w:t>
      </w:r>
      <w:r>
        <w:rPr>
          <w:rFonts w:hint="default" w:ascii="仿宋_GB2312" w:hAnsi="仿宋_GB2312" w:eastAsia="仿宋_GB2312" w:cs="仿宋_GB2312"/>
          <w:b w:val="0"/>
          <w:bCs/>
          <w:color w:val="000000"/>
          <w:kern w:val="0"/>
          <w:sz w:val="28"/>
          <w:szCs w:val="28"/>
          <w:u w:val="none"/>
          <w:lang w:eastAsia="zh-Hans"/>
        </w:rPr>
        <w:t>3</w:t>
      </w:r>
      <w:r>
        <w:rPr>
          <w:rFonts w:hint="eastAsia" w:ascii="仿宋_GB2312" w:hAnsi="仿宋_GB2312" w:eastAsia="仿宋_GB2312" w:cs="仿宋_GB2312"/>
          <w:b w:val="0"/>
          <w:bCs/>
          <w:color w:val="000000"/>
          <w:kern w:val="0"/>
          <w:sz w:val="28"/>
          <w:szCs w:val="28"/>
          <w:u w:val="none"/>
          <w:lang w:val="en-US" w:eastAsia="zh-Hans"/>
        </w:rPr>
        <w:t>.</w:t>
      </w:r>
      <w:r>
        <w:rPr>
          <w:rFonts w:hint="default" w:ascii="仿宋_GB2312" w:hAnsi="仿宋_GB2312" w:eastAsia="仿宋_GB2312" w:cs="仿宋_GB2312"/>
          <w:b w:val="0"/>
          <w:bCs/>
          <w:color w:val="000000"/>
          <w:kern w:val="0"/>
          <w:sz w:val="28"/>
          <w:szCs w:val="28"/>
          <w:u w:val="none"/>
          <w:lang w:eastAsia="zh-Hans"/>
        </w:rPr>
        <w:t>2</w:t>
      </w:r>
      <w:r>
        <w:rPr>
          <w:rFonts w:hint="eastAsia" w:ascii="仿宋_GB2312" w:hAnsi="仿宋_GB2312" w:eastAsia="仿宋_GB2312" w:cs="仿宋_GB2312"/>
          <w:b w:val="0"/>
          <w:bCs/>
          <w:color w:val="000000"/>
          <w:kern w:val="0"/>
          <w:sz w:val="28"/>
          <w:szCs w:val="28"/>
          <w:u w:val="none"/>
          <w:lang w:val="en-US" w:eastAsia="zh-Hans"/>
        </w:rPr>
        <w:t>.</w:t>
      </w:r>
      <w:r>
        <w:rPr>
          <w:rFonts w:hint="default" w:ascii="仿宋_GB2312" w:hAnsi="仿宋_GB2312" w:eastAsia="仿宋_GB2312" w:cs="仿宋_GB2312"/>
          <w:b w:val="0"/>
          <w:bCs/>
          <w:color w:val="000000"/>
          <w:kern w:val="0"/>
          <w:sz w:val="28"/>
          <w:szCs w:val="28"/>
          <w:u w:val="none"/>
          <w:lang w:eastAsia="zh-Hans"/>
        </w:rPr>
        <w:t>3</w:t>
      </w:r>
      <w:r>
        <w:rPr>
          <w:rFonts w:hint="eastAsia" w:ascii="仿宋_GB2312" w:hAnsi="仿宋_GB2312" w:eastAsia="仿宋_GB2312" w:cs="仿宋_GB2312"/>
          <w:b w:val="0"/>
          <w:bCs/>
          <w:color w:val="000000"/>
          <w:kern w:val="0"/>
          <w:sz w:val="28"/>
          <w:szCs w:val="28"/>
          <w:u w:val="none"/>
          <w:lang w:val="en-US" w:eastAsia="zh-Hans"/>
        </w:rPr>
        <w:t>报价方式</w:t>
      </w:r>
      <w:r>
        <w:rPr>
          <w:rFonts w:hint="eastAsia"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val="0"/>
          <w:bCs/>
          <w:color w:val="000000"/>
          <w:kern w:val="0"/>
          <w:sz w:val="28"/>
          <w:szCs w:val="28"/>
          <w:u w:val="none"/>
          <w:lang w:val="en-US" w:eastAsia="zh-Hans"/>
        </w:rPr>
        <w:t>规定</w:t>
      </w:r>
      <w:r>
        <w:rPr>
          <w:rFonts w:hint="default"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bCs w:val="0"/>
          <w:color w:val="000000"/>
          <w:kern w:val="0"/>
          <w:sz w:val="28"/>
          <w:szCs w:val="28"/>
          <w:u w:val="none"/>
          <w:lang w:eastAsia="zh-Hans"/>
        </w:rPr>
        <w:t>“</w:t>
      </w:r>
      <w:r>
        <w:rPr>
          <w:rFonts w:hint="default" w:ascii="仿宋_GB2312" w:hAnsi="仿宋_GB2312" w:eastAsia="仿宋_GB2312" w:cs="仿宋_GB2312"/>
          <w:b/>
          <w:bCs w:val="0"/>
          <w:color w:val="000000"/>
          <w:kern w:val="0"/>
          <w:sz w:val="28"/>
          <w:szCs w:val="28"/>
          <w:u w:val="single"/>
          <w:lang w:eastAsia="zh-Hans"/>
        </w:rPr>
        <w:t>本项目釆用总价报价方式。报价说明：本项目采用工程量清单报价，设备投标报价时要结合第五章技术服务要求内相关标准及规定，但不可修改工程量清单内的项目特征描述内容</w:t>
      </w:r>
      <w:r>
        <w:rPr>
          <w:rFonts w:hint="eastAsia" w:ascii="仿宋_GB2312" w:hAnsi="仿宋_GB2312" w:eastAsia="仿宋_GB2312" w:cs="仿宋_GB2312"/>
          <w:b/>
          <w:bCs w:val="0"/>
          <w:color w:val="000000"/>
          <w:kern w:val="0"/>
          <w:sz w:val="28"/>
          <w:szCs w:val="28"/>
          <w:u w:val="single"/>
          <w:lang w:eastAsia="zh-Hans"/>
        </w:rPr>
        <w:t>”</w:t>
      </w:r>
      <w:r>
        <w:rPr>
          <w:rFonts w:hint="default" w:ascii="仿宋_GB2312" w:hAnsi="仿宋_GB2312" w:eastAsia="仿宋_GB2312" w:cs="仿宋_GB2312"/>
          <w:b/>
          <w:bCs w:val="0"/>
          <w:color w:val="000000"/>
          <w:kern w:val="0"/>
          <w:sz w:val="28"/>
          <w:szCs w:val="28"/>
          <w:u w:val="single"/>
          <w:lang w:eastAsia="zh-Hans"/>
        </w:rPr>
        <w:t>。</w:t>
      </w:r>
      <w:r>
        <w:rPr>
          <w:rFonts w:hint="eastAsia" w:ascii="仿宋_GB2312" w:hAnsi="仿宋_GB2312" w:eastAsia="仿宋_GB2312" w:cs="仿宋_GB2312"/>
          <w:b w:val="0"/>
          <w:bCs/>
          <w:color w:val="000000"/>
          <w:kern w:val="0"/>
          <w:sz w:val="28"/>
          <w:szCs w:val="28"/>
          <w:u w:val="none"/>
          <w:lang w:val="en-US" w:eastAsia="zh-Hans"/>
        </w:rPr>
        <w:t>并未规定已标价工程量清单没有编制说明作为废标项的表述</w:t>
      </w:r>
      <w:r>
        <w:rPr>
          <w:rFonts w:hint="default" w:ascii="仿宋_GB2312" w:hAnsi="仿宋_GB2312" w:eastAsia="仿宋_GB2312" w:cs="仿宋_GB2312"/>
          <w:b w:val="0"/>
          <w:bCs/>
          <w:color w:val="000000"/>
          <w:kern w:val="0"/>
          <w:sz w:val="28"/>
          <w:szCs w:val="28"/>
          <w:u w:val="none"/>
          <w:lang w:eastAsia="zh-Hans"/>
        </w:rPr>
        <w:t>。</w:t>
      </w:r>
    </w:p>
    <w:p>
      <w:pPr>
        <w:widowControl/>
        <w:spacing w:line="360" w:lineRule="auto"/>
        <w:ind w:firstLine="560" w:firstLineChars="200"/>
        <w:rPr>
          <w:rFonts w:hint="default" w:ascii="仿宋_GB2312" w:hAnsi="仿宋_GB2312" w:eastAsia="仿宋_GB2312" w:cs="仿宋_GB2312"/>
          <w:b w:val="0"/>
          <w:bCs/>
          <w:color w:val="000000"/>
          <w:kern w:val="0"/>
          <w:sz w:val="28"/>
          <w:szCs w:val="28"/>
          <w:u w:val="none"/>
          <w:lang w:eastAsia="zh-Hans"/>
        </w:rPr>
      </w:pPr>
      <w:r>
        <w:rPr>
          <w:rFonts w:hint="eastAsia" w:ascii="仿宋_GB2312" w:hAnsi="仿宋_GB2312" w:eastAsia="仿宋_GB2312" w:cs="仿宋_GB2312"/>
          <w:b w:val="0"/>
          <w:bCs/>
          <w:color w:val="000000"/>
          <w:kern w:val="0"/>
          <w:sz w:val="28"/>
          <w:szCs w:val="28"/>
          <w:u w:val="none"/>
          <w:lang w:val="en-US" w:eastAsia="zh-Hans"/>
        </w:rPr>
        <w:t>同时</w:t>
      </w:r>
      <w:r>
        <w:rPr>
          <w:rFonts w:hint="default" w:ascii="仿宋_GB2312" w:hAnsi="仿宋_GB2312" w:eastAsia="仿宋_GB2312" w:cs="仿宋_GB2312"/>
          <w:b w:val="0"/>
          <w:bCs/>
          <w:color w:val="000000"/>
          <w:kern w:val="0"/>
          <w:sz w:val="28"/>
          <w:szCs w:val="28"/>
          <w:u w:val="none"/>
          <w:lang w:eastAsia="zh-Hans"/>
        </w:rPr>
        <w:t>，</w:t>
      </w:r>
      <w:r>
        <w:rPr>
          <w:rFonts w:hint="eastAsia" w:ascii="仿宋_GB2312" w:hAnsi="仿宋_GB2312" w:eastAsia="仿宋_GB2312" w:cs="仿宋_GB2312"/>
          <w:b w:val="0"/>
          <w:bCs/>
          <w:color w:val="000000"/>
          <w:kern w:val="0"/>
          <w:sz w:val="28"/>
          <w:szCs w:val="28"/>
          <w:u w:val="none"/>
          <w:lang w:val="en-US" w:eastAsia="zh-Hans"/>
        </w:rPr>
        <w:t>招标文件第二章投标人须知“二、投标须知3.2 投标报价”截图如下</w:t>
      </w:r>
      <w:r>
        <w:rPr>
          <w:rFonts w:hint="default" w:ascii="仿宋_GB2312" w:hAnsi="仿宋_GB2312" w:eastAsia="仿宋_GB2312" w:cs="仿宋_GB2312"/>
          <w:b w:val="0"/>
          <w:bCs/>
          <w:color w:val="000000"/>
          <w:kern w:val="0"/>
          <w:sz w:val="28"/>
          <w:szCs w:val="28"/>
          <w:u w:val="none"/>
          <w:lang w:eastAsia="zh-Hans"/>
        </w:rPr>
        <w:t>：</w:t>
      </w:r>
    </w:p>
    <w:p>
      <w:pPr>
        <w:widowControl/>
        <w:spacing w:line="360" w:lineRule="auto"/>
      </w:pPr>
      <w:r>
        <w:drawing>
          <wp:inline distT="0" distB="0" distL="114300" distR="114300">
            <wp:extent cx="5268595" cy="2487930"/>
            <wp:effectExtent l="0" t="0" r="14605" b="127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6"/>
                    <a:stretch>
                      <a:fillRect/>
                    </a:stretch>
                  </pic:blipFill>
                  <pic:spPr>
                    <a:xfrm>
                      <a:off x="0" y="0"/>
                      <a:ext cx="5268595" cy="2487930"/>
                    </a:xfrm>
                    <a:prstGeom prst="rect">
                      <a:avLst/>
                    </a:prstGeom>
                    <a:noFill/>
                    <a:ln>
                      <a:noFill/>
                    </a:ln>
                  </pic:spPr>
                </pic:pic>
              </a:graphicData>
            </a:graphic>
          </wp:inline>
        </w:drawing>
      </w:r>
    </w:p>
    <w:p>
      <w:pPr>
        <w:widowControl/>
        <w:spacing w:line="360" w:lineRule="auto"/>
        <w:ind w:firstLine="562" w:firstLineChars="200"/>
        <w:rPr>
          <w:rFonts w:hint="default" w:ascii="仿宋_GB2312" w:hAnsi="仿宋_GB2312" w:eastAsia="仿宋_GB2312" w:cs="仿宋_GB2312"/>
          <w:b/>
          <w:bCs w:val="0"/>
          <w:color w:val="000000"/>
          <w:kern w:val="0"/>
          <w:sz w:val="28"/>
          <w:szCs w:val="28"/>
          <w:u w:val="none"/>
          <w:lang w:eastAsia="zh-Hans"/>
        </w:rPr>
      </w:pPr>
      <w:r>
        <w:rPr>
          <w:rFonts w:hint="eastAsia" w:ascii="仿宋_GB2312" w:hAnsi="仿宋_GB2312" w:eastAsia="仿宋_GB2312" w:cs="仿宋_GB2312"/>
          <w:b/>
          <w:bCs w:val="0"/>
          <w:color w:val="000000"/>
          <w:kern w:val="0"/>
          <w:sz w:val="28"/>
          <w:szCs w:val="28"/>
          <w:u w:val="none"/>
          <w:lang w:val="en-US" w:eastAsia="zh-Hans"/>
        </w:rPr>
        <w:t>同样</w:t>
      </w:r>
      <w:r>
        <w:rPr>
          <w:rFonts w:hint="default" w:ascii="仿宋_GB2312" w:hAnsi="仿宋_GB2312" w:eastAsia="仿宋_GB2312" w:cs="仿宋_GB2312"/>
          <w:b/>
          <w:bCs w:val="0"/>
          <w:color w:val="000000"/>
          <w:kern w:val="0"/>
          <w:sz w:val="28"/>
          <w:szCs w:val="28"/>
          <w:u w:val="none"/>
          <w:lang w:eastAsia="zh-Hans"/>
        </w:rPr>
        <w:t>，未规定已标价工程量清单没有编制说明</w:t>
      </w:r>
      <w:r>
        <w:rPr>
          <w:rFonts w:hint="eastAsia" w:ascii="仿宋_GB2312" w:hAnsi="仿宋_GB2312" w:eastAsia="仿宋_GB2312" w:cs="仿宋_GB2312"/>
          <w:b/>
          <w:bCs w:val="0"/>
          <w:color w:val="000000"/>
          <w:kern w:val="0"/>
          <w:sz w:val="28"/>
          <w:szCs w:val="28"/>
          <w:u w:val="none"/>
          <w:lang w:val="en-US" w:eastAsia="zh-Hans"/>
        </w:rPr>
        <w:t>作为</w:t>
      </w:r>
      <w:r>
        <w:rPr>
          <w:rFonts w:hint="default" w:ascii="仿宋_GB2312" w:hAnsi="仿宋_GB2312" w:eastAsia="仿宋_GB2312" w:cs="仿宋_GB2312"/>
          <w:b/>
          <w:bCs w:val="0"/>
          <w:color w:val="000000"/>
          <w:kern w:val="0"/>
          <w:sz w:val="28"/>
          <w:szCs w:val="28"/>
          <w:u w:val="none"/>
          <w:lang w:eastAsia="zh-Hans"/>
        </w:rPr>
        <w:t>废标项的表述。</w:t>
      </w:r>
    </w:p>
    <w:p>
      <w:pPr>
        <w:pStyle w:val="4"/>
        <w:numPr>
          <w:ilvl w:val="0"/>
          <w:numId w:val="3"/>
        </w:numPr>
        <w:bidi w:val="0"/>
        <w:rPr>
          <w:rFonts w:hint="default"/>
          <w:lang w:val="en-US" w:eastAsia="zh-Hans"/>
        </w:rPr>
      </w:pPr>
      <w:r>
        <w:rPr>
          <w:rFonts w:hint="eastAsia"/>
          <w:lang w:val="en-US" w:eastAsia="zh-Hans"/>
        </w:rPr>
        <w:t>补充材料</w:t>
      </w:r>
    </w:p>
    <w:p>
      <w:pPr>
        <w:widowControl/>
        <w:spacing w:line="360" w:lineRule="auto"/>
        <w:ind w:firstLine="562" w:firstLineChars="200"/>
        <w:rPr>
          <w:rFonts w:hint="default" w:ascii="仿宋_GB2312" w:hAnsi="仿宋_GB2312" w:eastAsia="仿宋_GB2312" w:cs="仿宋_GB2312"/>
          <w:b/>
          <w:bCs w:val="0"/>
          <w:color w:val="000000"/>
          <w:kern w:val="0"/>
          <w:sz w:val="28"/>
          <w:szCs w:val="28"/>
          <w:u w:val="single"/>
          <w:lang w:eastAsia="zh-Hans"/>
        </w:rPr>
      </w:pPr>
      <w:r>
        <w:rPr>
          <w:rFonts w:hint="eastAsia" w:ascii="仿宋_GB2312" w:hAnsi="仿宋_GB2312" w:eastAsia="仿宋_GB2312" w:cs="仿宋_GB2312"/>
          <w:b/>
          <w:bCs w:val="0"/>
          <w:color w:val="000000"/>
          <w:kern w:val="0"/>
          <w:sz w:val="28"/>
          <w:szCs w:val="28"/>
          <w:u w:val="single"/>
        </w:rPr>
        <w:t>《中华人民共和国招标投标法实施条例》中</w:t>
      </w:r>
      <w:r>
        <w:rPr>
          <w:rFonts w:hint="eastAsia" w:ascii="仿宋_GB2312" w:hAnsi="仿宋_GB2312" w:eastAsia="仿宋_GB2312" w:cs="仿宋_GB2312"/>
          <w:b/>
          <w:bCs w:val="0"/>
          <w:color w:val="000000"/>
          <w:kern w:val="0"/>
          <w:sz w:val="28"/>
          <w:szCs w:val="28"/>
          <w:u w:val="single"/>
          <w:lang w:val="en-US" w:eastAsia="zh-Hans"/>
        </w:rPr>
        <w:t>没有明确规定</w:t>
      </w:r>
      <w:r>
        <w:rPr>
          <w:rFonts w:hint="default" w:ascii="仿宋_GB2312" w:hAnsi="仿宋_GB2312" w:eastAsia="仿宋_GB2312" w:cs="仿宋_GB2312"/>
          <w:b/>
          <w:bCs w:val="0"/>
          <w:color w:val="000000"/>
          <w:kern w:val="0"/>
          <w:sz w:val="28"/>
          <w:szCs w:val="28"/>
          <w:u w:val="single"/>
          <w:lang w:eastAsia="zh-Hans"/>
        </w:rPr>
        <w:t>：</w:t>
      </w:r>
      <w:r>
        <w:rPr>
          <w:rFonts w:hint="eastAsia" w:ascii="仿宋_GB2312" w:hAnsi="仿宋_GB2312" w:eastAsia="仿宋_GB2312" w:cs="仿宋_GB2312"/>
          <w:b/>
          <w:bCs w:val="0"/>
          <w:color w:val="000000"/>
          <w:kern w:val="0"/>
          <w:sz w:val="28"/>
          <w:szCs w:val="28"/>
          <w:u w:val="single"/>
          <w:lang w:val="en-US" w:eastAsia="zh-Hans"/>
        </w:rPr>
        <w:t>投标单位因已标价工程量清单没有编制说明</w:t>
      </w:r>
      <w:r>
        <w:rPr>
          <w:rFonts w:hint="default" w:ascii="仿宋_GB2312" w:hAnsi="仿宋_GB2312" w:eastAsia="仿宋_GB2312" w:cs="仿宋_GB2312"/>
          <w:b/>
          <w:bCs w:val="0"/>
          <w:color w:val="000000"/>
          <w:kern w:val="0"/>
          <w:sz w:val="28"/>
          <w:szCs w:val="28"/>
          <w:u w:val="single"/>
          <w:lang w:eastAsia="zh-Hans"/>
        </w:rPr>
        <w:t>，</w:t>
      </w:r>
      <w:r>
        <w:rPr>
          <w:rFonts w:hint="eastAsia" w:ascii="仿宋_GB2312" w:hAnsi="仿宋_GB2312" w:eastAsia="仿宋_GB2312" w:cs="仿宋_GB2312"/>
          <w:b/>
          <w:bCs w:val="0"/>
          <w:color w:val="000000"/>
          <w:kern w:val="0"/>
          <w:sz w:val="28"/>
          <w:szCs w:val="28"/>
          <w:u w:val="single"/>
          <w:lang w:val="en-US" w:eastAsia="zh-Hans"/>
        </w:rPr>
        <w:t>为无效投标</w:t>
      </w:r>
      <w:r>
        <w:rPr>
          <w:rFonts w:hint="default" w:ascii="仿宋_GB2312" w:hAnsi="仿宋_GB2312" w:eastAsia="仿宋_GB2312" w:cs="仿宋_GB2312"/>
          <w:b/>
          <w:bCs w:val="0"/>
          <w:color w:val="000000"/>
          <w:kern w:val="0"/>
          <w:sz w:val="28"/>
          <w:szCs w:val="28"/>
          <w:u w:val="single"/>
          <w:lang w:eastAsia="zh-Hans"/>
        </w:rPr>
        <w:t>。</w:t>
      </w:r>
    </w:p>
    <w:p>
      <w:pPr>
        <w:keepNext/>
        <w:keepLines/>
        <w:widowControl w:val="0"/>
        <w:numPr>
          <w:ilvl w:val="0"/>
          <w:numId w:val="2"/>
        </w:numPr>
        <w:bidi w:val="0"/>
        <w:spacing w:before="260" w:beforeLines="0" w:beforeAutospacing="0" w:after="260" w:afterLines="0" w:afterAutospacing="0" w:line="413" w:lineRule="auto"/>
        <w:jc w:val="both"/>
        <w:outlineLvl w:val="1"/>
        <w:rPr>
          <w:rFonts w:hint="eastAsia" w:ascii="仿宋_GB2312" w:hAnsi="仿宋_GB2312" w:eastAsia="仿宋_GB2312" w:cs="仿宋_GB2312"/>
          <w:b/>
          <w:kern w:val="2"/>
          <w:sz w:val="28"/>
          <w:szCs w:val="28"/>
          <w:lang w:val="en-US" w:eastAsia="zh-Hans" w:bidi="ar-SA"/>
        </w:rPr>
      </w:pPr>
      <w:r>
        <w:rPr>
          <w:rFonts w:hint="eastAsia" w:ascii="仿宋_GB2312" w:hAnsi="仿宋_GB2312" w:eastAsia="仿宋_GB2312" w:cs="仿宋_GB2312"/>
          <w:b/>
          <w:kern w:val="2"/>
          <w:sz w:val="28"/>
          <w:szCs w:val="28"/>
          <w:lang w:val="en-US" w:eastAsia="zh-Hans" w:bidi="ar-SA"/>
        </w:rPr>
        <w:t>质疑事项</w:t>
      </w:r>
      <w:r>
        <w:rPr>
          <w:rFonts w:hint="default" w:ascii="仿宋_GB2312" w:hAnsi="仿宋_GB2312" w:eastAsia="仿宋_GB2312" w:cs="仿宋_GB2312"/>
          <w:b/>
          <w:kern w:val="2"/>
          <w:sz w:val="28"/>
          <w:szCs w:val="28"/>
          <w:lang w:eastAsia="zh-Hans" w:bidi="ar-SA"/>
        </w:rPr>
        <w:t>2</w:t>
      </w:r>
    </w:p>
    <w:p>
      <w:pPr>
        <w:ind w:firstLine="560" w:firstLineChars="200"/>
        <w:rPr>
          <w:rFonts w:hint="default" w:ascii="仿宋_GB2312" w:hAnsi="仿宋_GB2312" w:eastAsia="仿宋_GB2312" w:cs="仿宋_GB2312"/>
          <w:color w:val="auto"/>
          <w:sz w:val="28"/>
          <w:szCs w:val="28"/>
          <w:highlight w:val="none"/>
          <w:shd w:val="clear" w:color="auto" w:fill="FFFFFF"/>
          <w:lang w:eastAsia="zh-Hans"/>
        </w:rPr>
      </w:pPr>
      <w:r>
        <w:rPr>
          <w:rFonts w:hint="eastAsia" w:ascii="仿宋_GB2312" w:hAnsi="仿宋_GB2312" w:eastAsia="仿宋_GB2312" w:cs="仿宋_GB2312"/>
          <w:color w:val="auto"/>
          <w:sz w:val="28"/>
          <w:szCs w:val="28"/>
          <w:highlight w:val="none"/>
          <w:shd w:val="clear" w:color="auto" w:fill="FFFFFF"/>
          <w:lang w:val="en-US" w:eastAsia="zh-Hans"/>
        </w:rPr>
        <w:t>鄂尔多斯市东胜区智慧森林草原资源云平台项目信息化标段招标失败公告指出：</w:t>
      </w:r>
      <w:r>
        <w:rPr>
          <w:rFonts w:hint="eastAsia" w:ascii="仿宋_GB2312" w:hAnsi="仿宋_GB2312" w:eastAsia="仿宋_GB2312" w:cs="仿宋_GB2312"/>
          <w:color w:val="auto"/>
          <w:sz w:val="28"/>
          <w:szCs w:val="28"/>
          <w:highlight w:val="none"/>
          <w:u w:val="single"/>
          <w:shd w:val="clear" w:color="auto" w:fill="FFFFFF"/>
          <w:lang w:val="en-US" w:eastAsia="zh-Hans"/>
        </w:rPr>
        <w:t>中国通信建设第一工程局有限公司投标文件技术要求中列出的双光谱转台摄相机投标产品防护等级为IP66低于招标技术文件IP67要求，根据招标文件第二章投标人须知1.11.4要求，为无效投标</w:t>
      </w:r>
      <w:r>
        <w:rPr>
          <w:rFonts w:hint="default" w:ascii="仿宋_GB2312" w:hAnsi="仿宋_GB2312" w:eastAsia="仿宋_GB2312" w:cs="仿宋_GB2312"/>
          <w:color w:val="auto"/>
          <w:sz w:val="28"/>
          <w:szCs w:val="28"/>
          <w:highlight w:val="none"/>
          <w:shd w:val="clear" w:color="auto" w:fill="FFFFFF"/>
          <w:lang w:eastAsia="zh-Hans"/>
        </w:rPr>
        <w:t>。</w:t>
      </w:r>
    </w:p>
    <w:p>
      <w:pPr>
        <w:pStyle w:val="4"/>
        <w:numPr>
          <w:ilvl w:val="0"/>
          <w:numId w:val="4"/>
        </w:numPr>
        <w:bidi w:val="0"/>
        <w:rPr>
          <w:rFonts w:hint="eastAsia"/>
          <w:lang w:val="en-US" w:eastAsia="zh-CN"/>
        </w:rPr>
      </w:pPr>
      <w:r>
        <w:rPr>
          <w:rFonts w:hint="eastAsia"/>
          <w:lang w:val="en-US" w:eastAsia="zh-Hans"/>
        </w:rPr>
        <w:t>事实</w:t>
      </w:r>
      <w:r>
        <w:rPr>
          <w:rFonts w:hint="eastAsia"/>
          <w:lang w:val="en-US" w:eastAsia="zh-CN"/>
        </w:rPr>
        <w:t>依据</w:t>
      </w:r>
    </w:p>
    <w:p>
      <w:pPr>
        <w:widowControl/>
        <w:spacing w:line="360" w:lineRule="auto"/>
        <w:ind w:firstLine="560" w:firstLineChars="200"/>
        <w:rPr>
          <w:rFonts w:hint="default" w:ascii="仿宋_GB2312" w:hAnsi="仿宋_GB2312" w:eastAsia="仿宋_GB2312" w:cs="仿宋_GB2312"/>
          <w:bCs/>
          <w:color w:val="000000"/>
          <w:kern w:val="0"/>
          <w:sz w:val="28"/>
          <w:szCs w:val="28"/>
          <w:lang w:eastAsia="zh-Hans"/>
        </w:rPr>
      </w:pPr>
      <w:r>
        <w:rPr>
          <w:rFonts w:hint="eastAsia" w:ascii="仿宋_GB2312" w:hAnsi="仿宋_GB2312" w:eastAsia="仿宋_GB2312" w:cs="仿宋_GB2312"/>
          <w:bCs/>
          <w:color w:val="000000"/>
          <w:kern w:val="0"/>
          <w:sz w:val="28"/>
          <w:szCs w:val="28"/>
        </w:rPr>
        <w:t>招标文件</w:t>
      </w:r>
      <w:r>
        <w:rPr>
          <w:rFonts w:hint="default" w:ascii="仿宋_GB2312" w:hAnsi="仿宋_GB2312" w:eastAsia="仿宋_GB2312" w:cs="仿宋_GB2312"/>
          <w:bCs/>
          <w:color w:val="000000"/>
          <w:kern w:val="0"/>
          <w:sz w:val="28"/>
          <w:szCs w:val="28"/>
        </w:rPr>
        <w:t>（</w:t>
      </w:r>
      <w:r>
        <w:rPr>
          <w:rFonts w:hint="eastAsia" w:ascii="仿宋_GB2312" w:hAnsi="仿宋_GB2312" w:eastAsia="仿宋_GB2312" w:cs="仿宋_GB2312"/>
          <w:bCs/>
          <w:color w:val="000000"/>
          <w:kern w:val="0"/>
          <w:sz w:val="28"/>
          <w:szCs w:val="28"/>
          <w:lang w:val="en-US" w:eastAsia="zh-Hans"/>
        </w:rPr>
        <w:t>截图</w:t>
      </w:r>
      <w:r>
        <w:rPr>
          <w:rFonts w:hint="default" w:ascii="仿宋_GB2312" w:hAnsi="仿宋_GB2312" w:eastAsia="仿宋_GB2312" w:cs="仿宋_GB2312"/>
          <w:bCs/>
          <w:color w:val="000000"/>
          <w:kern w:val="0"/>
          <w:sz w:val="28"/>
          <w:szCs w:val="28"/>
          <w:lang w:eastAsia="zh-Hans"/>
        </w:rPr>
        <w:t>）：</w:t>
      </w:r>
    </w:p>
    <w:p>
      <w:pPr>
        <w:widowControl/>
        <w:spacing w:line="360" w:lineRule="auto"/>
        <w:ind w:left="0" w:leftChars="0" w:firstLine="0" w:firstLineChars="0"/>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sz w:val="28"/>
          <w:szCs w:val="28"/>
        </w:rPr>
        <w:drawing>
          <wp:inline distT="0" distB="0" distL="0" distR="0">
            <wp:extent cx="5068570" cy="2068195"/>
            <wp:effectExtent l="0" t="0" r="11430" b="14605"/>
            <wp:docPr id="1026" name="图片 13"/>
            <wp:cNvGraphicFramePr/>
            <a:graphic xmlns:a="http://schemas.openxmlformats.org/drawingml/2006/main">
              <a:graphicData uri="http://schemas.openxmlformats.org/drawingml/2006/picture">
                <pic:pic xmlns:pic="http://schemas.openxmlformats.org/drawingml/2006/picture">
                  <pic:nvPicPr>
                    <pic:cNvPr id="1026" name="图片 13"/>
                    <pic:cNvPicPr/>
                  </pic:nvPicPr>
                  <pic:blipFill>
                    <a:blip r:embed="rId7" cstate="print"/>
                    <a:srcRect/>
                    <a:stretch>
                      <a:fillRect/>
                    </a:stretch>
                  </pic:blipFill>
                  <pic:spPr>
                    <a:xfrm>
                      <a:off x="0" y="0"/>
                      <a:ext cx="5068570" cy="2068195"/>
                    </a:xfrm>
                    <a:prstGeom prst="rect">
                      <a:avLst/>
                    </a:prstGeom>
                  </pic:spPr>
                </pic:pic>
              </a:graphicData>
            </a:graphic>
          </wp:inline>
        </w:drawing>
      </w:r>
    </w:p>
    <w:p>
      <w:pPr>
        <w:widowControl/>
        <w:spacing w:line="360" w:lineRule="auto"/>
        <w:ind w:firstLine="560" w:firstLineChars="200"/>
        <w:rPr>
          <w:rFonts w:hint="eastAsia" w:ascii="仿宋_GB2312" w:hAnsi="仿宋_GB2312" w:eastAsia="仿宋_GB2312" w:cs="仿宋_GB2312"/>
          <w:bCs/>
          <w:color w:val="000000"/>
          <w:kern w:val="0"/>
          <w:sz w:val="28"/>
          <w:szCs w:val="28"/>
          <w:lang w:eastAsia="zh-Hans"/>
        </w:rPr>
      </w:pPr>
      <w:r>
        <w:rPr>
          <w:rFonts w:hint="eastAsia" w:ascii="仿宋_GB2312" w:hAnsi="仿宋_GB2312" w:eastAsia="仿宋_GB2312" w:cs="仿宋_GB2312"/>
          <w:bCs/>
          <w:color w:val="000000"/>
          <w:kern w:val="0"/>
          <w:sz w:val="28"/>
          <w:szCs w:val="28"/>
        </w:rPr>
        <w:t>如上图所示,招标文件1.11</w:t>
      </w:r>
      <w:r>
        <w:rPr>
          <w:rFonts w:hint="eastAsia" w:ascii="仿宋_GB2312" w:hAnsi="仿宋_GB2312" w:eastAsia="仿宋_GB2312" w:cs="仿宋_GB2312"/>
          <w:bCs/>
          <w:color w:val="000000"/>
          <w:kern w:val="0"/>
          <w:sz w:val="28"/>
          <w:szCs w:val="28"/>
          <w:lang w:val="en-US" w:eastAsia="zh-Hans"/>
        </w:rPr>
        <w:t>响应和偏差中“</w:t>
      </w:r>
      <w:r>
        <w:rPr>
          <w:rFonts w:hint="eastAsia" w:ascii="仿宋_GB2312" w:hAnsi="仿宋_GB2312" w:eastAsia="仿宋_GB2312" w:cs="仿宋_GB2312"/>
          <w:bCs/>
          <w:color w:val="000000"/>
          <w:kern w:val="0"/>
          <w:sz w:val="28"/>
          <w:szCs w:val="28"/>
          <w:lang w:eastAsia="zh-Hans"/>
        </w:rPr>
        <w:t>1</w:t>
      </w:r>
      <w:r>
        <w:rPr>
          <w:rFonts w:hint="eastAsia" w:ascii="仿宋_GB2312" w:hAnsi="仿宋_GB2312" w:eastAsia="仿宋_GB2312" w:cs="仿宋_GB2312"/>
          <w:bCs/>
          <w:color w:val="000000"/>
          <w:kern w:val="0"/>
          <w:sz w:val="28"/>
          <w:szCs w:val="28"/>
          <w:lang w:val="en-US" w:eastAsia="zh-Hans"/>
        </w:rPr>
        <w:t>.</w:t>
      </w:r>
      <w:r>
        <w:rPr>
          <w:rFonts w:hint="eastAsia" w:ascii="仿宋_GB2312" w:hAnsi="仿宋_GB2312" w:eastAsia="仿宋_GB2312" w:cs="仿宋_GB2312"/>
          <w:bCs/>
          <w:color w:val="000000"/>
          <w:kern w:val="0"/>
          <w:sz w:val="28"/>
          <w:szCs w:val="28"/>
          <w:lang w:eastAsia="zh-Hans"/>
        </w:rPr>
        <w:t>11</w:t>
      </w:r>
      <w:r>
        <w:rPr>
          <w:rFonts w:hint="eastAsia" w:ascii="仿宋_GB2312" w:hAnsi="仿宋_GB2312" w:eastAsia="仿宋_GB2312" w:cs="仿宋_GB2312"/>
          <w:bCs/>
          <w:color w:val="000000"/>
          <w:kern w:val="0"/>
          <w:sz w:val="28"/>
          <w:szCs w:val="28"/>
          <w:lang w:val="en-US" w:eastAsia="zh-Hans"/>
        </w:rPr>
        <w:t>.</w:t>
      </w:r>
      <w:r>
        <w:rPr>
          <w:rFonts w:hint="eastAsia" w:ascii="仿宋_GB2312" w:hAnsi="仿宋_GB2312" w:eastAsia="仿宋_GB2312" w:cs="仿宋_GB2312"/>
          <w:bCs/>
          <w:color w:val="000000"/>
          <w:kern w:val="0"/>
          <w:sz w:val="28"/>
          <w:szCs w:val="28"/>
          <w:lang w:eastAsia="zh-Hans"/>
        </w:rPr>
        <w:t>1 投标文件应当对招标文件的实质性要求和条件作出满足性或更有利于招标人的响应，否则，投标人的投标将被否决。实质性要求和条件见</w:t>
      </w:r>
      <w:r>
        <w:rPr>
          <w:rFonts w:hint="eastAsia" w:ascii="仿宋_GB2312" w:hAnsi="仿宋_GB2312" w:eastAsia="仿宋_GB2312" w:cs="仿宋_GB2312"/>
          <w:b/>
          <w:bCs w:val="0"/>
          <w:color w:val="000000"/>
          <w:kern w:val="0"/>
          <w:sz w:val="28"/>
          <w:szCs w:val="28"/>
          <w:u w:val="single"/>
          <w:lang w:eastAsia="zh-Hans"/>
        </w:rPr>
        <w:t>投标人须知前附表</w:t>
      </w:r>
      <w:r>
        <w:rPr>
          <w:rFonts w:hint="eastAsia" w:ascii="仿宋_GB2312" w:hAnsi="仿宋_GB2312" w:eastAsia="仿宋_GB2312" w:cs="仿宋_GB2312"/>
          <w:bCs/>
          <w:color w:val="000000"/>
          <w:kern w:val="0"/>
          <w:sz w:val="28"/>
          <w:szCs w:val="28"/>
          <w:u w:val="none"/>
          <w:lang w:eastAsia="zh-Hans"/>
        </w:rPr>
        <w:t>”</w:t>
      </w:r>
      <w:r>
        <w:rPr>
          <w:rFonts w:hint="eastAsia" w:ascii="仿宋_GB2312" w:hAnsi="仿宋_GB2312" w:eastAsia="仿宋_GB2312" w:cs="仿宋_GB2312"/>
          <w:bCs/>
          <w:color w:val="000000"/>
          <w:kern w:val="0"/>
          <w:sz w:val="28"/>
          <w:szCs w:val="28"/>
          <w:lang w:eastAsia="zh-Hans"/>
        </w:rPr>
        <w:t>。</w:t>
      </w:r>
    </w:p>
    <w:p>
      <w:pPr>
        <w:widowControl/>
        <w:spacing w:line="360" w:lineRule="auto"/>
        <w:ind w:firstLine="560" w:firstLineChars="200"/>
        <w:rPr>
          <w:rFonts w:hint="eastAsia" w:ascii="仿宋_GB2312" w:hAnsi="仿宋_GB2312" w:eastAsia="仿宋_GB2312" w:cs="仿宋_GB2312"/>
          <w:b/>
          <w:bCs w:val="0"/>
          <w:color w:val="000000"/>
          <w:kern w:val="0"/>
          <w:sz w:val="28"/>
          <w:szCs w:val="28"/>
          <w:u w:val="single"/>
        </w:rPr>
      </w:pPr>
      <w:r>
        <w:rPr>
          <w:rFonts w:hint="eastAsia" w:ascii="仿宋_GB2312" w:hAnsi="仿宋_GB2312" w:eastAsia="仿宋_GB2312" w:cs="仿宋_GB2312"/>
          <w:bCs/>
          <w:color w:val="000000"/>
          <w:kern w:val="0"/>
          <w:sz w:val="28"/>
          <w:szCs w:val="28"/>
        </w:rPr>
        <w:t>《投标人须知前附表》，</w:t>
      </w:r>
      <w:r>
        <w:rPr>
          <w:rFonts w:hint="eastAsia" w:ascii="仿宋_GB2312" w:hAnsi="仿宋_GB2312" w:eastAsia="仿宋_GB2312" w:cs="仿宋_GB2312"/>
          <w:bCs/>
          <w:color w:val="000000"/>
          <w:kern w:val="0"/>
          <w:sz w:val="28"/>
          <w:szCs w:val="28"/>
          <w:lang w:val="en-US" w:eastAsia="zh-Hans"/>
        </w:rPr>
        <w:t>即本</w:t>
      </w:r>
      <w:r>
        <w:rPr>
          <w:rFonts w:hint="eastAsia" w:ascii="仿宋_GB2312" w:hAnsi="仿宋_GB2312" w:eastAsia="仿宋_GB2312" w:cs="仿宋_GB2312"/>
          <w:bCs/>
          <w:color w:val="000000"/>
          <w:kern w:val="0"/>
          <w:sz w:val="28"/>
          <w:szCs w:val="28"/>
          <w:lang w:eastAsia="zh-CN"/>
        </w:rPr>
        <w:t>招标文件第二章内容。</w:t>
      </w:r>
      <w:r>
        <w:rPr>
          <w:rFonts w:hint="eastAsia" w:ascii="仿宋_GB2312" w:hAnsi="仿宋_GB2312" w:eastAsia="仿宋_GB2312" w:cs="仿宋_GB2312"/>
          <w:bCs/>
          <w:kern w:val="0"/>
          <w:sz w:val="28"/>
          <w:szCs w:val="28"/>
        </w:rPr>
        <w:t>投标人须知前附表中</w:t>
      </w:r>
      <w:r>
        <w:rPr>
          <w:rFonts w:hint="eastAsia" w:ascii="仿宋_GB2312" w:hAnsi="仿宋_GB2312" w:eastAsia="仿宋_GB2312" w:cs="仿宋_GB2312"/>
          <w:bCs/>
          <w:kern w:val="0"/>
          <w:sz w:val="28"/>
          <w:szCs w:val="28"/>
          <w:lang w:eastAsia="zh-Hans"/>
        </w:rPr>
        <w:t>“</w:t>
      </w:r>
      <w:r>
        <w:rPr>
          <w:rFonts w:hint="eastAsia" w:ascii="仿宋_GB2312" w:hAnsi="仿宋_GB2312" w:eastAsia="仿宋_GB2312" w:cs="仿宋_GB2312"/>
          <w:bCs/>
          <w:kern w:val="0"/>
          <w:sz w:val="28"/>
          <w:szCs w:val="28"/>
        </w:rPr>
        <w:t>1.11.1实质性要求和条件</w:t>
      </w:r>
      <w:r>
        <w:rPr>
          <w:rFonts w:hint="eastAsia" w:ascii="仿宋_GB2312" w:hAnsi="仿宋_GB2312" w:eastAsia="仿宋_GB2312" w:cs="仿宋_GB2312"/>
          <w:bCs/>
          <w:kern w:val="0"/>
          <w:sz w:val="28"/>
          <w:szCs w:val="28"/>
          <w:lang w:eastAsia="zh-Hans"/>
        </w:rPr>
        <w:t>”</w:t>
      </w:r>
      <w:r>
        <w:rPr>
          <w:rFonts w:hint="eastAsia" w:ascii="仿宋_GB2312" w:hAnsi="仿宋_GB2312" w:eastAsia="仿宋_GB2312" w:cs="仿宋_GB2312"/>
          <w:bCs/>
          <w:kern w:val="0"/>
          <w:sz w:val="28"/>
          <w:szCs w:val="28"/>
          <w:lang w:val="en-US" w:eastAsia="zh-Hans"/>
        </w:rPr>
        <w:t>描述内容为</w:t>
      </w:r>
      <w:r>
        <w:rPr>
          <w:rFonts w:hint="eastAsia" w:ascii="仿宋_GB2312" w:hAnsi="仿宋_GB2312" w:eastAsia="仿宋_GB2312" w:cs="仿宋_GB2312"/>
          <w:bCs/>
          <w:kern w:val="0"/>
          <w:sz w:val="28"/>
          <w:szCs w:val="28"/>
          <w:lang w:eastAsia="zh-Hans"/>
        </w:rPr>
        <w:t>：“详见第二章评标办法前附表”，</w:t>
      </w:r>
      <w:r>
        <w:rPr>
          <w:rFonts w:hint="eastAsia" w:ascii="仿宋_GB2312" w:hAnsi="仿宋_GB2312" w:eastAsia="仿宋_GB2312" w:cs="仿宋_GB2312"/>
          <w:bCs/>
          <w:kern w:val="0"/>
          <w:sz w:val="28"/>
          <w:szCs w:val="28"/>
        </w:rPr>
        <w:t>但招标文件中未找到《第二章评标办法前附表》</w:t>
      </w:r>
      <w:r>
        <w:rPr>
          <w:rFonts w:hint="eastAsia" w:ascii="仿宋_GB2312" w:hAnsi="仿宋_GB2312" w:eastAsia="仿宋_GB2312" w:cs="仿宋_GB2312"/>
          <w:bCs/>
          <w:kern w:val="0"/>
          <w:sz w:val="28"/>
          <w:szCs w:val="28"/>
          <w:lang w:val="en-US" w:eastAsia="zh-Hans"/>
        </w:rPr>
        <w:t>文件</w:t>
      </w:r>
      <w:r>
        <w:rPr>
          <w:rFonts w:hint="eastAsia" w:ascii="仿宋_GB2312" w:hAnsi="仿宋_GB2312" w:eastAsia="仿宋_GB2312" w:cs="仿宋_GB2312"/>
          <w:bCs/>
          <w:kern w:val="0"/>
          <w:sz w:val="28"/>
          <w:szCs w:val="28"/>
        </w:rPr>
        <w:t>，</w:t>
      </w:r>
      <w:r>
        <w:rPr>
          <w:rFonts w:hint="eastAsia" w:ascii="仿宋_GB2312" w:hAnsi="仿宋_GB2312" w:eastAsia="仿宋_GB2312" w:cs="仿宋_GB2312"/>
          <w:bCs/>
          <w:kern w:val="0"/>
          <w:sz w:val="28"/>
          <w:szCs w:val="28"/>
          <w:lang w:val="en-US" w:eastAsia="zh-Hans"/>
        </w:rPr>
        <w:t>理解为所述附表即</w:t>
      </w:r>
      <w:r>
        <w:rPr>
          <w:rFonts w:hint="eastAsia" w:ascii="仿宋_GB2312" w:hAnsi="仿宋_GB2312" w:eastAsia="仿宋_GB2312" w:cs="仿宋_GB2312"/>
          <w:bCs/>
          <w:color w:val="000000"/>
          <w:kern w:val="0"/>
          <w:sz w:val="28"/>
          <w:szCs w:val="28"/>
        </w:rPr>
        <w:t>《投标人须知前附表》；</w:t>
      </w:r>
      <w:r>
        <w:rPr>
          <w:rFonts w:hint="eastAsia" w:ascii="仿宋_GB2312" w:hAnsi="仿宋_GB2312" w:eastAsia="仿宋_GB2312" w:cs="仿宋_GB2312"/>
          <w:b/>
          <w:bCs w:val="0"/>
          <w:color w:val="000000"/>
          <w:kern w:val="0"/>
          <w:sz w:val="28"/>
          <w:szCs w:val="28"/>
          <w:lang w:val="en-US" w:eastAsia="zh-Hans"/>
        </w:rPr>
        <w:t>并且在《第三章评标办法（综合评标法）》中未明确某一条技术参数不满足招标文件的实质性要求和条件参数，作为投标人的投标被否决的条件。招标文件中对此没有明确规定。招标人以此为依据，改变评标结果，没有事实和法律依据。而且，我公司的清单计价表中是完全响应招标技术参数要求的</w:t>
      </w:r>
      <w:r>
        <w:rPr>
          <w:rFonts w:hint="eastAsia" w:ascii="仿宋_GB2312" w:hAnsi="仿宋_GB2312" w:eastAsia="仿宋_GB2312" w:cs="仿宋_GB2312"/>
          <w:b/>
          <w:bCs w:val="0"/>
          <w:color w:val="000000"/>
          <w:kern w:val="0"/>
          <w:sz w:val="28"/>
          <w:szCs w:val="28"/>
        </w:rPr>
        <w:t>。</w:t>
      </w:r>
      <w:r>
        <w:rPr>
          <w:rFonts w:hint="eastAsia" w:ascii="仿宋_GB2312" w:hAnsi="仿宋_GB2312" w:eastAsia="仿宋_GB2312" w:cs="仿宋_GB2312"/>
          <w:b/>
          <w:bCs w:val="0"/>
          <w:color w:val="000000"/>
          <w:kern w:val="0"/>
          <w:sz w:val="28"/>
          <w:szCs w:val="28"/>
          <w:u w:val="single"/>
        </w:rPr>
        <w:t>我</w:t>
      </w:r>
      <w:r>
        <w:rPr>
          <w:rFonts w:hint="eastAsia" w:ascii="仿宋_GB2312" w:hAnsi="仿宋_GB2312" w:eastAsia="仿宋_GB2312" w:cs="仿宋_GB2312"/>
          <w:b/>
          <w:bCs w:val="0"/>
          <w:color w:val="000000"/>
          <w:kern w:val="0"/>
          <w:sz w:val="28"/>
          <w:szCs w:val="28"/>
          <w:u w:val="single"/>
          <w:lang w:val="en-US" w:eastAsia="zh-Hans"/>
        </w:rPr>
        <w:t>投标文件</w:t>
      </w:r>
      <w:r>
        <w:rPr>
          <w:rFonts w:hint="eastAsia" w:ascii="仿宋_GB2312" w:hAnsi="仿宋_GB2312" w:eastAsia="仿宋_GB2312" w:cs="仿宋_GB2312"/>
          <w:b/>
          <w:bCs w:val="0"/>
          <w:color w:val="000000"/>
          <w:kern w:val="0"/>
          <w:sz w:val="28"/>
          <w:szCs w:val="28"/>
          <w:u w:val="single"/>
        </w:rPr>
        <w:t>均符合《投标人须知前附表》</w:t>
      </w:r>
      <w:r>
        <w:rPr>
          <w:rFonts w:hint="default" w:ascii="仿宋_GB2312" w:hAnsi="仿宋_GB2312" w:eastAsia="仿宋_GB2312" w:cs="仿宋_GB2312"/>
          <w:b/>
          <w:bCs w:val="0"/>
          <w:color w:val="000000"/>
          <w:kern w:val="0"/>
          <w:sz w:val="28"/>
          <w:szCs w:val="28"/>
          <w:u w:val="single"/>
        </w:rPr>
        <w:t>，完全响应“2.1.3响应性评审标准”，无理由作废标处理</w:t>
      </w:r>
      <w:r>
        <w:rPr>
          <w:rFonts w:hint="eastAsia" w:ascii="仿宋_GB2312" w:hAnsi="仿宋_GB2312" w:eastAsia="仿宋_GB2312" w:cs="仿宋_GB2312"/>
          <w:b/>
          <w:bCs w:val="0"/>
          <w:color w:val="000000"/>
          <w:kern w:val="0"/>
          <w:sz w:val="28"/>
          <w:szCs w:val="28"/>
          <w:u w:val="single"/>
        </w:rPr>
        <w:t>。</w:t>
      </w:r>
    </w:p>
    <w:p>
      <w:pPr>
        <w:pStyle w:val="4"/>
        <w:numPr>
          <w:ilvl w:val="0"/>
          <w:numId w:val="4"/>
        </w:numPr>
        <w:bidi w:val="0"/>
        <w:rPr>
          <w:rFonts w:hint="eastAsia"/>
          <w:lang w:val="en-US" w:eastAsia="zh-CN"/>
        </w:rPr>
      </w:pPr>
      <w:r>
        <w:rPr>
          <w:rFonts w:hint="eastAsia"/>
          <w:lang w:val="en-US" w:eastAsia="zh-Hans"/>
        </w:rPr>
        <w:t>法律</w:t>
      </w:r>
      <w:r>
        <w:rPr>
          <w:rFonts w:hint="eastAsia"/>
          <w:lang w:val="en-US" w:eastAsia="zh-CN"/>
        </w:rPr>
        <w:t>依据</w:t>
      </w:r>
    </w:p>
    <w:p>
      <w:pPr>
        <w:widowControl/>
        <w:spacing w:line="360" w:lineRule="auto"/>
        <w:ind w:firstLine="560" w:firstLineChars="200"/>
        <w:rPr>
          <w:rFonts w:hint="default" w:ascii="仿宋_GB2312" w:hAnsi="仿宋_GB2312" w:eastAsia="仿宋_GB2312" w:cs="仿宋_GB2312"/>
          <w:b/>
          <w:bCs w:val="0"/>
          <w:color w:val="auto"/>
          <w:kern w:val="0"/>
          <w:sz w:val="28"/>
          <w:szCs w:val="28"/>
          <w:highlight w:val="none"/>
          <w:u w:val="single"/>
        </w:rPr>
      </w:pPr>
      <w:r>
        <w:rPr>
          <w:rFonts w:hint="eastAsia" w:ascii="仿宋_GB2312" w:hAnsi="仿宋_GB2312" w:eastAsia="仿宋_GB2312" w:cs="仿宋_GB2312"/>
          <w:bCs/>
          <w:color w:val="auto"/>
          <w:kern w:val="0"/>
          <w:sz w:val="28"/>
          <w:szCs w:val="28"/>
          <w:highlight w:val="none"/>
          <w:lang w:val="en-US" w:eastAsia="zh-Hans"/>
        </w:rPr>
        <w:t>本项目属建设工程招标，故整体项目不应以某一款设备的某一条参数作为判断投标人无效投标的标准，且招标文件及评分标准并未体现某条设备技术参数不满足给予扣分或者视为无效投标的说明。如以某款设备的某条参数作为评判投标人无效投标的标准，意味着设备技术参数具备明确的设备生产商的指向性和倾向性</w:t>
      </w:r>
      <w:r>
        <w:rPr>
          <w:rFonts w:hint="eastAsia" w:ascii="仿宋_GB2312" w:hAnsi="仿宋_GB2312" w:eastAsia="仿宋_GB2312" w:cs="仿宋_GB2312"/>
          <w:bCs/>
          <w:color w:val="auto"/>
          <w:kern w:val="0"/>
          <w:sz w:val="28"/>
          <w:szCs w:val="28"/>
          <w:highlight w:val="none"/>
        </w:rPr>
        <w:t>。</w:t>
      </w:r>
      <w:r>
        <w:rPr>
          <w:rFonts w:hint="eastAsia" w:ascii="仿宋_GB2312" w:hAnsi="仿宋_GB2312" w:eastAsia="仿宋_GB2312" w:cs="仿宋_GB2312"/>
          <w:b/>
          <w:bCs w:val="0"/>
          <w:color w:val="auto"/>
          <w:kern w:val="0"/>
          <w:sz w:val="28"/>
          <w:szCs w:val="28"/>
          <w:highlight w:val="none"/>
          <w:u w:val="single"/>
        </w:rPr>
        <w:t>如以某款设备的某条参数作为评判投标人无效投标的标准，意味设备参数具备明确的设备生产商指向性描述。招标文件中技术参数指向性太强，涉嫌违反《中华人民共和国招标投标法实施条例》第32条规定</w:t>
      </w:r>
      <w:r>
        <w:rPr>
          <w:rFonts w:hint="eastAsia" w:ascii="仿宋_GB2312" w:hAnsi="仿宋_GB2312" w:eastAsia="仿宋_GB2312" w:cs="仿宋_GB2312"/>
          <w:b/>
          <w:bCs w:val="0"/>
          <w:color w:val="auto"/>
          <w:kern w:val="0"/>
          <w:sz w:val="28"/>
          <w:szCs w:val="28"/>
          <w:highlight w:val="none"/>
          <w:u w:val="single"/>
          <w:lang w:eastAsia="zh-Hans"/>
        </w:rPr>
        <w:t>“招标人不得以不合理的条件限制、排斥潜在投标人或者投标人”</w:t>
      </w:r>
      <w:r>
        <w:rPr>
          <w:rFonts w:hint="default" w:ascii="仿宋_GB2312" w:hAnsi="仿宋_GB2312" w:eastAsia="仿宋_GB2312" w:cs="仿宋_GB2312"/>
          <w:b/>
          <w:bCs w:val="0"/>
          <w:color w:val="auto"/>
          <w:kern w:val="0"/>
          <w:sz w:val="28"/>
          <w:szCs w:val="28"/>
          <w:highlight w:val="none"/>
          <w:u w:val="none"/>
        </w:rPr>
        <w:t>。</w:t>
      </w:r>
    </w:p>
    <w:p>
      <w:pPr>
        <w:widowControl/>
        <w:spacing w:line="360" w:lineRule="auto"/>
        <w:ind w:firstLine="562" w:firstLineChars="200"/>
        <w:rPr>
          <w:rFonts w:hint="default" w:ascii="仿宋_GB2312" w:hAnsi="仿宋_GB2312" w:eastAsia="仿宋_GB2312" w:cs="仿宋_GB2312"/>
          <w:b/>
          <w:bCs w:val="0"/>
          <w:color w:val="auto"/>
          <w:kern w:val="0"/>
          <w:sz w:val="28"/>
          <w:szCs w:val="28"/>
          <w:highlight w:val="none"/>
          <w:lang w:eastAsia="zh-Hans"/>
        </w:rPr>
      </w:pPr>
      <w:r>
        <w:rPr>
          <w:rFonts w:hint="default" w:ascii="仿宋_GB2312" w:hAnsi="仿宋_GB2312" w:eastAsia="仿宋_GB2312" w:cs="仿宋_GB2312"/>
          <w:b/>
          <w:bCs w:val="0"/>
          <w:color w:val="auto"/>
          <w:kern w:val="0"/>
          <w:sz w:val="28"/>
          <w:szCs w:val="28"/>
          <w:highlight w:val="none"/>
          <w:lang w:eastAsia="zh-Hans"/>
        </w:rPr>
        <w:t>我</w:t>
      </w:r>
      <w:r>
        <w:rPr>
          <w:rFonts w:hint="eastAsia" w:ascii="仿宋_GB2312" w:hAnsi="仿宋_GB2312" w:eastAsia="仿宋_GB2312" w:cs="仿宋_GB2312"/>
          <w:b/>
          <w:bCs w:val="0"/>
          <w:color w:val="auto"/>
          <w:kern w:val="0"/>
          <w:sz w:val="28"/>
          <w:szCs w:val="28"/>
          <w:highlight w:val="none"/>
          <w:lang w:val="en-US" w:eastAsia="zh-Hans"/>
        </w:rPr>
        <w:t>公</w:t>
      </w:r>
      <w:r>
        <w:rPr>
          <w:rFonts w:hint="default" w:ascii="仿宋_GB2312" w:hAnsi="仿宋_GB2312" w:eastAsia="仿宋_GB2312" w:cs="仿宋_GB2312"/>
          <w:b/>
          <w:bCs w:val="0"/>
          <w:color w:val="auto"/>
          <w:kern w:val="0"/>
          <w:sz w:val="28"/>
          <w:szCs w:val="28"/>
          <w:highlight w:val="none"/>
          <w:lang w:eastAsia="zh-Hans"/>
        </w:rPr>
        <w:t>司</w:t>
      </w:r>
      <w:r>
        <w:rPr>
          <w:rFonts w:hint="eastAsia" w:ascii="仿宋_GB2312" w:hAnsi="仿宋_GB2312" w:eastAsia="仿宋_GB2312" w:cs="仿宋_GB2312"/>
          <w:b/>
          <w:bCs w:val="0"/>
          <w:color w:val="auto"/>
          <w:kern w:val="0"/>
          <w:sz w:val="28"/>
          <w:szCs w:val="28"/>
          <w:highlight w:val="none"/>
          <w:lang w:val="en-US" w:eastAsia="zh-Hans"/>
        </w:rPr>
        <w:t>投标文件</w:t>
      </w:r>
      <w:r>
        <w:rPr>
          <w:rFonts w:hint="default" w:ascii="仿宋_GB2312" w:hAnsi="仿宋_GB2312" w:eastAsia="仿宋_GB2312" w:cs="仿宋_GB2312"/>
          <w:b/>
          <w:bCs w:val="0"/>
          <w:color w:val="auto"/>
          <w:kern w:val="0"/>
          <w:sz w:val="28"/>
          <w:szCs w:val="28"/>
          <w:highlight w:val="none"/>
          <w:lang w:eastAsia="zh-Hans"/>
        </w:rPr>
        <w:t>，完全响应“2.1.3响应性评审标准”，无理由作废标处理。</w:t>
      </w:r>
    </w:p>
    <w:p>
      <w:pPr>
        <w:widowControl/>
        <w:spacing w:line="360" w:lineRule="auto"/>
        <w:ind w:firstLine="560" w:firstLineChars="200"/>
        <w:rPr>
          <w:rFonts w:hint="eastAsia" w:ascii="仿宋_GB2312" w:hAnsi="仿宋_GB2312" w:eastAsia="仿宋_GB2312" w:cs="仿宋_GB2312"/>
          <w:bCs/>
          <w:color w:val="auto"/>
          <w:kern w:val="0"/>
          <w:sz w:val="28"/>
          <w:szCs w:val="28"/>
          <w:highlight w:val="none"/>
          <w:lang w:eastAsia="zh-Hans"/>
        </w:rPr>
      </w:pPr>
      <w:r>
        <w:rPr>
          <w:rFonts w:hint="eastAsia" w:ascii="仿宋_GB2312" w:hAnsi="仿宋_GB2312" w:eastAsia="仿宋_GB2312" w:cs="仿宋_GB2312"/>
          <w:b w:val="0"/>
          <w:bCs/>
          <w:color w:val="auto"/>
          <w:kern w:val="0"/>
          <w:sz w:val="28"/>
          <w:szCs w:val="28"/>
          <w:highlight w:val="none"/>
          <w:u w:val="none"/>
          <w:lang w:val="en-US" w:eastAsia="zh-Hans"/>
        </w:rPr>
        <w:t>依据</w:t>
      </w:r>
      <w:r>
        <w:rPr>
          <w:rFonts w:hint="eastAsia" w:ascii="仿宋_GB2312" w:hAnsi="仿宋_GB2312" w:eastAsia="仿宋_GB2312" w:cs="仿宋_GB2312"/>
          <w:b/>
          <w:bCs w:val="0"/>
          <w:color w:val="auto"/>
          <w:kern w:val="0"/>
          <w:sz w:val="28"/>
          <w:szCs w:val="28"/>
          <w:highlight w:val="none"/>
          <w:u w:val="single"/>
        </w:rPr>
        <w:t>《中华人民共和国招标投标法实施条例》</w:t>
      </w:r>
      <w:r>
        <w:rPr>
          <w:rFonts w:hint="eastAsia" w:ascii="仿宋_GB2312" w:hAnsi="仿宋_GB2312" w:eastAsia="仿宋_GB2312" w:cs="仿宋_GB2312"/>
          <w:b/>
          <w:bCs w:val="0"/>
          <w:color w:val="auto"/>
          <w:kern w:val="0"/>
          <w:sz w:val="28"/>
          <w:szCs w:val="28"/>
          <w:highlight w:val="none"/>
          <w:u w:val="single"/>
          <w:lang w:val="en-US" w:eastAsia="zh-Hans"/>
        </w:rPr>
        <w:t>中“第五十二条</w:t>
      </w:r>
      <w:r>
        <w:rPr>
          <w:rFonts w:hint="eastAsia" w:ascii="仿宋_GB2312" w:hAnsi="仿宋_GB2312" w:eastAsia="仿宋_GB2312" w:cs="仿宋_GB2312"/>
          <w:b/>
          <w:bCs w:val="0"/>
          <w:color w:val="auto"/>
          <w:kern w:val="0"/>
          <w:sz w:val="28"/>
          <w:szCs w:val="28"/>
          <w:highlight w:val="none"/>
          <w:u w:val="single"/>
          <w:lang w:eastAsia="zh-Hans"/>
        </w:rPr>
        <w:t>规定</w:t>
      </w:r>
      <w:r>
        <w:rPr>
          <w:rFonts w:hint="eastAsia" w:ascii="仿宋_GB2312" w:hAnsi="仿宋_GB2312" w:eastAsia="仿宋_GB2312" w:cs="仿宋_GB2312"/>
          <w:b/>
          <w:bCs w:val="0"/>
          <w:color w:val="auto"/>
          <w:kern w:val="0"/>
          <w:sz w:val="28"/>
          <w:szCs w:val="28"/>
          <w:highlight w:val="none"/>
          <w:u w:val="single"/>
          <w:lang w:val="en-US" w:eastAsia="zh-Hans"/>
        </w:rPr>
        <w:t>“投标文件中有含义不明确的内容、明显文字或者计算错误，评标委员会认为需要投标人作出必要澄清、说明的，应当书面通知该投标人。投标人的澄清、说明应当采用书面形式，并不得超出投标文件的范围或者改变投标文件的实质性内容”</w:t>
      </w:r>
      <w:r>
        <w:rPr>
          <w:rFonts w:hint="default" w:ascii="仿宋_GB2312" w:hAnsi="仿宋_GB2312" w:eastAsia="仿宋_GB2312" w:cs="仿宋_GB2312"/>
          <w:b/>
          <w:bCs w:val="0"/>
          <w:color w:val="auto"/>
          <w:kern w:val="0"/>
          <w:sz w:val="28"/>
          <w:szCs w:val="28"/>
          <w:highlight w:val="none"/>
          <w:u w:val="single"/>
          <w:lang w:eastAsia="zh-Hans"/>
        </w:rPr>
        <w:t>，第二十六条</w:t>
      </w:r>
      <w:r>
        <w:rPr>
          <w:rFonts w:hint="eastAsia" w:ascii="仿宋_GB2312" w:hAnsi="仿宋_GB2312" w:eastAsia="仿宋_GB2312" w:cs="仿宋_GB2312"/>
          <w:b/>
          <w:bCs w:val="0"/>
          <w:color w:val="auto"/>
          <w:kern w:val="0"/>
          <w:sz w:val="28"/>
          <w:szCs w:val="28"/>
          <w:highlight w:val="none"/>
          <w:u w:val="single"/>
          <w:lang w:eastAsia="zh-Hans"/>
        </w:rPr>
        <w:t>“</w:t>
      </w:r>
      <w:r>
        <w:rPr>
          <w:rFonts w:hint="default" w:ascii="仿宋_GB2312" w:hAnsi="仿宋_GB2312" w:eastAsia="仿宋_GB2312" w:cs="仿宋_GB2312"/>
          <w:b/>
          <w:bCs w:val="0"/>
          <w:color w:val="auto"/>
          <w:kern w:val="0"/>
          <w:sz w:val="28"/>
          <w:szCs w:val="28"/>
          <w:highlight w:val="none"/>
          <w:u w:val="single"/>
          <w:lang w:eastAsia="zh-Hans"/>
        </w:rPr>
        <w:t>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w:t>
      </w:r>
      <w:r>
        <w:rPr>
          <w:rFonts w:hint="eastAsia" w:ascii="仿宋_GB2312" w:hAnsi="仿宋_GB2312" w:eastAsia="仿宋_GB2312" w:cs="仿宋_GB2312"/>
          <w:b/>
          <w:bCs w:val="0"/>
          <w:color w:val="auto"/>
          <w:kern w:val="0"/>
          <w:sz w:val="28"/>
          <w:szCs w:val="28"/>
          <w:highlight w:val="none"/>
          <w:u w:val="single"/>
          <w:lang w:eastAsia="zh-Hans"/>
        </w:rPr>
        <w:t>”</w:t>
      </w:r>
      <w:r>
        <w:rPr>
          <w:rFonts w:hint="default" w:ascii="仿宋_GB2312" w:hAnsi="仿宋_GB2312" w:eastAsia="仿宋_GB2312" w:cs="仿宋_GB2312"/>
          <w:b/>
          <w:bCs w:val="0"/>
          <w:color w:val="auto"/>
          <w:kern w:val="0"/>
          <w:sz w:val="28"/>
          <w:szCs w:val="28"/>
          <w:highlight w:val="none"/>
          <w:u w:val="single"/>
          <w:lang w:eastAsia="zh-Hans"/>
        </w:rPr>
        <w:t>。</w:t>
      </w:r>
      <w:r>
        <w:rPr>
          <w:rFonts w:hint="default" w:ascii="仿宋_GB2312" w:hAnsi="仿宋_GB2312" w:eastAsia="仿宋_GB2312" w:cs="仿宋_GB2312"/>
          <w:bCs/>
          <w:color w:val="auto"/>
          <w:kern w:val="0"/>
          <w:sz w:val="28"/>
          <w:szCs w:val="28"/>
          <w:highlight w:val="none"/>
          <w:lang w:eastAsia="zh-Hans"/>
        </w:rPr>
        <w:t>评标</w:t>
      </w:r>
      <w:r>
        <w:rPr>
          <w:rFonts w:hint="eastAsia" w:ascii="仿宋_GB2312" w:hAnsi="仿宋_GB2312" w:eastAsia="仿宋_GB2312" w:cs="仿宋_GB2312"/>
          <w:bCs/>
          <w:color w:val="auto"/>
          <w:kern w:val="0"/>
          <w:sz w:val="28"/>
          <w:szCs w:val="28"/>
          <w:highlight w:val="none"/>
          <w:lang w:val="en-US" w:eastAsia="zh-Hans"/>
        </w:rPr>
        <w:t>专家组</w:t>
      </w:r>
      <w:r>
        <w:rPr>
          <w:rFonts w:hint="default" w:ascii="仿宋_GB2312" w:hAnsi="仿宋_GB2312" w:eastAsia="仿宋_GB2312" w:cs="仿宋_GB2312"/>
          <w:bCs/>
          <w:color w:val="auto"/>
          <w:kern w:val="0"/>
          <w:sz w:val="28"/>
          <w:szCs w:val="28"/>
          <w:highlight w:val="none"/>
          <w:lang w:eastAsia="zh-Hans"/>
        </w:rPr>
        <w:t>应当书面要求存在细微偏差的投标人在评标结束前予以补正，</w:t>
      </w:r>
      <w:r>
        <w:rPr>
          <w:rFonts w:hint="eastAsia" w:ascii="仿宋_GB2312" w:hAnsi="仿宋_GB2312" w:eastAsia="仿宋_GB2312" w:cs="仿宋_GB2312"/>
          <w:bCs/>
          <w:color w:val="auto"/>
          <w:kern w:val="0"/>
          <w:sz w:val="28"/>
          <w:szCs w:val="28"/>
          <w:highlight w:val="none"/>
          <w:lang w:val="en-US" w:eastAsia="zh-Hans"/>
        </w:rPr>
        <w:t>该项目评标专家组</w:t>
      </w:r>
      <w:r>
        <w:rPr>
          <w:rFonts w:hint="eastAsia" w:ascii="仿宋_GB2312" w:hAnsi="仿宋_GB2312" w:eastAsia="仿宋_GB2312" w:cs="仿宋_GB2312"/>
          <w:bCs/>
          <w:color w:val="auto"/>
          <w:kern w:val="0"/>
          <w:sz w:val="28"/>
          <w:szCs w:val="28"/>
          <w:highlight w:val="none"/>
          <w:lang w:eastAsia="zh-Hans"/>
        </w:rPr>
        <w:t>未对投标人提出澄清说明要求做废标处理。</w:t>
      </w:r>
    </w:p>
    <w:p>
      <w:pPr>
        <w:pStyle w:val="4"/>
        <w:numPr>
          <w:ilvl w:val="0"/>
          <w:numId w:val="4"/>
        </w:numPr>
        <w:bidi w:val="0"/>
        <w:rPr>
          <w:rFonts w:hint="default"/>
          <w:lang w:val="en-US" w:eastAsia="zh-Hans"/>
        </w:rPr>
      </w:pPr>
      <w:r>
        <w:rPr>
          <w:rFonts w:hint="eastAsia"/>
          <w:lang w:val="en-US" w:eastAsia="zh-Hans"/>
        </w:rPr>
        <w:t>补充材料</w:t>
      </w:r>
    </w:p>
    <w:p>
      <w:pPr>
        <w:widowControl/>
        <w:spacing w:line="360" w:lineRule="auto"/>
        <w:ind w:firstLine="562" w:firstLineChars="200"/>
        <w:rPr>
          <w:rFonts w:hint="eastAsia" w:ascii="仿宋_GB2312" w:hAnsi="仿宋_GB2312" w:eastAsia="仿宋_GB2312" w:cs="仿宋_GB2312"/>
          <w:b/>
          <w:bCs w:val="0"/>
          <w:color w:val="auto"/>
          <w:kern w:val="0"/>
          <w:sz w:val="28"/>
          <w:szCs w:val="28"/>
          <w:highlight w:val="none"/>
          <w:lang w:eastAsia="zh-Hans"/>
        </w:rPr>
      </w:pPr>
      <w:r>
        <w:rPr>
          <w:rFonts w:hint="eastAsia" w:ascii="仿宋_GB2312" w:hAnsi="仿宋_GB2312" w:eastAsia="仿宋_GB2312" w:cs="仿宋_GB2312"/>
          <w:b/>
          <w:bCs w:val="0"/>
          <w:color w:val="auto"/>
          <w:kern w:val="0"/>
          <w:sz w:val="28"/>
          <w:szCs w:val="28"/>
          <w:highlight w:val="none"/>
          <w:u w:val="single"/>
        </w:rPr>
        <w:t>《中华人民共和国招标投标法实施条例》</w:t>
      </w:r>
      <w:r>
        <w:rPr>
          <w:rFonts w:hint="eastAsia" w:ascii="仿宋_GB2312" w:hAnsi="仿宋_GB2312" w:eastAsia="仿宋_GB2312" w:cs="仿宋_GB2312"/>
          <w:b/>
          <w:bCs w:val="0"/>
          <w:color w:val="auto"/>
          <w:kern w:val="0"/>
          <w:sz w:val="28"/>
          <w:szCs w:val="28"/>
          <w:highlight w:val="none"/>
          <w:u w:val="single"/>
          <w:lang w:val="en-US" w:eastAsia="zh-Hans"/>
        </w:rPr>
        <w:t>中</w:t>
      </w:r>
      <w:r>
        <w:rPr>
          <w:rFonts w:hint="eastAsia" w:ascii="仿宋_GB2312" w:hAnsi="仿宋_GB2312" w:eastAsia="仿宋_GB2312" w:cs="仿宋_GB2312"/>
          <w:b/>
          <w:bCs w:val="0"/>
          <w:color w:val="auto"/>
          <w:kern w:val="0"/>
          <w:sz w:val="28"/>
          <w:szCs w:val="28"/>
          <w:highlight w:val="none"/>
          <w:u w:val="single"/>
          <w:lang w:eastAsia="zh-Hans"/>
        </w:rPr>
        <w:t>规</w:t>
      </w:r>
      <w:r>
        <w:rPr>
          <w:rFonts w:hint="eastAsia" w:ascii="仿宋_GB2312" w:hAnsi="仿宋_GB2312" w:eastAsia="仿宋_GB2312" w:cs="仿宋_GB2312"/>
          <w:b/>
          <w:bCs w:val="0"/>
          <w:color w:val="auto"/>
          <w:kern w:val="0"/>
          <w:sz w:val="28"/>
          <w:szCs w:val="28"/>
          <w:highlight w:val="none"/>
          <w:u w:val="single"/>
          <w:lang w:val="en-US" w:eastAsia="zh-Hans"/>
        </w:rPr>
        <w:t>定</w:t>
      </w:r>
      <w:r>
        <w:rPr>
          <w:rFonts w:hint="eastAsia" w:ascii="仿宋_GB2312" w:hAnsi="仿宋_GB2312" w:eastAsia="仿宋_GB2312" w:cs="仿宋_GB2312"/>
          <w:b w:val="0"/>
          <w:bCs/>
          <w:color w:val="auto"/>
          <w:kern w:val="0"/>
          <w:sz w:val="28"/>
          <w:szCs w:val="28"/>
          <w:highlight w:val="none"/>
          <w:u w:val="single"/>
          <w:lang w:val="en-US" w:eastAsia="zh-Hans"/>
        </w:rPr>
        <w:t>“</w:t>
      </w:r>
      <w:r>
        <w:rPr>
          <w:rFonts w:hint="eastAsia" w:ascii="仿宋_GB2312" w:hAnsi="仿宋_GB2312" w:eastAsia="仿宋_GB2312" w:cs="仿宋_GB2312"/>
          <w:bCs/>
          <w:color w:val="auto"/>
          <w:kern w:val="0"/>
          <w:sz w:val="28"/>
          <w:szCs w:val="28"/>
          <w:highlight w:val="none"/>
          <w:u w:val="single"/>
          <w:lang w:eastAsia="zh-Hans"/>
        </w:rPr>
        <w:t>在规范的招标投标活动中，对技术、商务等方面的重要条款在招标文件中都是加注“*”号，若其中一条不满足将导致废标”</w:t>
      </w:r>
      <w:r>
        <w:rPr>
          <w:rFonts w:hint="eastAsia" w:ascii="仿宋_GB2312" w:hAnsi="仿宋_GB2312" w:eastAsia="仿宋_GB2312" w:cs="仿宋_GB2312"/>
          <w:bCs/>
          <w:color w:val="auto"/>
          <w:kern w:val="0"/>
          <w:sz w:val="28"/>
          <w:szCs w:val="28"/>
          <w:highlight w:val="none"/>
          <w:lang w:eastAsia="zh-Hans"/>
        </w:rPr>
        <w:t>。</w:t>
      </w:r>
      <w:r>
        <w:rPr>
          <w:rFonts w:hint="eastAsia" w:ascii="仿宋_GB2312" w:hAnsi="仿宋_GB2312" w:eastAsia="仿宋_GB2312" w:cs="仿宋_GB2312"/>
          <w:b/>
          <w:bCs w:val="0"/>
          <w:color w:val="auto"/>
          <w:kern w:val="0"/>
          <w:sz w:val="28"/>
          <w:szCs w:val="28"/>
          <w:highlight w:val="none"/>
          <w:lang w:val="en-US" w:eastAsia="zh-Hans"/>
        </w:rPr>
        <w:t>而本招标文件中并无加注“</w:t>
      </w:r>
      <w:r>
        <w:rPr>
          <w:rFonts w:hint="eastAsia" w:ascii="仿宋_GB2312" w:hAnsi="仿宋_GB2312" w:eastAsia="仿宋_GB2312" w:cs="仿宋_GB2312"/>
          <w:b/>
          <w:bCs w:val="0"/>
          <w:color w:val="auto"/>
          <w:kern w:val="0"/>
          <w:sz w:val="28"/>
          <w:szCs w:val="28"/>
          <w:highlight w:val="none"/>
          <w:lang w:eastAsia="zh-Hans"/>
        </w:rPr>
        <w:t>*”</w:t>
      </w:r>
      <w:r>
        <w:rPr>
          <w:rFonts w:hint="eastAsia" w:ascii="仿宋_GB2312" w:hAnsi="仿宋_GB2312" w:eastAsia="仿宋_GB2312" w:cs="仿宋_GB2312"/>
          <w:b/>
          <w:bCs w:val="0"/>
          <w:color w:val="auto"/>
          <w:kern w:val="0"/>
          <w:sz w:val="28"/>
          <w:szCs w:val="28"/>
          <w:highlight w:val="none"/>
          <w:lang w:val="en-US" w:eastAsia="zh-Hans"/>
        </w:rPr>
        <w:t>号内容</w:t>
      </w:r>
      <w:r>
        <w:rPr>
          <w:rFonts w:hint="eastAsia" w:ascii="仿宋_GB2312" w:hAnsi="仿宋_GB2312" w:eastAsia="仿宋_GB2312" w:cs="仿宋_GB2312"/>
          <w:b/>
          <w:bCs w:val="0"/>
          <w:color w:val="auto"/>
          <w:kern w:val="0"/>
          <w:sz w:val="28"/>
          <w:szCs w:val="28"/>
          <w:highlight w:val="none"/>
          <w:lang w:eastAsia="zh-Hans"/>
        </w:rPr>
        <w:t>。</w:t>
      </w:r>
      <w:r>
        <w:rPr>
          <w:rFonts w:hint="eastAsia" w:ascii="仿宋_GB2312" w:hAnsi="仿宋_GB2312" w:eastAsia="仿宋_GB2312" w:cs="仿宋_GB2312"/>
          <w:b/>
          <w:bCs w:val="0"/>
          <w:color w:val="auto"/>
          <w:kern w:val="0"/>
          <w:sz w:val="28"/>
          <w:szCs w:val="28"/>
          <w:highlight w:val="none"/>
          <w:lang w:val="en-US" w:eastAsia="zh-Hans"/>
        </w:rPr>
        <w:t>且无说明“若其中一条不满足将导致废标”作为废标项的文字描述</w:t>
      </w:r>
      <w:r>
        <w:rPr>
          <w:rFonts w:hint="eastAsia" w:ascii="仿宋_GB2312" w:hAnsi="仿宋_GB2312" w:eastAsia="仿宋_GB2312" w:cs="仿宋_GB2312"/>
          <w:b/>
          <w:bCs w:val="0"/>
          <w:color w:val="auto"/>
          <w:kern w:val="0"/>
          <w:sz w:val="28"/>
          <w:szCs w:val="28"/>
          <w:highlight w:val="none"/>
          <w:lang w:eastAsia="zh-Hans"/>
        </w:rPr>
        <w:t>。</w:t>
      </w:r>
    </w:p>
    <w:p>
      <w:pPr>
        <w:widowControl/>
        <w:spacing w:line="360" w:lineRule="auto"/>
        <w:ind w:firstLine="560" w:firstLineChars="200"/>
        <w:rPr>
          <w:rFonts w:hint="eastAsia" w:ascii="仿宋_GB2312" w:hAnsi="仿宋_GB2312" w:eastAsia="仿宋_GB2312" w:cs="仿宋_GB2312"/>
          <w:b/>
          <w:bCs w:val="0"/>
          <w:color w:val="auto"/>
          <w:kern w:val="0"/>
          <w:sz w:val="28"/>
          <w:szCs w:val="28"/>
          <w:highlight w:val="none"/>
          <w:u w:val="single"/>
          <w:lang w:eastAsia="zh-Hans"/>
        </w:rPr>
      </w:pPr>
      <w:r>
        <w:rPr>
          <w:rFonts w:hint="eastAsia" w:ascii="仿宋_GB2312" w:hAnsi="仿宋_GB2312" w:eastAsia="仿宋_GB2312" w:cs="仿宋_GB2312"/>
          <w:bCs/>
          <w:color w:val="auto"/>
          <w:kern w:val="0"/>
          <w:sz w:val="28"/>
          <w:szCs w:val="28"/>
          <w:highlight w:val="none"/>
          <w:lang w:val="en-US" w:eastAsia="zh-Hans"/>
        </w:rPr>
        <w:t>除</w:t>
      </w:r>
      <w:r>
        <w:rPr>
          <w:rFonts w:hint="eastAsia" w:ascii="仿宋_GB2312" w:hAnsi="仿宋_GB2312" w:eastAsia="仿宋_GB2312" w:cs="仿宋_GB2312"/>
          <w:bCs/>
          <w:color w:val="auto"/>
          <w:kern w:val="0"/>
          <w:sz w:val="28"/>
          <w:szCs w:val="28"/>
          <w:highlight w:val="none"/>
          <w:lang w:eastAsia="zh-Hans"/>
        </w:rPr>
        <w:t>此以外，</w:t>
      </w:r>
      <w:r>
        <w:rPr>
          <w:rFonts w:hint="eastAsia" w:ascii="仿宋_GB2312" w:hAnsi="仿宋_GB2312" w:eastAsia="仿宋_GB2312" w:cs="仿宋_GB2312"/>
          <w:b/>
          <w:bCs w:val="0"/>
          <w:color w:val="auto"/>
          <w:kern w:val="0"/>
          <w:sz w:val="28"/>
          <w:szCs w:val="28"/>
          <w:highlight w:val="none"/>
          <w:u w:val="single"/>
          <w:lang w:eastAsia="zh-Hans"/>
        </w:rPr>
        <w:t>对于那些投标文件中虽存有漏项、技术信息和数据不完整以及某些内容含义不明确等方面的问题，而这些问题又不影响对招标文件的实质性响应，评标委员会是允许投标人在评标结束前予以补正，一般都是安排在询标阶段进行。但是补正这些遗漏和不完整不允许对其他投标人造成不公平的结果。</w:t>
      </w:r>
    </w:p>
    <w:p>
      <w:pPr>
        <w:keepNext/>
        <w:keepLines/>
        <w:widowControl w:val="0"/>
        <w:numPr>
          <w:ilvl w:val="0"/>
          <w:numId w:val="1"/>
        </w:numPr>
        <w:bidi w:val="0"/>
        <w:spacing w:before="340" w:beforeLines="0" w:beforeAutospacing="0" w:after="330" w:afterLines="0" w:afterAutospacing="0" w:line="576" w:lineRule="auto"/>
        <w:ind w:left="720" w:hanging="720"/>
        <w:jc w:val="both"/>
        <w:outlineLvl w:val="0"/>
        <w:rPr>
          <w:rFonts w:hint="eastAsia" w:ascii="仿宋_GB2312" w:hAnsi="仿宋_GB2312" w:eastAsia="仿宋_GB2312" w:cs="仿宋_GB2312"/>
          <w:b/>
          <w:kern w:val="44"/>
          <w:sz w:val="32"/>
          <w:szCs w:val="32"/>
          <w:lang w:val="en-US" w:eastAsia="zh-CN" w:bidi="ar-SA"/>
        </w:rPr>
      </w:pPr>
      <w:r>
        <w:rPr>
          <w:rFonts w:hint="eastAsia" w:ascii="仿宋_GB2312" w:hAnsi="仿宋_GB2312" w:eastAsia="仿宋_GB2312" w:cs="仿宋_GB2312"/>
          <w:b/>
          <w:kern w:val="44"/>
          <w:sz w:val="32"/>
          <w:szCs w:val="32"/>
          <w:lang w:val="en-US" w:eastAsia="zh-CN" w:bidi="ar-SA"/>
        </w:rPr>
        <w:t>与质疑事项有关的质疑请求</w:t>
      </w:r>
    </w:p>
    <w:p>
      <w:pPr>
        <w:keepNext/>
        <w:keepLines/>
        <w:widowControl w:val="0"/>
        <w:numPr>
          <w:ilvl w:val="0"/>
          <w:numId w:val="5"/>
        </w:numPr>
        <w:bidi w:val="0"/>
        <w:spacing w:before="260" w:beforeLines="0" w:beforeAutospacing="0" w:after="260" w:afterLines="0" w:afterAutospacing="0" w:line="413" w:lineRule="auto"/>
        <w:jc w:val="both"/>
        <w:outlineLvl w:val="1"/>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质疑事项</w:t>
      </w:r>
      <w:r>
        <w:rPr>
          <w:rFonts w:hint="default" w:ascii="仿宋_GB2312" w:hAnsi="仿宋_GB2312" w:eastAsia="仿宋_GB2312" w:cs="仿宋_GB2312"/>
          <w:b/>
          <w:kern w:val="2"/>
          <w:sz w:val="28"/>
          <w:szCs w:val="28"/>
          <w:lang w:eastAsia="zh-CN" w:bidi="ar-SA"/>
        </w:rPr>
        <w:t>1</w:t>
      </w:r>
      <w:r>
        <w:rPr>
          <w:rFonts w:hint="eastAsia" w:ascii="仿宋_GB2312" w:hAnsi="仿宋_GB2312" w:eastAsia="仿宋_GB2312" w:cs="仿宋_GB2312"/>
          <w:b/>
          <w:kern w:val="2"/>
          <w:sz w:val="28"/>
          <w:szCs w:val="28"/>
          <w:lang w:val="en-US" w:eastAsia="zh-Hans" w:bidi="ar-SA"/>
        </w:rPr>
        <w:t>的质疑请求</w:t>
      </w:r>
    </w:p>
    <w:p>
      <w:pPr>
        <w:widowControl/>
        <w:spacing w:line="360" w:lineRule="auto"/>
        <w:ind w:firstLine="562" w:firstLineChars="200"/>
        <w:rPr>
          <w:rFonts w:hint="default" w:ascii="仿宋_GB2312" w:hAnsi="仿宋_GB2312" w:eastAsia="仿宋_GB2312" w:cs="仿宋_GB2312"/>
          <w:b/>
          <w:bCs w:val="0"/>
          <w:color w:val="000000"/>
          <w:kern w:val="0"/>
          <w:sz w:val="28"/>
          <w:szCs w:val="28"/>
          <w:u w:val="none"/>
        </w:rPr>
      </w:pPr>
      <w:r>
        <w:rPr>
          <w:rFonts w:hint="eastAsia" w:ascii="仿宋_GB2312" w:hAnsi="仿宋_GB2312" w:eastAsia="仿宋_GB2312" w:cs="仿宋_GB2312"/>
          <w:b/>
          <w:bCs w:val="0"/>
          <w:color w:val="000000"/>
          <w:kern w:val="0"/>
          <w:sz w:val="28"/>
          <w:szCs w:val="28"/>
          <w:u w:val="none"/>
        </w:rPr>
        <w:t>如</w:t>
      </w:r>
      <w:r>
        <w:rPr>
          <w:rFonts w:hint="eastAsia" w:ascii="仿宋_GB2312" w:hAnsi="仿宋_GB2312" w:eastAsia="仿宋_GB2312" w:cs="仿宋_GB2312"/>
          <w:b/>
          <w:bCs w:val="0"/>
          <w:color w:val="000000"/>
          <w:kern w:val="0"/>
          <w:sz w:val="28"/>
          <w:szCs w:val="28"/>
          <w:u w:val="none"/>
          <w:lang w:val="en-US" w:eastAsia="zh-Hans"/>
        </w:rPr>
        <w:t>因我公司</w:t>
      </w:r>
      <w:r>
        <w:rPr>
          <w:rFonts w:hint="eastAsia" w:ascii="仿宋_GB2312" w:hAnsi="仿宋_GB2312" w:eastAsia="仿宋_GB2312" w:cs="仿宋_GB2312"/>
          <w:b/>
          <w:bCs w:val="0"/>
          <w:color w:val="000000"/>
          <w:kern w:val="0"/>
          <w:sz w:val="28"/>
          <w:szCs w:val="28"/>
          <w:u w:val="none"/>
        </w:rPr>
        <w:t>已标价工程量清单没有编制说明，视为无效投标</w:t>
      </w:r>
      <w:r>
        <w:rPr>
          <w:rFonts w:hint="default" w:ascii="仿宋_GB2312" w:hAnsi="仿宋_GB2312" w:eastAsia="仿宋_GB2312" w:cs="仿宋_GB2312"/>
          <w:b/>
          <w:bCs w:val="0"/>
          <w:color w:val="000000"/>
          <w:kern w:val="0"/>
          <w:sz w:val="28"/>
          <w:szCs w:val="28"/>
          <w:u w:val="none"/>
        </w:rPr>
        <w:t>，</w:t>
      </w:r>
      <w:r>
        <w:rPr>
          <w:rFonts w:hint="eastAsia" w:ascii="仿宋_GB2312" w:hAnsi="仿宋_GB2312" w:eastAsia="仿宋_GB2312" w:cs="仿宋_GB2312"/>
          <w:b/>
          <w:bCs w:val="0"/>
          <w:color w:val="000000"/>
          <w:kern w:val="0"/>
          <w:sz w:val="28"/>
          <w:szCs w:val="28"/>
          <w:u w:val="none"/>
          <w:lang w:val="en-US" w:eastAsia="zh-Hans"/>
        </w:rPr>
        <w:t>我公司质疑理由如下</w:t>
      </w:r>
      <w:r>
        <w:rPr>
          <w:rFonts w:hint="default" w:ascii="仿宋_GB2312" w:hAnsi="仿宋_GB2312" w:eastAsia="仿宋_GB2312" w:cs="仿宋_GB2312"/>
          <w:b/>
          <w:bCs w:val="0"/>
          <w:color w:val="000000"/>
          <w:kern w:val="0"/>
          <w:sz w:val="28"/>
          <w:szCs w:val="28"/>
          <w:u w:val="none"/>
        </w:rPr>
        <w:t>：</w:t>
      </w:r>
    </w:p>
    <w:p>
      <w:pPr>
        <w:widowControl/>
        <w:numPr>
          <w:ilvl w:val="0"/>
          <w:numId w:val="6"/>
        </w:numPr>
        <w:spacing w:line="360" w:lineRule="auto"/>
        <w:ind w:left="0" w:leftChars="0" w:firstLine="560" w:firstLineChars="200"/>
        <w:rPr>
          <w:rFonts w:hint="default" w:ascii="仿宋_GB2312" w:hAnsi="仿宋_GB2312" w:eastAsia="仿宋_GB2312" w:cs="仿宋_GB2312"/>
          <w:b w:val="0"/>
          <w:bCs/>
          <w:color w:val="auto"/>
          <w:kern w:val="0"/>
          <w:sz w:val="28"/>
          <w:szCs w:val="28"/>
          <w:highlight w:val="none"/>
          <w:u w:val="none"/>
        </w:rPr>
      </w:pPr>
      <w:r>
        <w:rPr>
          <w:rFonts w:hint="eastAsia" w:ascii="仿宋_GB2312" w:hAnsi="仿宋_GB2312" w:eastAsia="仿宋_GB2312" w:cs="仿宋_GB2312"/>
          <w:b w:val="0"/>
          <w:bCs/>
          <w:color w:val="auto"/>
          <w:kern w:val="0"/>
          <w:sz w:val="28"/>
          <w:szCs w:val="28"/>
          <w:highlight w:val="none"/>
          <w:u w:val="none"/>
        </w:rPr>
        <w:t>清单中所列的工程数量汇总表仅为提供资料，不应视为工程量清单的扩大或延伸。清单所列工程量在工程实施过程中发生的变动，丝毫不会使合同条款无效或降低，也不免除承包人按要求的标准进行施工或缺陷修复的责任</w:t>
      </w:r>
      <w:r>
        <w:rPr>
          <w:rFonts w:hint="default" w:ascii="仿宋_GB2312" w:hAnsi="仿宋_GB2312" w:eastAsia="仿宋_GB2312" w:cs="仿宋_GB2312"/>
          <w:b w:val="0"/>
          <w:bCs/>
          <w:color w:val="auto"/>
          <w:kern w:val="0"/>
          <w:sz w:val="28"/>
          <w:szCs w:val="28"/>
          <w:highlight w:val="none"/>
          <w:u w:val="none"/>
        </w:rPr>
        <w:t>。</w:t>
      </w:r>
    </w:p>
    <w:p>
      <w:pPr>
        <w:widowControl/>
        <w:numPr>
          <w:ilvl w:val="0"/>
          <w:numId w:val="6"/>
        </w:numPr>
        <w:spacing w:line="360" w:lineRule="auto"/>
        <w:ind w:left="0" w:leftChars="0" w:firstLine="560" w:firstLineChars="200"/>
        <w:rPr>
          <w:rFonts w:hint="default" w:ascii="仿宋_GB2312" w:hAnsi="仿宋_GB2312" w:eastAsia="仿宋_GB2312" w:cs="仿宋_GB2312"/>
          <w:b w:val="0"/>
          <w:bCs/>
          <w:color w:val="auto"/>
          <w:kern w:val="0"/>
          <w:sz w:val="28"/>
          <w:szCs w:val="28"/>
          <w:highlight w:val="none"/>
          <w:u w:val="none"/>
        </w:rPr>
      </w:pPr>
      <w:r>
        <w:rPr>
          <w:rFonts w:hint="eastAsia" w:ascii="仿宋_GB2312" w:hAnsi="仿宋_GB2312" w:eastAsia="仿宋_GB2312" w:cs="仿宋_GB2312"/>
          <w:b w:val="0"/>
          <w:bCs/>
          <w:color w:val="auto"/>
          <w:kern w:val="0"/>
          <w:sz w:val="28"/>
          <w:szCs w:val="28"/>
          <w:highlight w:val="none"/>
          <w:u w:val="none"/>
        </w:rPr>
        <w:t>编制说明只是工程清单附注，没有提供</w:t>
      </w:r>
      <w:r>
        <w:rPr>
          <w:rFonts w:hint="default" w:ascii="仿宋_GB2312" w:hAnsi="仿宋_GB2312" w:eastAsia="仿宋_GB2312" w:cs="仿宋_GB2312"/>
          <w:b w:val="0"/>
          <w:bCs/>
          <w:color w:val="auto"/>
          <w:kern w:val="0"/>
          <w:sz w:val="28"/>
          <w:szCs w:val="28"/>
          <w:highlight w:val="none"/>
          <w:u w:val="none"/>
        </w:rPr>
        <w:t>编制说明</w:t>
      </w:r>
      <w:r>
        <w:rPr>
          <w:rFonts w:hint="eastAsia" w:ascii="仿宋_GB2312" w:hAnsi="仿宋_GB2312" w:eastAsia="仿宋_GB2312" w:cs="仿宋_GB2312"/>
          <w:b w:val="0"/>
          <w:bCs/>
          <w:color w:val="auto"/>
          <w:kern w:val="0"/>
          <w:sz w:val="28"/>
          <w:szCs w:val="28"/>
          <w:highlight w:val="none"/>
          <w:u w:val="none"/>
        </w:rPr>
        <w:t>与招标文件要求产生了偏差，只影响打分，不是废标的充分理由。评标委员会也可就工程量清没有说明，要求投标人进行说明(补交)</w:t>
      </w:r>
      <w:r>
        <w:rPr>
          <w:rFonts w:hint="default" w:ascii="仿宋_GB2312" w:hAnsi="仿宋_GB2312" w:eastAsia="仿宋_GB2312" w:cs="仿宋_GB2312"/>
          <w:b w:val="0"/>
          <w:bCs/>
          <w:color w:val="auto"/>
          <w:kern w:val="0"/>
          <w:sz w:val="28"/>
          <w:szCs w:val="28"/>
          <w:highlight w:val="none"/>
          <w:u w:val="none"/>
        </w:rPr>
        <w:t>。</w:t>
      </w:r>
    </w:p>
    <w:p>
      <w:pPr>
        <w:widowControl/>
        <w:numPr>
          <w:ilvl w:val="0"/>
          <w:numId w:val="6"/>
        </w:numPr>
        <w:spacing w:line="360" w:lineRule="auto"/>
        <w:ind w:left="0" w:leftChars="0" w:firstLine="560" w:firstLineChars="200"/>
        <w:rPr>
          <w:rFonts w:hint="eastAsia" w:ascii="仿宋_GB2312" w:hAnsi="仿宋_GB2312" w:eastAsia="仿宋_GB2312" w:cs="仿宋_GB2312"/>
          <w:b w:val="0"/>
          <w:bCs/>
          <w:color w:val="auto"/>
          <w:kern w:val="0"/>
          <w:sz w:val="28"/>
          <w:szCs w:val="28"/>
          <w:highlight w:val="none"/>
          <w:u w:val="none"/>
        </w:rPr>
      </w:pPr>
      <w:r>
        <w:rPr>
          <w:rFonts w:hint="eastAsia" w:ascii="仿宋_GB2312" w:hAnsi="仿宋_GB2312" w:eastAsia="仿宋_GB2312" w:cs="仿宋_GB2312"/>
          <w:b w:val="0"/>
          <w:bCs/>
          <w:color w:val="auto"/>
          <w:kern w:val="0"/>
          <w:sz w:val="28"/>
          <w:szCs w:val="28"/>
          <w:highlight w:val="none"/>
          <w:u w:val="none"/>
        </w:rPr>
        <w:t>如果这个时招标文件</w:t>
      </w:r>
      <w:r>
        <w:rPr>
          <w:rFonts w:hint="eastAsia" w:ascii="仿宋_GB2312" w:hAnsi="仿宋_GB2312" w:eastAsia="仿宋_GB2312" w:cs="仿宋_GB2312"/>
          <w:b w:val="0"/>
          <w:bCs/>
          <w:color w:val="auto"/>
          <w:kern w:val="0"/>
          <w:sz w:val="28"/>
          <w:szCs w:val="28"/>
          <w:highlight w:val="none"/>
          <w:u w:val="none"/>
          <w:lang w:val="en-US" w:eastAsia="zh-Hans"/>
        </w:rPr>
        <w:t>有明确</w:t>
      </w:r>
      <w:r>
        <w:rPr>
          <w:rFonts w:hint="eastAsia" w:ascii="仿宋_GB2312" w:hAnsi="仿宋_GB2312" w:eastAsia="仿宋_GB2312" w:cs="仿宋_GB2312"/>
          <w:b w:val="0"/>
          <w:bCs/>
          <w:color w:val="auto"/>
          <w:kern w:val="0"/>
          <w:sz w:val="28"/>
          <w:szCs w:val="28"/>
          <w:highlight w:val="none"/>
          <w:u w:val="none"/>
        </w:rPr>
        <w:t>规定，投标函报价里面的废标条款明确规定有单价或者总价没有明确表示否则予以非标的话，经过专家统一确定那么予以废标处理。</w:t>
      </w:r>
    </w:p>
    <w:p>
      <w:pPr>
        <w:keepNext/>
        <w:keepLines/>
        <w:widowControl w:val="0"/>
        <w:numPr>
          <w:ilvl w:val="0"/>
          <w:numId w:val="5"/>
        </w:numPr>
        <w:bidi w:val="0"/>
        <w:spacing w:before="260" w:beforeLines="0" w:beforeAutospacing="0" w:after="260" w:afterLines="0" w:afterAutospacing="0" w:line="413" w:lineRule="auto"/>
        <w:jc w:val="both"/>
        <w:outlineLvl w:val="1"/>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质疑事项</w:t>
      </w:r>
      <w:r>
        <w:rPr>
          <w:rFonts w:hint="default" w:ascii="仿宋_GB2312" w:hAnsi="仿宋_GB2312" w:eastAsia="仿宋_GB2312" w:cs="仿宋_GB2312"/>
          <w:b/>
          <w:kern w:val="2"/>
          <w:sz w:val="28"/>
          <w:szCs w:val="28"/>
          <w:lang w:eastAsia="zh-CN" w:bidi="ar-SA"/>
        </w:rPr>
        <w:t>2</w:t>
      </w:r>
      <w:r>
        <w:rPr>
          <w:rFonts w:hint="eastAsia" w:ascii="仿宋_GB2312" w:hAnsi="仿宋_GB2312" w:eastAsia="仿宋_GB2312" w:cs="仿宋_GB2312"/>
          <w:b/>
          <w:kern w:val="2"/>
          <w:sz w:val="28"/>
          <w:szCs w:val="28"/>
          <w:lang w:val="en-US" w:eastAsia="zh-Hans" w:bidi="ar-SA"/>
        </w:rPr>
        <w:t>的</w:t>
      </w:r>
      <w:r>
        <w:rPr>
          <w:rFonts w:hint="eastAsia" w:ascii="仿宋_GB2312" w:hAnsi="仿宋_GB2312" w:eastAsia="仿宋_GB2312" w:cs="仿宋_GB2312"/>
          <w:b/>
          <w:kern w:val="2"/>
          <w:sz w:val="28"/>
          <w:szCs w:val="28"/>
          <w:lang w:val="en-US" w:eastAsia="zh-CN" w:bidi="ar-SA"/>
        </w:rPr>
        <w:t>技术澄清</w:t>
      </w:r>
    </w:p>
    <w:p>
      <w:pPr>
        <w:widowControl/>
        <w:spacing w:line="360" w:lineRule="auto"/>
        <w:ind w:firstLine="560" w:firstLineChars="200"/>
        <w:rPr>
          <w:rFonts w:hint="eastAsia"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本公司针对“质疑事项</w:t>
      </w:r>
      <w:r>
        <w:rPr>
          <w:rFonts w:hint="default" w:ascii="仿宋_GB2312" w:hAnsi="仿宋_GB2312" w:eastAsia="仿宋_GB2312" w:cs="仿宋_GB2312"/>
          <w:bCs/>
          <w:color w:val="000000"/>
          <w:kern w:val="0"/>
          <w:sz w:val="28"/>
          <w:szCs w:val="28"/>
        </w:rPr>
        <w:t>2</w:t>
      </w:r>
      <w:r>
        <w:rPr>
          <w:rFonts w:hint="eastAsia" w:ascii="仿宋_GB2312" w:hAnsi="仿宋_GB2312" w:eastAsia="仿宋_GB2312" w:cs="仿宋_GB2312"/>
          <w:bCs/>
          <w:color w:val="000000"/>
          <w:kern w:val="0"/>
          <w:sz w:val="28"/>
          <w:szCs w:val="28"/>
        </w:rPr>
        <w:t>”做出技术澄清</w:t>
      </w:r>
      <w:r>
        <w:rPr>
          <w:rFonts w:hint="default" w:ascii="仿宋_GB2312" w:hAnsi="仿宋_GB2312" w:eastAsia="仿宋_GB2312" w:cs="仿宋_GB2312"/>
          <w:bCs/>
          <w:color w:val="000000"/>
          <w:kern w:val="0"/>
          <w:sz w:val="28"/>
          <w:szCs w:val="28"/>
        </w:rPr>
        <w:t>：</w:t>
      </w:r>
      <w:r>
        <w:rPr>
          <w:rFonts w:hint="eastAsia" w:ascii="仿宋_GB2312" w:hAnsi="仿宋_GB2312" w:eastAsia="仿宋_GB2312" w:cs="仿宋_GB2312"/>
          <w:bCs/>
          <w:color w:val="000000"/>
          <w:kern w:val="0"/>
          <w:sz w:val="28"/>
          <w:szCs w:val="28"/>
        </w:rPr>
        <w:t>满足项目招标参数要求，具体详见厂商公安部检测报告（整体报告详见附件）。</w:t>
      </w:r>
    </w:p>
    <w:p>
      <w:pPr>
        <w:widowControl/>
        <w:spacing w:line="360" w:lineRule="auto"/>
        <w:ind w:left="0" w:leftChars="0" w:firstLine="0" w:firstLineChars="0"/>
        <w:jc w:val="center"/>
        <w:rPr>
          <w:rFonts w:hint="eastAsia" w:ascii="仿宋_GB2312" w:hAnsi="仿宋_GB2312" w:eastAsia="仿宋_GB2312" w:cs="仿宋_GB2312"/>
          <w:bCs/>
          <w:color w:val="000000"/>
          <w:kern w:val="0"/>
          <w:sz w:val="28"/>
          <w:szCs w:val="28"/>
          <w:lang w:val="en-US" w:eastAsia="zh-CN" w:bidi="ar-SA"/>
        </w:rPr>
      </w:pPr>
      <w:r>
        <w:rPr>
          <w:rFonts w:hint="eastAsia" w:ascii="仿宋_GB2312" w:hAnsi="仿宋_GB2312" w:eastAsia="仿宋_GB2312" w:cs="仿宋_GB2312"/>
          <w:kern w:val="2"/>
          <w:sz w:val="28"/>
          <w:szCs w:val="28"/>
          <w:lang w:val="en-US" w:eastAsia="zh-CN" w:bidi="ar-SA"/>
        </w:rPr>
        <w:drawing>
          <wp:inline distT="0" distB="0" distL="0" distR="0">
            <wp:extent cx="5263515" cy="8280400"/>
            <wp:effectExtent l="0" t="0" r="19685" b="0"/>
            <wp:docPr id="1038" name="图片 1"/>
            <wp:cNvGraphicFramePr/>
            <a:graphic xmlns:a="http://schemas.openxmlformats.org/drawingml/2006/main">
              <a:graphicData uri="http://schemas.openxmlformats.org/drawingml/2006/picture">
                <pic:pic xmlns:pic="http://schemas.openxmlformats.org/drawingml/2006/picture">
                  <pic:nvPicPr>
                    <pic:cNvPr id="1038" name="图片 1"/>
                    <pic:cNvPicPr/>
                  </pic:nvPicPr>
                  <pic:blipFill>
                    <a:blip r:embed="rId8" cstate="print"/>
                    <a:srcRect/>
                    <a:stretch>
                      <a:fillRect/>
                    </a:stretch>
                  </pic:blipFill>
                  <pic:spPr>
                    <a:xfrm>
                      <a:off x="0" y="0"/>
                      <a:ext cx="5263515" cy="8280400"/>
                    </a:xfrm>
                    <a:prstGeom prst="rect">
                      <a:avLst/>
                    </a:prstGeom>
                  </pic:spPr>
                </pic:pic>
              </a:graphicData>
            </a:graphic>
          </wp:inline>
        </w:drawing>
      </w:r>
    </w:p>
    <w:p>
      <w:pPr>
        <w:widowControl/>
        <w:spacing w:line="360" w:lineRule="auto"/>
        <w:ind w:left="0" w:leftChars="0" w:firstLine="0" w:firstLineChars="0"/>
        <w:jc w:val="center"/>
        <w:rPr>
          <w:rFonts w:hint="eastAsia" w:ascii="仿宋_GB2312" w:hAnsi="仿宋_GB2312" w:eastAsia="仿宋_GB2312" w:cs="仿宋_GB2312"/>
          <w:bCs/>
          <w:color w:val="000000"/>
          <w:kern w:val="0"/>
          <w:sz w:val="28"/>
          <w:szCs w:val="28"/>
          <w:lang w:val="en-US" w:eastAsia="zh-CN" w:bidi="ar-SA"/>
        </w:rPr>
      </w:pPr>
      <w:r>
        <w:rPr>
          <w:rFonts w:hint="eastAsia" w:ascii="仿宋_GB2312" w:hAnsi="仿宋_GB2312" w:eastAsia="仿宋_GB2312" w:cs="仿宋_GB2312"/>
          <w:kern w:val="2"/>
          <w:sz w:val="28"/>
          <w:szCs w:val="28"/>
          <w:lang w:val="en-US" w:eastAsia="zh-CN" w:bidi="ar-SA"/>
        </w:rPr>
        <w:drawing>
          <wp:inline distT="0" distB="0" distL="0" distR="0">
            <wp:extent cx="5232400" cy="8289290"/>
            <wp:effectExtent l="0" t="0" r="0" b="16510"/>
            <wp:docPr id="1039" name="图片 2"/>
            <wp:cNvGraphicFramePr/>
            <a:graphic xmlns:a="http://schemas.openxmlformats.org/drawingml/2006/main">
              <a:graphicData uri="http://schemas.openxmlformats.org/drawingml/2006/picture">
                <pic:pic xmlns:pic="http://schemas.openxmlformats.org/drawingml/2006/picture">
                  <pic:nvPicPr>
                    <pic:cNvPr id="1039" name="图片 2"/>
                    <pic:cNvPicPr/>
                  </pic:nvPicPr>
                  <pic:blipFill>
                    <a:blip r:embed="rId9" cstate="print"/>
                    <a:srcRect/>
                    <a:stretch>
                      <a:fillRect/>
                    </a:stretch>
                  </pic:blipFill>
                  <pic:spPr>
                    <a:xfrm>
                      <a:off x="0" y="0"/>
                      <a:ext cx="5232400" cy="8289290"/>
                    </a:xfrm>
                    <a:prstGeom prst="rect">
                      <a:avLst/>
                    </a:prstGeom>
                  </pic:spPr>
                </pic:pic>
              </a:graphicData>
            </a:graphic>
          </wp:inline>
        </w:drawing>
      </w:r>
    </w:p>
    <w:p>
      <w:pPr>
        <w:widowControl/>
        <w:spacing w:line="360" w:lineRule="auto"/>
        <w:ind w:firstLine="422" w:firstLineChars="200"/>
        <w:jc w:val="center"/>
        <w:rPr>
          <w:rFonts w:hint="eastAsia" w:ascii="仿宋_GB2312" w:hAnsi="仿宋_GB2312" w:eastAsia="仿宋_GB2312" w:cs="仿宋_GB2312"/>
          <w:b/>
          <w:bCs w:val="0"/>
          <w:kern w:val="0"/>
          <w:sz w:val="21"/>
          <w:szCs w:val="21"/>
        </w:rPr>
      </w:pPr>
      <w:r>
        <w:rPr>
          <w:rFonts w:hint="eastAsia" w:ascii="仿宋_GB2312" w:hAnsi="仿宋_GB2312" w:eastAsia="仿宋_GB2312" w:cs="仿宋_GB2312"/>
          <w:b/>
          <w:bCs w:val="0"/>
          <w:kern w:val="0"/>
          <w:sz w:val="21"/>
          <w:szCs w:val="21"/>
        </w:rPr>
        <w:t>备注：检测报告公京检2013505号报告为DS-2TD6237-100C4L/W的检测报告。</w:t>
      </w:r>
    </w:p>
    <w:p>
      <w:pPr>
        <w:widowControl/>
        <w:spacing w:line="360" w:lineRule="auto"/>
        <w:ind w:firstLine="562"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
          <w:bCs w:val="0"/>
          <w:kern w:val="0"/>
          <w:sz w:val="28"/>
          <w:szCs w:val="28"/>
          <w:highlight w:val="none"/>
        </w:rPr>
        <w:t>事实依据</w:t>
      </w:r>
      <w:r>
        <w:rPr>
          <w:rFonts w:hint="eastAsia" w:ascii="仿宋_GB2312" w:hAnsi="仿宋_GB2312" w:eastAsia="仿宋_GB2312" w:cs="仿宋_GB2312"/>
          <w:b/>
          <w:bCs w:val="0"/>
          <w:kern w:val="0"/>
          <w:sz w:val="28"/>
          <w:szCs w:val="28"/>
        </w:rPr>
        <w:t>：</w:t>
      </w:r>
      <w:r>
        <w:rPr>
          <w:rFonts w:hint="eastAsia" w:ascii="仿宋_GB2312" w:hAnsi="仿宋_GB2312" w:eastAsia="仿宋_GB2312" w:cs="仿宋_GB2312"/>
          <w:bCs/>
          <w:kern w:val="0"/>
          <w:sz w:val="28"/>
          <w:szCs w:val="28"/>
        </w:rPr>
        <w:t>目前安防产品行业特性及现行惯例均认为可使用同一系列产品的检测报告，作为该系列某一型号的检测报告证明材料，不存在投标人投标材料不匹配的情况。</w:t>
      </w:r>
    </w:p>
    <w:p>
      <w:pPr>
        <w:widowControl/>
        <w:spacing w:line="360" w:lineRule="auto"/>
        <w:ind w:firstLine="562"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
          <w:bCs w:val="0"/>
          <w:kern w:val="0"/>
          <w:sz w:val="28"/>
          <w:szCs w:val="28"/>
          <w:highlight w:val="none"/>
        </w:rPr>
        <w:t>法律依据</w:t>
      </w:r>
      <w:r>
        <w:rPr>
          <w:rFonts w:hint="eastAsia" w:ascii="仿宋_GB2312" w:hAnsi="仿宋_GB2312" w:eastAsia="仿宋_GB2312" w:cs="仿宋_GB2312"/>
          <w:b/>
          <w:bCs w:val="0"/>
          <w:kern w:val="0"/>
          <w:sz w:val="28"/>
          <w:szCs w:val="28"/>
        </w:rPr>
        <w:t>：</w:t>
      </w:r>
      <w:r>
        <w:rPr>
          <w:rFonts w:hint="eastAsia" w:ascii="仿宋_GB2312" w:hAnsi="仿宋_GB2312" w:eastAsia="仿宋_GB2312" w:cs="仿宋_GB2312"/>
          <w:bCs/>
          <w:kern w:val="0"/>
          <w:sz w:val="28"/>
          <w:szCs w:val="28"/>
        </w:rPr>
        <w:t>“关于贯彻实施《安全技术防范产品管理办法》有关问题的补充通知（公科安[2001]18号）第三条“同类型不同型号产品的检测问题：对在设计、结构、材料、关键元器件、主要性能指标等方面基本相同的系列产品，允许在一个检测报告中包含多种型号的产品......”</w:t>
      </w:r>
    </w:p>
    <w:p>
      <w:pPr>
        <w:keepNext/>
        <w:keepLines/>
        <w:widowControl w:val="0"/>
        <w:numPr>
          <w:ilvl w:val="0"/>
          <w:numId w:val="1"/>
        </w:numPr>
        <w:bidi w:val="0"/>
        <w:spacing w:before="340" w:beforeLines="0" w:beforeAutospacing="0" w:after="330" w:afterLines="0" w:afterAutospacing="0" w:line="576" w:lineRule="auto"/>
        <w:ind w:left="720" w:hanging="720"/>
        <w:jc w:val="both"/>
        <w:outlineLvl w:val="0"/>
        <w:rPr>
          <w:rFonts w:hint="eastAsia" w:ascii="仿宋_GB2312" w:hAnsi="仿宋_GB2312" w:eastAsia="仿宋_GB2312" w:cs="仿宋_GB2312"/>
          <w:b/>
          <w:kern w:val="44"/>
          <w:sz w:val="32"/>
          <w:szCs w:val="32"/>
          <w:lang w:val="en-US" w:eastAsia="zh-CN" w:bidi="ar-SA"/>
        </w:rPr>
      </w:pPr>
      <w:r>
        <w:rPr>
          <w:rFonts w:hint="eastAsia" w:ascii="仿宋_GB2312" w:hAnsi="仿宋_GB2312" w:eastAsia="仿宋_GB2312" w:cs="仿宋_GB2312"/>
          <w:b/>
          <w:kern w:val="44"/>
          <w:sz w:val="32"/>
          <w:szCs w:val="32"/>
          <w:lang w:val="en-US" w:eastAsia="zh-CN" w:bidi="ar-SA"/>
        </w:rPr>
        <w:t>关于逾期未公示中标候选人的质疑</w:t>
      </w:r>
    </w:p>
    <w:p>
      <w:pPr>
        <w:ind w:firstLine="560" w:firstLineChars="200"/>
        <w:rPr>
          <w:rFonts w:hint="eastAsia" w:ascii="仿宋_GB2312" w:hAnsi="仿宋_GB2312" w:eastAsia="仿宋_GB2312" w:cs="仿宋_GB2312"/>
          <w:color w:val="auto"/>
          <w:sz w:val="28"/>
          <w:szCs w:val="28"/>
          <w:highlight w:val="none"/>
          <w:shd w:val="clear" w:color="auto" w:fill="FFFFFF"/>
          <w:lang w:val="en-US" w:eastAsia="zh-CN"/>
        </w:rPr>
      </w:pPr>
      <w:r>
        <w:rPr>
          <w:rFonts w:hint="eastAsia" w:ascii="仿宋_GB2312" w:hAnsi="仿宋_GB2312" w:eastAsia="仿宋_GB2312" w:cs="仿宋_GB2312"/>
          <w:color w:val="auto"/>
          <w:sz w:val="28"/>
          <w:szCs w:val="28"/>
          <w:highlight w:val="none"/>
          <w:shd w:val="clear" w:color="auto" w:fill="FFFFFF"/>
          <w:lang w:val="en-US" w:eastAsia="zh-CN"/>
        </w:rPr>
        <w:t>本项目于2022 年 07 月 22 日 09 时 30 分，采用电子交易模式开标</w:t>
      </w:r>
      <w:r>
        <w:rPr>
          <w:rFonts w:hint="default" w:ascii="仿宋_GB2312" w:hAnsi="仿宋_GB2312" w:eastAsia="仿宋_GB2312" w:cs="仿宋_GB2312"/>
          <w:color w:val="auto"/>
          <w:sz w:val="28"/>
          <w:szCs w:val="28"/>
          <w:highlight w:val="none"/>
          <w:shd w:val="clear" w:color="auto" w:fill="FFFFFF"/>
          <w:lang w:eastAsia="zh-CN"/>
        </w:rPr>
        <w:t>；</w:t>
      </w:r>
      <w:r>
        <w:rPr>
          <w:rFonts w:hint="eastAsia" w:ascii="仿宋_GB2312" w:hAnsi="仿宋_GB2312" w:eastAsia="仿宋_GB2312" w:cs="仿宋_GB2312"/>
          <w:color w:val="auto"/>
          <w:sz w:val="28"/>
          <w:szCs w:val="28"/>
          <w:highlight w:val="none"/>
          <w:shd w:val="clear" w:color="auto" w:fill="FFFFFF"/>
          <w:lang w:val="en-US" w:eastAsia="zh-CN"/>
        </w:rPr>
        <w:t>评标结束后至</w:t>
      </w:r>
      <w:r>
        <w:rPr>
          <w:rFonts w:hint="default" w:ascii="仿宋_GB2312" w:hAnsi="仿宋_GB2312" w:eastAsia="仿宋_GB2312" w:cs="仿宋_GB2312"/>
          <w:color w:val="auto"/>
          <w:sz w:val="28"/>
          <w:szCs w:val="28"/>
          <w:highlight w:val="none"/>
          <w:shd w:val="clear" w:color="auto" w:fill="FFFFFF"/>
          <w:lang w:eastAsia="zh-CN"/>
        </w:rPr>
        <w:t>2022</w:t>
      </w:r>
      <w:r>
        <w:rPr>
          <w:rFonts w:hint="eastAsia" w:ascii="仿宋_GB2312" w:hAnsi="仿宋_GB2312" w:eastAsia="仿宋_GB2312" w:cs="仿宋_GB2312"/>
          <w:color w:val="auto"/>
          <w:sz w:val="28"/>
          <w:szCs w:val="28"/>
          <w:highlight w:val="none"/>
          <w:shd w:val="clear" w:color="auto" w:fill="FFFFFF"/>
          <w:lang w:val="en-US" w:eastAsia="zh-Hans"/>
        </w:rPr>
        <w:t>年</w:t>
      </w:r>
      <w:r>
        <w:rPr>
          <w:rFonts w:hint="default" w:ascii="仿宋_GB2312" w:hAnsi="仿宋_GB2312" w:eastAsia="仿宋_GB2312" w:cs="仿宋_GB2312"/>
          <w:color w:val="auto"/>
          <w:sz w:val="28"/>
          <w:szCs w:val="28"/>
          <w:highlight w:val="none"/>
          <w:shd w:val="clear" w:color="auto" w:fill="FFFFFF"/>
          <w:lang w:eastAsia="zh-Hans"/>
        </w:rPr>
        <w:t>8</w:t>
      </w:r>
      <w:r>
        <w:rPr>
          <w:rFonts w:hint="eastAsia" w:ascii="仿宋_GB2312" w:hAnsi="仿宋_GB2312" w:eastAsia="仿宋_GB2312" w:cs="仿宋_GB2312"/>
          <w:color w:val="auto"/>
          <w:sz w:val="28"/>
          <w:szCs w:val="28"/>
          <w:highlight w:val="none"/>
          <w:shd w:val="clear" w:color="auto" w:fill="FFFFFF"/>
          <w:lang w:val="en-US" w:eastAsia="zh-Hans"/>
        </w:rPr>
        <w:t>月</w:t>
      </w:r>
      <w:r>
        <w:rPr>
          <w:rFonts w:hint="default" w:ascii="仿宋_GB2312" w:hAnsi="仿宋_GB2312" w:eastAsia="仿宋_GB2312" w:cs="仿宋_GB2312"/>
          <w:color w:val="auto"/>
          <w:sz w:val="28"/>
          <w:szCs w:val="28"/>
          <w:highlight w:val="none"/>
          <w:shd w:val="clear" w:color="auto" w:fill="FFFFFF"/>
          <w:lang w:eastAsia="zh-Hans"/>
        </w:rPr>
        <w:t>12</w:t>
      </w:r>
      <w:r>
        <w:rPr>
          <w:rFonts w:hint="eastAsia" w:ascii="仿宋_GB2312" w:hAnsi="仿宋_GB2312" w:eastAsia="仿宋_GB2312" w:cs="仿宋_GB2312"/>
          <w:color w:val="auto"/>
          <w:sz w:val="28"/>
          <w:szCs w:val="28"/>
          <w:highlight w:val="none"/>
          <w:shd w:val="clear" w:color="auto" w:fill="FFFFFF"/>
          <w:lang w:val="en-US" w:eastAsia="zh-Hans"/>
        </w:rPr>
        <w:t>日</w:t>
      </w:r>
      <w:r>
        <w:rPr>
          <w:rFonts w:hint="eastAsia" w:ascii="仿宋_GB2312" w:hAnsi="仿宋_GB2312" w:eastAsia="仿宋_GB2312" w:cs="仿宋_GB2312"/>
          <w:color w:val="auto"/>
          <w:sz w:val="28"/>
          <w:szCs w:val="28"/>
          <w:highlight w:val="none"/>
          <w:shd w:val="clear" w:color="auto" w:fill="FFFFFF"/>
          <w:lang w:val="en-US" w:eastAsia="zh-CN"/>
        </w:rPr>
        <w:t>一直未发布中标候选人公示。</w:t>
      </w:r>
    </w:p>
    <w:p>
      <w:pPr>
        <w:ind w:firstLine="560" w:firstLineChars="200"/>
        <w:rPr>
          <w:rFonts w:hint="default" w:ascii="仿宋_GB2312" w:hAnsi="仿宋_GB2312" w:eastAsia="仿宋_GB2312" w:cs="仿宋_GB2312"/>
          <w:color w:val="333333"/>
          <w:sz w:val="28"/>
          <w:szCs w:val="28"/>
          <w:shd w:val="clear" w:color="auto" w:fill="FFFFFF"/>
          <w:lang w:val="en-US" w:eastAsia="zh-CN"/>
        </w:rPr>
      </w:pPr>
      <w:r>
        <w:rPr>
          <w:rFonts w:hint="eastAsia" w:ascii="仿宋_GB2312" w:hAnsi="仿宋_GB2312" w:eastAsia="仿宋_GB2312" w:cs="仿宋_GB2312"/>
          <w:color w:val="333333"/>
          <w:sz w:val="28"/>
          <w:szCs w:val="28"/>
          <w:shd w:val="clear" w:color="auto" w:fill="FFFFFF"/>
          <w:lang w:val="en-US" w:eastAsia="zh-CN"/>
        </w:rPr>
        <w:t>根据</w:t>
      </w:r>
      <w:r>
        <w:rPr>
          <w:rFonts w:hint="default" w:ascii="仿宋_GB2312" w:hAnsi="仿宋_GB2312" w:eastAsia="仿宋_GB2312" w:cs="仿宋_GB2312"/>
          <w:b/>
          <w:bCs/>
          <w:color w:val="333333"/>
          <w:sz w:val="28"/>
          <w:szCs w:val="28"/>
          <w:u w:val="none"/>
          <w:shd w:val="clear" w:color="auto" w:fill="FFFFFF"/>
          <w:lang w:val="en-US" w:eastAsia="zh-CN"/>
        </w:rPr>
        <w:t>《中华人民共和国招标投标法实施条例》第五十三条</w:t>
      </w:r>
      <w:r>
        <w:rPr>
          <w:rFonts w:hint="eastAsia" w:ascii="仿宋_GB2312" w:hAnsi="仿宋_GB2312" w:eastAsia="仿宋_GB2312" w:cs="仿宋_GB2312"/>
          <w:b/>
          <w:bCs/>
          <w:color w:val="333333"/>
          <w:sz w:val="28"/>
          <w:szCs w:val="28"/>
          <w:u w:val="none"/>
          <w:shd w:val="clear" w:color="auto" w:fill="FFFFFF"/>
          <w:lang w:val="en-US" w:eastAsia="zh-CN"/>
        </w:rPr>
        <w:t>规定：</w:t>
      </w:r>
      <w:r>
        <w:rPr>
          <w:rFonts w:hint="default" w:ascii="仿宋_GB2312" w:hAnsi="仿宋_GB2312" w:eastAsia="仿宋_GB2312" w:cs="仿宋_GB2312"/>
          <w:color w:val="333333"/>
          <w:sz w:val="28"/>
          <w:szCs w:val="28"/>
          <w:u w:val="single"/>
          <w:shd w:val="clear" w:color="auto" w:fill="FFFFFF"/>
          <w:lang w:val="en-US" w:eastAsia="zh-CN"/>
        </w:rPr>
        <w:t>“评标完成后，评标委员会应当向招标人提交书面评标报告和中标候选人名单”</w:t>
      </w:r>
      <w:r>
        <w:rPr>
          <w:rFonts w:hint="default" w:ascii="仿宋_GB2312" w:hAnsi="仿宋_GB2312" w:eastAsia="仿宋_GB2312" w:cs="仿宋_GB2312"/>
          <w:b/>
          <w:bCs/>
          <w:color w:val="333333"/>
          <w:sz w:val="28"/>
          <w:szCs w:val="28"/>
          <w:u w:val="none"/>
          <w:shd w:val="clear" w:color="auto" w:fill="FFFFFF"/>
          <w:lang w:val="en-US" w:eastAsia="zh-CN"/>
        </w:rPr>
        <w:t>以及第五十四条</w:t>
      </w:r>
      <w:r>
        <w:rPr>
          <w:rFonts w:hint="eastAsia" w:ascii="仿宋_GB2312" w:hAnsi="仿宋_GB2312" w:eastAsia="仿宋_GB2312" w:cs="仿宋_GB2312"/>
          <w:b/>
          <w:bCs/>
          <w:color w:val="333333"/>
          <w:sz w:val="28"/>
          <w:szCs w:val="28"/>
          <w:u w:val="none"/>
          <w:shd w:val="clear" w:color="auto" w:fill="FFFFFF"/>
          <w:lang w:val="en-US" w:eastAsia="zh-CN"/>
        </w:rPr>
        <w:t>规定：</w:t>
      </w:r>
      <w:r>
        <w:rPr>
          <w:rFonts w:hint="default" w:ascii="仿宋_GB2312" w:hAnsi="仿宋_GB2312" w:eastAsia="仿宋_GB2312" w:cs="仿宋_GB2312"/>
          <w:color w:val="333333"/>
          <w:sz w:val="28"/>
          <w:szCs w:val="28"/>
          <w:u w:val="single"/>
          <w:shd w:val="clear" w:color="auto" w:fill="FFFFFF"/>
          <w:lang w:val="en-US" w:eastAsia="zh-CN"/>
        </w:rPr>
        <w:t>“依法必须进行招标的项目，招标人应当自收到评标报告之日起3日内公示中标候选人”</w:t>
      </w:r>
      <w:r>
        <w:rPr>
          <w:rFonts w:hint="default" w:ascii="仿宋_GB2312" w:hAnsi="仿宋_GB2312" w:eastAsia="仿宋_GB2312" w:cs="仿宋_GB2312"/>
          <w:color w:val="333333"/>
          <w:sz w:val="28"/>
          <w:szCs w:val="28"/>
          <w:shd w:val="clear" w:color="auto" w:fill="FFFFFF"/>
          <w:lang w:val="en-US" w:eastAsia="zh-CN"/>
        </w:rPr>
        <w:t>的相关法律法规，招标人依法必须应当自收到评标报告之日起3日内公示中标候选人，公示期不得少于3日。</w:t>
      </w:r>
    </w:p>
    <w:p>
      <w:pPr>
        <w:ind w:firstLine="560" w:firstLineChars="200"/>
        <w:rPr>
          <w:rFonts w:hint="default" w:ascii="仿宋_GB2312" w:hAnsi="仿宋_GB2312" w:eastAsia="仿宋_GB2312" w:cs="仿宋_GB2312"/>
          <w:color w:val="333333"/>
          <w:sz w:val="28"/>
          <w:szCs w:val="28"/>
          <w:shd w:val="clear" w:color="auto" w:fill="FFFFFF"/>
          <w:lang w:val="en-US" w:eastAsia="zh-CN"/>
        </w:rPr>
      </w:pPr>
      <w:bookmarkStart w:id="0" w:name="_GoBack"/>
      <w:bookmarkEnd w:id="0"/>
    </w:p>
    <w:p>
      <w:pPr>
        <w:ind w:left="0" w:leftChars="0" w:firstLine="0" w:firstLineChars="0"/>
        <w:jc w:val="right"/>
        <w:rPr>
          <w:rFonts w:hint="default" w:ascii="仿宋_GB2312" w:hAnsi="仿宋_GB2312" w:eastAsia="仿宋_GB2312" w:cs="仿宋_GB2312"/>
          <w:color w:val="333333"/>
          <w:sz w:val="28"/>
          <w:szCs w:val="28"/>
          <w:shd w:val="clear" w:color="auto" w:fill="FFFFFF"/>
          <w:lang w:eastAsia="zh-Hans"/>
        </w:rPr>
      </w:pPr>
      <w:r>
        <w:rPr>
          <w:rFonts w:hint="eastAsia" w:ascii="仿宋_GB2312" w:hAnsi="仿宋_GB2312" w:eastAsia="仿宋_GB2312" w:cs="仿宋_GB2312"/>
          <w:color w:val="333333"/>
          <w:sz w:val="28"/>
          <w:szCs w:val="28"/>
          <w:shd w:val="clear" w:color="auto" w:fill="FFFFFF"/>
          <w:lang w:val="en-US" w:eastAsia="zh-Hans"/>
        </w:rPr>
        <w:t>签字</w:t>
      </w:r>
      <w:r>
        <w:rPr>
          <w:rFonts w:hint="default" w:ascii="仿宋_GB2312" w:hAnsi="仿宋_GB2312" w:eastAsia="仿宋_GB2312" w:cs="仿宋_GB2312"/>
          <w:color w:val="333333"/>
          <w:sz w:val="28"/>
          <w:szCs w:val="28"/>
          <w:shd w:val="clear" w:color="auto" w:fill="FFFFFF"/>
          <w:lang w:eastAsia="zh-Hans"/>
        </w:rPr>
        <w:t>（</w:t>
      </w:r>
      <w:r>
        <w:rPr>
          <w:rFonts w:hint="eastAsia" w:ascii="仿宋_GB2312" w:hAnsi="仿宋_GB2312" w:eastAsia="仿宋_GB2312" w:cs="仿宋_GB2312"/>
          <w:color w:val="333333"/>
          <w:sz w:val="28"/>
          <w:szCs w:val="28"/>
          <w:shd w:val="clear" w:color="auto" w:fill="FFFFFF"/>
          <w:lang w:val="en-US" w:eastAsia="zh-Hans"/>
        </w:rPr>
        <w:t>签章</w:t>
      </w:r>
      <w:r>
        <w:rPr>
          <w:rFonts w:hint="default" w:ascii="仿宋_GB2312" w:hAnsi="仿宋_GB2312" w:eastAsia="仿宋_GB2312" w:cs="仿宋_GB2312"/>
          <w:color w:val="333333"/>
          <w:sz w:val="28"/>
          <w:szCs w:val="28"/>
          <w:shd w:val="clear" w:color="auto" w:fill="FFFFFF"/>
          <w:lang w:eastAsia="zh-Hans"/>
        </w:rPr>
        <w:t>）</w:t>
      </w:r>
      <w:r>
        <w:rPr>
          <w:rFonts w:hint="eastAsia" w:ascii="仿宋_GB2312" w:hAnsi="仿宋_GB2312" w:eastAsia="仿宋_GB2312" w:cs="仿宋_GB2312"/>
          <w:color w:val="333333"/>
          <w:sz w:val="28"/>
          <w:szCs w:val="28"/>
          <w:shd w:val="clear" w:color="auto" w:fill="FFFFFF"/>
          <w:lang w:eastAsia="zh-Hans"/>
        </w:rPr>
        <w:t>：</w:t>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p>
    <w:p>
      <w:pPr>
        <w:ind w:left="0" w:leftChars="0" w:firstLine="0" w:firstLineChars="0"/>
        <w:jc w:val="right"/>
        <w:rPr>
          <w:rFonts w:hint="default" w:ascii="仿宋_GB2312" w:hAnsi="仿宋_GB2312" w:eastAsia="仿宋_GB2312" w:cs="仿宋_GB2312"/>
          <w:color w:val="333333"/>
          <w:sz w:val="28"/>
          <w:szCs w:val="28"/>
          <w:shd w:val="clear" w:color="auto" w:fill="FFFFFF"/>
          <w:lang w:eastAsia="zh-Hans"/>
        </w:rPr>
      </w:pPr>
      <w:r>
        <w:rPr>
          <w:rFonts w:hint="eastAsia" w:ascii="仿宋_GB2312" w:hAnsi="仿宋_GB2312" w:eastAsia="仿宋_GB2312" w:cs="仿宋_GB2312"/>
          <w:color w:val="333333"/>
          <w:sz w:val="28"/>
          <w:szCs w:val="28"/>
          <w:shd w:val="clear" w:color="auto" w:fill="FFFFFF"/>
          <w:lang w:val="en-US" w:eastAsia="zh-Hans"/>
        </w:rPr>
        <w:t>公章</w:t>
      </w:r>
      <w:r>
        <w:rPr>
          <w:rFonts w:hint="default" w:ascii="仿宋_GB2312" w:hAnsi="仿宋_GB2312" w:eastAsia="仿宋_GB2312" w:cs="仿宋_GB2312"/>
          <w:color w:val="333333"/>
          <w:sz w:val="28"/>
          <w:szCs w:val="28"/>
          <w:shd w:val="clear" w:color="auto" w:fill="FFFFFF"/>
          <w:lang w:eastAsia="zh-Hans"/>
        </w:rPr>
        <w:t>：</w:t>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r>
        <w:rPr>
          <w:rFonts w:hint="default" w:ascii="仿宋_GB2312" w:hAnsi="仿宋_GB2312" w:eastAsia="仿宋_GB2312" w:cs="仿宋_GB2312"/>
          <w:color w:val="333333"/>
          <w:sz w:val="28"/>
          <w:szCs w:val="28"/>
          <w:shd w:val="clear" w:color="auto" w:fill="FFFFFF"/>
          <w:lang w:eastAsia="zh-Hans"/>
        </w:rPr>
        <w:tab/>
      </w:r>
    </w:p>
    <w:p>
      <w:pPr>
        <w:ind w:left="0" w:leftChars="0" w:firstLine="0" w:firstLineChars="0"/>
        <w:jc w:val="right"/>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FFFFF"/>
          <w:lang w:val="en-US" w:eastAsia="zh-CN"/>
        </w:rPr>
        <w:t>日期：</w:t>
      </w:r>
      <w:r>
        <w:rPr>
          <w:rFonts w:hint="default" w:ascii="仿宋_GB2312" w:hAnsi="仿宋_GB2312" w:eastAsia="仿宋_GB2312" w:cs="仿宋_GB2312"/>
          <w:color w:val="333333"/>
          <w:sz w:val="28"/>
          <w:szCs w:val="28"/>
          <w:shd w:val="clear" w:color="auto" w:fill="FFFFFF"/>
          <w:lang w:eastAsia="zh-CN"/>
        </w:rPr>
        <w:t>2022</w:t>
      </w:r>
      <w:r>
        <w:rPr>
          <w:rFonts w:hint="eastAsia" w:ascii="仿宋_GB2312" w:hAnsi="仿宋_GB2312" w:eastAsia="仿宋_GB2312" w:cs="仿宋_GB2312"/>
          <w:color w:val="333333"/>
          <w:sz w:val="28"/>
          <w:szCs w:val="28"/>
          <w:shd w:val="clear" w:color="auto" w:fill="FFFFFF"/>
          <w:lang w:val="en-US" w:eastAsia="zh-CN"/>
        </w:rPr>
        <w:t>年</w:t>
      </w:r>
      <w:r>
        <w:rPr>
          <w:rFonts w:hint="default" w:ascii="仿宋_GB2312" w:hAnsi="仿宋_GB2312" w:eastAsia="仿宋_GB2312" w:cs="仿宋_GB2312"/>
          <w:color w:val="333333"/>
          <w:sz w:val="28"/>
          <w:szCs w:val="28"/>
          <w:shd w:val="clear" w:color="auto" w:fill="FFFFFF"/>
          <w:lang w:eastAsia="zh-CN"/>
        </w:rPr>
        <w:t>8</w:t>
      </w:r>
      <w:r>
        <w:rPr>
          <w:rFonts w:hint="eastAsia" w:ascii="仿宋_GB2312" w:hAnsi="仿宋_GB2312" w:eastAsia="仿宋_GB2312" w:cs="仿宋_GB2312"/>
          <w:color w:val="333333"/>
          <w:sz w:val="28"/>
          <w:szCs w:val="28"/>
          <w:shd w:val="clear" w:color="auto" w:fill="FFFFFF"/>
          <w:lang w:val="en-US" w:eastAsia="zh-CN"/>
        </w:rPr>
        <w:t>月</w:t>
      </w:r>
      <w:r>
        <w:rPr>
          <w:rFonts w:hint="default" w:ascii="仿宋_GB2312" w:hAnsi="仿宋_GB2312" w:eastAsia="仿宋_GB2312" w:cs="仿宋_GB2312"/>
          <w:color w:val="333333"/>
          <w:sz w:val="28"/>
          <w:szCs w:val="28"/>
          <w:shd w:val="clear" w:color="auto" w:fill="FFFFFF"/>
          <w:lang w:eastAsia="zh-CN"/>
        </w:rPr>
        <w:t>15</w:t>
      </w:r>
      <w:r>
        <w:rPr>
          <w:rFonts w:hint="eastAsia" w:ascii="仿宋_GB2312" w:hAnsi="仿宋_GB2312" w:eastAsia="仿宋_GB2312" w:cs="仿宋_GB2312"/>
          <w:color w:val="333333"/>
          <w:sz w:val="28"/>
          <w:szCs w:val="28"/>
          <w:shd w:val="clear" w:color="auto" w:fill="FFFFFF"/>
          <w:lang w:val="en-US" w:eastAsia="zh-CN"/>
        </w:rPr>
        <w:t>日</w:t>
      </w:r>
    </w:p>
    <w:p>
      <w:pPr>
        <w:rPr>
          <w:rFonts w:hint="eastAsi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E700A"/>
    <w:multiLevelType w:val="singleLevel"/>
    <w:tmpl w:val="FDFE700A"/>
    <w:lvl w:ilvl="0" w:tentative="0">
      <w:start w:val="1"/>
      <w:numFmt w:val="decimalEnclosedCircleChinese"/>
      <w:suff w:val="nothing"/>
      <w:lvlText w:val="%1　"/>
      <w:lvlJc w:val="left"/>
      <w:pPr>
        <w:ind w:left="0" w:firstLine="400"/>
      </w:pPr>
      <w:rPr>
        <w:rFonts w:hint="eastAsia"/>
      </w:rPr>
    </w:lvl>
  </w:abstractNum>
  <w:abstractNum w:abstractNumId="1">
    <w:nsid w:val="00000001"/>
    <w:multiLevelType w:val="multilevel"/>
    <w:tmpl w:val="0000000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FE6490"/>
    <w:multiLevelType w:val="singleLevel"/>
    <w:tmpl w:val="3EFE6490"/>
    <w:lvl w:ilvl="0" w:tentative="0">
      <w:start w:val="1"/>
      <w:numFmt w:val="decimal"/>
      <w:lvlText w:val="(%1)"/>
      <w:lvlJc w:val="left"/>
      <w:pPr>
        <w:ind w:left="425" w:hanging="425"/>
      </w:pPr>
      <w:rPr>
        <w:rFonts w:hint="default"/>
      </w:rPr>
    </w:lvl>
  </w:abstractNum>
  <w:abstractNum w:abstractNumId="3">
    <w:nsid w:val="3FB814AB"/>
    <w:multiLevelType w:val="singleLevel"/>
    <w:tmpl w:val="3FB814AB"/>
    <w:lvl w:ilvl="0" w:tentative="0">
      <w:start w:val="1"/>
      <w:numFmt w:val="decimal"/>
      <w:suff w:val="nothing"/>
      <w:lvlText w:val="%1、"/>
      <w:lvlJc w:val="left"/>
    </w:lvl>
  </w:abstractNum>
  <w:abstractNum w:abstractNumId="4">
    <w:nsid w:val="3FBA5F1F"/>
    <w:multiLevelType w:val="singleLevel"/>
    <w:tmpl w:val="3FBA5F1F"/>
    <w:lvl w:ilvl="0" w:tentative="0">
      <w:start w:val="1"/>
      <w:numFmt w:val="decimal"/>
      <w:lvlText w:val="(%1)"/>
      <w:lvlJc w:val="left"/>
      <w:pPr>
        <w:ind w:left="425" w:hanging="425"/>
      </w:pPr>
      <w:rPr>
        <w:rFonts w:hint="default"/>
      </w:rPr>
    </w:lvl>
  </w:abstractNum>
  <w:abstractNum w:abstractNumId="5">
    <w:nsid w:val="6F9F5461"/>
    <w:multiLevelType w:val="singleLevel"/>
    <w:tmpl w:val="6F9F5461"/>
    <w:lvl w:ilvl="0" w:tentative="0">
      <w:start w:val="1"/>
      <w:numFmt w:val="decimal"/>
      <w:suff w:val="nothing"/>
      <w:lvlText w:val="%1、"/>
      <w:lvlJc w:val="left"/>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zZjk1YzcyNTYyZmY5NDM4NTYzOGQ5ZWZiYmM2NDkifQ=="/>
  </w:docVars>
  <w:rsids>
    <w:rsidRoot w:val="00000000"/>
    <w:rsid w:val="0FDFE88B"/>
    <w:rsid w:val="2A392777"/>
    <w:rsid w:val="2FBA628A"/>
    <w:rsid w:val="327B126B"/>
    <w:rsid w:val="353FB889"/>
    <w:rsid w:val="38F77F82"/>
    <w:rsid w:val="39BDE304"/>
    <w:rsid w:val="3B7AC978"/>
    <w:rsid w:val="3F5FD15C"/>
    <w:rsid w:val="3F7DBD8B"/>
    <w:rsid w:val="3FEF734A"/>
    <w:rsid w:val="513FCBF9"/>
    <w:rsid w:val="59FD15B8"/>
    <w:rsid w:val="5A7FB518"/>
    <w:rsid w:val="5B73192D"/>
    <w:rsid w:val="5C68534A"/>
    <w:rsid w:val="5C7D32A9"/>
    <w:rsid w:val="5D3E6EB1"/>
    <w:rsid w:val="5EFB1CC7"/>
    <w:rsid w:val="5FDB1916"/>
    <w:rsid w:val="6352524F"/>
    <w:rsid w:val="6776181A"/>
    <w:rsid w:val="69CD03E0"/>
    <w:rsid w:val="6FAF855A"/>
    <w:rsid w:val="6FED163A"/>
    <w:rsid w:val="71517A54"/>
    <w:rsid w:val="73B761AC"/>
    <w:rsid w:val="777F282A"/>
    <w:rsid w:val="77DC659D"/>
    <w:rsid w:val="77FC6737"/>
    <w:rsid w:val="7DEF544C"/>
    <w:rsid w:val="7F6F5554"/>
    <w:rsid w:val="7FBB3B2D"/>
    <w:rsid w:val="7FF9496B"/>
    <w:rsid w:val="7FFBEF37"/>
    <w:rsid w:val="7FFD2E98"/>
    <w:rsid w:val="7FFF2474"/>
    <w:rsid w:val="9FF93517"/>
    <w:rsid w:val="9FFF5F29"/>
    <w:rsid w:val="B57F4055"/>
    <w:rsid w:val="B7FBD79D"/>
    <w:rsid w:val="B9EF8085"/>
    <w:rsid w:val="BF739613"/>
    <w:rsid w:val="CDF73B88"/>
    <w:rsid w:val="CFAFA111"/>
    <w:rsid w:val="D5BA1CA8"/>
    <w:rsid w:val="DDD6E770"/>
    <w:rsid w:val="DFFC9C68"/>
    <w:rsid w:val="DFFF707E"/>
    <w:rsid w:val="DFFF9DA1"/>
    <w:rsid w:val="F3F9E60D"/>
    <w:rsid w:val="F5F5760A"/>
    <w:rsid w:val="F5FFAFD7"/>
    <w:rsid w:val="F6FFB870"/>
    <w:rsid w:val="F73EE7F6"/>
    <w:rsid w:val="F7AF5C5C"/>
    <w:rsid w:val="F7CF65DA"/>
    <w:rsid w:val="FB7D0955"/>
    <w:rsid w:val="FDFF67CC"/>
    <w:rsid w:val="FF5FD362"/>
    <w:rsid w:val="FFCB9D1D"/>
    <w:rsid w:val="FFEB0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5">
    <w:name w:val="Balloon Text"/>
    <w:basedOn w:val="1"/>
    <w:link w:val="13"/>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10">
    <w:name w:val="Emphasis"/>
    <w:basedOn w:val="9"/>
    <w:qFormat/>
    <w:uiPriority w:val="20"/>
    <w:rPr>
      <w:i/>
      <w:iCs/>
    </w:rPr>
  </w:style>
  <w:style w:type="character" w:styleId="11">
    <w:name w:val="Hyperlink"/>
    <w:basedOn w:val="9"/>
    <w:qFormat/>
    <w:uiPriority w:val="99"/>
    <w:rPr>
      <w:color w:val="0000FF"/>
      <w:u w:val="single"/>
    </w:rPr>
  </w:style>
  <w:style w:type="paragraph" w:styleId="12">
    <w:name w:val="List Paragraph"/>
    <w:basedOn w:val="1"/>
    <w:qFormat/>
    <w:uiPriority w:val="99"/>
    <w:pPr>
      <w:ind w:firstLine="420" w:firstLineChars="200"/>
    </w:pPr>
  </w:style>
  <w:style w:type="character" w:customStyle="1" w:styleId="13">
    <w:name w:val="批注框文本 字符"/>
    <w:basedOn w:val="9"/>
    <w:link w:val="5"/>
    <w:qFormat/>
    <w:uiPriority w:val="0"/>
    <w:rPr>
      <w:kern w:val="2"/>
      <w:sz w:val="18"/>
      <w:szCs w:val="18"/>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5">
    <w:name w:val="页眉 字符"/>
    <w:basedOn w:val="9"/>
    <w:link w:val="7"/>
    <w:qFormat/>
    <w:uiPriority w:val="0"/>
    <w:rPr>
      <w:rFonts w:ascii="Calibri" w:hAnsi="Calibri" w:eastAsia="宋体" w:cs="宋体"/>
      <w:kern w:val="2"/>
      <w:sz w:val="18"/>
      <w:szCs w:val="18"/>
    </w:rPr>
  </w:style>
  <w:style w:type="character" w:customStyle="1" w:styleId="16">
    <w:name w:val="页脚 字符"/>
    <w:basedOn w:val="9"/>
    <w:link w:val="6"/>
    <w:qFormat/>
    <w:uiPriority w:val="0"/>
    <w:rPr>
      <w:rFonts w:ascii="Calibri" w:hAnsi="Calibri" w:eastAsia="宋体" w:cs="宋体"/>
      <w:kern w:val="2"/>
      <w:sz w:val="18"/>
      <w:szCs w:val="18"/>
    </w:rPr>
  </w:style>
  <w:style w:type="paragraph" w:customStyle="1" w:styleId="17">
    <w:name w:val="p0"/>
    <w:basedOn w:val="1"/>
    <w:qFormat/>
    <w:uiPriority w:val="0"/>
    <w:pPr>
      <w:widowControl/>
    </w:pPr>
    <w:rPr>
      <w:rFonts w:ascii="Calibri" w:hAnsi="Calibri"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3009</Words>
  <Characters>3150</Characters>
  <Paragraphs>20</Paragraphs>
  <TotalTime>3</TotalTime>
  <ScaleCrop>false</ScaleCrop>
  <LinksUpToDate>false</LinksUpToDate>
  <CharactersWithSpaces>3205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2022-08-13T01:08:00Z</dcterms:created>
  <dc:creator>再叫一声</dc:creator>
  <cp:lastModifiedBy>崔海明</cp:lastModifiedBy>
  <dcterms:modified xsi:type="dcterms:W3CDTF">2022-08-15T02:49:50Z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8218BF41D5F940218EC81025A371E6CE</vt:lpwstr>
  </property>
</Properties>
</file>